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p>
      <w:pPr>
        <w:jc w:val="center"/>
        <w:spacing w:before="0" w:after="0" w:line="240" w:lineRule="auto"/>
      </w:pPr>
      <w:r>
        <w:rPr>
          <w:rFonts w:ascii="Times New Roman" w:hAnsi="Times New Roman"/>
          <w:sz w:val="28"/>
          <w:szCs w:val="28"/>
        </w:rPr>
        <w:t>UNIVERZITET U NIŠU</w:t>
      </w:r>
    </w:p>
    <w:p>
      <w:pPr>
        <w:jc w:val="center"/>
        <w:spacing w:before="140" w:after="0" w:line="240" w:lineRule="auto"/>
      </w:pPr>
      <w:r>
        <w:rPr>
          <w:rFonts w:ascii="Times New Roman" w:hAnsi="Times New Roman"/>
          <w:sz w:val="28"/>
          <w:szCs w:val="28"/>
        </w:rPr>
        <w:t>ELEKTRONSKI FAKULTET</w:t>
      </w:r>
    </w:p>
    <w:p>
      <w:pPr>
        <w:jc w:val="center"/>
        <w:spacing w:before="3800" w:after="0" w:line="240" w:lineRule="auto"/>
      </w:pPr>
      <w:r>
        <w:rPr>
          <w:rFonts w:ascii="Times New Roman" w:hAnsi="Times New Roman"/>
          <w:b/>
          <w:sz w:val="28"/>
          <w:szCs w:val="28"/>
        </w:rPr>
        <w:t xml:space="preserve">Replikacija i distribuirana konzistentnost </w:t>
      </w:r>
      <w:r>
        <w:rPr>
          <w:rFonts w:ascii="Times New Roman" w:hAnsi="Times New Roman"/>
          <w:b/>
          <w:i/>
          <w:sz w:val="28"/>
          <w:szCs w:val="28"/>
        </w:rPr>
        <w:t>(Replication and Distributed Consistency)</w:t>
      </w:r>
      <w:r>
        <w:rPr>
          <w:rFonts w:ascii="Times New Roman" w:hAnsi="Times New Roman"/>
          <w:b/>
          <w:sz w:val="28"/>
          <w:szCs w:val="28"/>
        </w:rPr>
        <w:t xml:space="preserve"> u MySQL-u</w:t>
      </w:r>
    </w:p>
    <w:p>
      <w:pPr>
        <w:jc w:val="center"/>
        <w:spacing w:before="760" w:after="0" w:line="240" w:lineRule="auto"/>
      </w:pPr>
      <w:r>
        <w:rPr>
          <w:rFonts w:ascii="Times New Roman" w:hAnsi="Times New Roman"/>
          <w:sz w:val="24"/>
          <w:szCs w:val="24"/>
        </w:rPr>
        <w:t>Seminarski rad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Predmet: Sistemi baza podataka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Studijski program: Elektrotehnika i računarstvo</w:t>
      </w:r>
    </w:p>
    <w:p>
      <w:pPr>
        <w:jc w:val="center"/>
        <w:spacing w:before="120" w:after="0" w:line="240" w:lineRule="auto"/>
      </w:pPr>
      <w:r>
        <w:rPr>
          <w:rFonts w:ascii="Times New Roman" w:hAnsi="Times New Roman"/>
          <w:sz w:val="24"/>
          <w:szCs w:val="24"/>
        </w:rPr>
        <w:t>Modul: Računarstvo i informatika</w:t>
      </w:r>
    </w:p>
    <w:p>
      <w:pPr>
        <w:spacing w:before="2240" w:after="0" w:line="240" w:lineRule="auto"/>
      </w:pPr>
    </w:p>
    <w:tbl>
      <w:tblPr>
        <w:tblStyle w:val="LayoutTable"/>
        <w:tblW w:w="93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Student: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Mentor:</w:t>
            </w:r>
          </w:p>
        </w:tc>
      </w:tr>
      <w:tr>
        <w:tc>
          <w:tcPr>
            <w:tcW w:w="4680" w:type="dxa"/>
          </w:tcPr>
          <w:p>
            <w:pPr>
              <w:spacing w:before="18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Petar Brajković, br. ind. 16494</w:t>
            </w:r>
          </w:p>
        </w:tc>
        <w:tc>
          <w:tcPr>
            <w:tcW w:w="4680" w:type="dxa"/>
          </w:tcPr>
          <w:p>
            <w:pPr>
              <w:spacing w:before="18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Prof. dr Aleksandar Stanimirović</w:t>
            </w:r>
          </w:p>
        </w:tc>
      </w:tr>
    </w:tbl>
    <w:p>
      <w:pPr>
        <w:jc w:val="center"/>
        <w:spacing w:before="1600" w:after="0" w:line="240" w:lineRule="auto"/>
      </w:pPr>
      <w:r>
        <w:rPr>
          <w:rFonts w:ascii="Times New Roman" w:hAnsi="Times New Roman"/>
          <w:sz w:val="24"/>
          <w:szCs w:val="24"/>
        </w:rPr>
        <w:t>Niš, 2026. godina</w:t>
      </w:r>
    </w:p>
    <w:p>
      <w:r>
        <w:br w:type="page"/>
      </w:r>
    </w:p>
    <w:bookmarkStart w:id="9" w:name="uvod"/>
    <w:p>
      <w:pPr>
        <w:pStyle w:val="Heading1"/>
      </w:pPr>
      <w:r>
        <w:t xml:space="preserve">1. Uvod</w:t>
      </w:r>
    </w:p>
    <w:bookmarkEnd w:id="9"/>
    <w:bookmarkStart w:id="24" w:name="Xf0a34d457b21b90ded0c4729b5a9f39e5799773"/>
    <w:p>
      <w:pPr>
        <w:pStyle w:val="Heading1"/>
      </w:pPr>
      <w:r>
        <w:t xml:space="preserve">2. Teorijski okvir: modeli konzistentnosti, CAP/PACELC i konsenzus</w:t>
      </w:r>
    </w:p>
    <w:p>
      <w:pPr>
        <w:pStyle w:val="FirstParagraph"/>
      </w:pPr>
      <w:r>
        <w:t xml:space="preserve">Replikacija podrazumeva da isti podatak postoji na više čvorova. Čvorovi nemaju zajedničku memoriju</w:t>
      </w:r>
      <w:r>
        <w:t xml:space="preserve"> </w:t>
      </w:r>
      <w:r>
        <w:t xml:space="preserve">ni zajednički sat, pa se svaka informacija između njih prenosi porukom, a prenos poruke traje</w:t>
      </w:r>
      <w:r>
        <w:t xml:space="preserve"> </w:t>
      </w:r>
      <w:r>
        <w:t xml:space="preserve">[1]</w:t>
      </w:r>
      <w:r>
        <w:t xml:space="preserve">. U asinhronoj mreži poruka može i da se izgubi, a čvor ne može da razlikuje</w:t>
      </w:r>
      <w:r>
        <w:t xml:space="preserve"> </w:t>
      </w:r>
      <w:r>
        <w:t xml:space="preserve">izgubljenu poruku od zakasnele, pa ni čvor koji je pao od čvora koji je samo spor ili odsečen</w:t>
      </w:r>
      <w:r>
        <w:t xml:space="preserve"> </w:t>
      </w:r>
      <w:r>
        <w:t xml:space="preserve">[2]</w:t>
      </w:r>
      <w:r>
        <w:t xml:space="preserve">. Upis zato ne stiže na sve kopije istovremeno, pa se postavlja pitanje šta čitanje sa</w:t>
      </w:r>
      <w:r>
        <w:t xml:space="preserve"> </w:t>
      </w:r>
      <w:r>
        <w:t xml:space="preserve">pojedinačne kopije sme da vrati. Ovo poglavlje uvodi rečnik kojim se na to pitanje odgovara, bez</w:t>
      </w:r>
      <w:r>
        <w:t xml:space="preserve"> </w:t>
      </w:r>
      <w:r>
        <w:t xml:space="preserve">ijednog MySQL mehanizma; kasnija poglavlja ga koriste bez ponovnog definisanja.</w:t>
      </w:r>
    </w:p>
    <w:bookmarkStart w:id="10" w:name="modeli-konzistentnosti"/>
    <w:p>
      <w:pPr>
        <w:pStyle w:val="Heading2"/>
      </w:pPr>
      <w:r>
        <w:t xml:space="preserve">Modeli konzistentnosti</w:t>
      </w:r>
    </w:p>
    <w:p>
      <w:pPr>
        <w:pStyle w:val="FirstParagraph"/>
      </w:pPr>
      <w:r>
        <w:t xml:space="preserve">Model konzistentnosti je ugovor između sistema i klijenta koji određuje koje vrednosti čitanje sme</w:t>
      </w:r>
      <w:r>
        <w:t xml:space="preserve"> </w:t>
      </w:r>
      <w:r>
        <w:t xml:space="preserve">da vrati dok se upisi šire kroz replike. Najjači takav ugovor je stroga konzistentnost (strong</w:t>
      </w:r>
      <w:r>
        <w:t xml:space="preserve"> </w:t>
      </w:r>
      <w:r>
        <w:t xml:space="preserve">consistency), formalno linearizabilnost (linearizability): svaka operacija izgleda kao da stupa na</w:t>
      </w:r>
      <w:r>
        <w:t xml:space="preserve"> </w:t>
      </w:r>
      <w:r>
        <w:t xml:space="preserve">snagu trenutno, u nekoj tački između svog poziva i svog odgovora</w:t>
      </w:r>
      <w:r>
        <w:t xml:space="preserve"> </w:t>
      </w:r>
      <w:r>
        <w:t xml:space="preserve">[3]</w:t>
      </w:r>
      <w:r>
        <w:t xml:space="preserve">, pa se sistem ponaša</w:t>
      </w:r>
      <w:r>
        <w:t xml:space="preserve"> </w:t>
      </w:r>
      <w:r>
        <w:t xml:space="preserve">kao da postoji samo jedna kopija podatka. Kada klijent dobije potvrdu upisa, svako kasnije čitanje</w:t>
      </w:r>
      <w:r>
        <w:t xml:space="preserve"> </w:t>
      </w:r>
      <w:r>
        <w:t xml:space="preserve">bilo kog klijenta mora da vidi tu vrednost ili noviju. Cena je ugrađena u samu definiciju: replika</w:t>
      </w:r>
      <w:r>
        <w:t xml:space="preserve"> </w:t>
      </w:r>
      <w:r>
        <w:t xml:space="preserve">pre odgovora mora da zna da poseduje sve završene upise, a to znanje može da stigne samo porukom.</w:t>
      </w:r>
    </w:p>
    <w:p>
      <w:pPr>
        <w:pStyle w:val="BodyText"/>
      </w:pPr>
      <w:r>
        <w:t xml:space="preserve">Slabiji modeli su međusobno ugnežđeni, tako da jači model ispunjava sva obećanja slabijih. Uzročna</w:t>
      </w:r>
      <w:r>
        <w:t xml:space="preserve"> </w:t>
      </w:r>
      <w:r>
        <w:t xml:space="preserve">konzistentnost (causal consistency) oslanja se na Lamportovu relaciju „desilo se pre“ (happened</w:t>
      </w:r>
      <w:r>
        <w:t xml:space="preserve"> </w:t>
      </w:r>
      <w:r>
        <w:t xml:space="preserve">before)</w:t>
      </w:r>
      <w:r>
        <w:t xml:space="preserve"> </w:t>
      </w:r>
      <w:r>
        <w:t xml:space="preserve">[1]</w:t>
      </w:r>
      <w:r>
        <w:t xml:space="preserve">: ako je jedan upis mogao da utiče na drugi, svi čvorovi vide prvi upis pre</w:t>
      </w:r>
      <w:r>
        <w:t xml:space="preserve"> </w:t>
      </w:r>
      <w:r>
        <w:t xml:space="preserve">drugog, pa niko ne sme da vidi odgovor na pitanje pre samog pitanja. Na dnu je konačna</w:t>
      </w:r>
      <w:r>
        <w:t xml:space="preserve"> </w:t>
      </w:r>
      <w:r>
        <w:t xml:space="preserve">konzistentnost (eventual consistency), koja obećava samo to da će, ako novih upisa više nema, sva</w:t>
      </w:r>
      <w:r>
        <w:t xml:space="preserve"> </w:t>
      </w:r>
      <w:r>
        <w:t xml:space="preserve">čitanja na kraju vraćati poslednju upisanu vrednost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Između ovih krajnosti nalaze se sesijske garancije (session guarantees), definisane za pojedinačnu</w:t>
      </w:r>
      <w:r>
        <w:t xml:space="preserve"> </w:t>
      </w:r>
      <w:r>
        <w:t xml:space="preserve">sesiju klijenta, a ne za ceo sistem</w:t>
      </w:r>
      <w:r>
        <w:t xml:space="preserve"> </w:t>
      </w:r>
      <w:r>
        <w:t xml:space="preserve">[5]</w:t>
      </w:r>
      <w:r>
        <w:t xml:space="preserve">. Read-your-writes (čitanje sopstvenih upisa) zahteva</w:t>
      </w:r>
      <w:r>
        <w:t xml:space="preserve"> </w:t>
      </w:r>
      <w:r>
        <w:t xml:space="preserve">da čitanja sesije odražavaju njene prethodne upise: korisnik koji promeni lozinku ne sme u sledećem</w:t>
      </w:r>
      <w:r>
        <w:t xml:space="preserve"> </w:t>
      </w:r>
      <w:r>
        <w:t xml:space="preserve">čitanju, sa replike koja kasni, da vidi staru. Monotona čitanja (monotonic reads) zahtevaju da</w:t>
      </w:r>
      <w:r>
        <w:t xml:space="preserve"> </w:t>
      </w:r>
      <w:r>
        <w:t xml:space="preserve">uzastopna čitanja odražavaju skup upisa koji se ne smanjuje, pa osvežena stranica ne sme da prikaže</w:t>
      </w:r>
      <w:r>
        <w:t xml:space="preserve"> </w:t>
      </w:r>
      <w:r>
        <w:t xml:space="preserve">stanje starije od već viđenog</w:t>
      </w:r>
      <w:r>
        <w:t xml:space="preserve"> </w:t>
      </w:r>
      <w:r>
        <w:t xml:space="preserve">[5]</w:t>
      </w:r>
      <w:r>
        <w:t xml:space="preserve">. Anomaliju read-your-writes sedmo poglavlje meri na MySQL</w:t>
      </w:r>
      <w:r>
        <w:t xml:space="preserve"> </w:t>
      </w:r>
      <w:r>
        <w:t xml:space="preserve">topologiji.</w:t>
      </w:r>
    </w:p>
    <w:bookmarkEnd w:id="10"/>
    <w:bookmarkStart w:id="14" w:name="cap-i-pacelc"/>
    <w:p>
      <w:pPr>
        <w:pStyle w:val="Heading2"/>
      </w:pPr>
      <w:r>
        <w:t xml:space="preserve">CAP i PACELC</w:t>
      </w:r>
    </w:p>
    <w:p>
      <w:pPr>
        <w:pStyle w:val="FirstParagraph"/>
      </w:pPr>
      <w:r>
        <w:t xml:space="preserve">Brewer je 2000. godine izneo pretpostavku da distribuirani sistem ne može istovremeno da obezbedi</w:t>
      </w:r>
      <w:r>
        <w:t xml:space="preserve"> </w:t>
      </w:r>
      <w:r>
        <w:t xml:space="preserve">konzistentnost, dostupnost i toleranciju na particiju mreže</w:t>
      </w:r>
      <w:r>
        <w:t xml:space="preserve"> </w:t>
      </w:r>
      <w:r>
        <w:t xml:space="preserve">[6]</w:t>
      </w:r>
      <w:r>
        <w:t xml:space="preserve">, a Gilbert i Lynch su je</w:t>
      </w:r>
      <w:r>
        <w:t xml:space="preserve"> </w:t>
      </w:r>
      <w:r>
        <w:t xml:space="preserve">dve godine kasnije formalizovali i dokazali</w:t>
      </w:r>
      <w:r>
        <w:t xml:space="preserve"> </w:t>
      </w:r>
      <w:r>
        <w:t xml:space="preserve">[2]</w:t>
      </w:r>
      <w:r>
        <w:t xml:space="preserve">. U njihovoj formulaciji C označava strogu</w:t>
      </w:r>
      <w:r>
        <w:t xml:space="preserve"> </w:t>
      </w:r>
      <w:r>
        <w:t xml:space="preserve">konzistentnost; A dostupnost (availability), odnosno da svaki zahtev koji primi čvor koji nije pao</w:t>
      </w:r>
      <w:r>
        <w:t xml:space="preserve"> </w:t>
      </w:r>
      <w:r>
        <w:t xml:space="preserve">dobije odgovor; a P particiju mreže (network partition), u kojoj mreža sme da izgubi proizvoljno</w:t>
      </w:r>
      <w:r>
        <w:t xml:space="preserve"> </w:t>
      </w:r>
      <w:r>
        <w:t xml:space="preserve">mnogo poruka između čvorova</w:t>
      </w:r>
      <w:r>
        <w:t xml:space="preserve"> </w:t>
      </w:r>
      <w:r>
        <w:t xml:space="preserve">[2]</w:t>
      </w:r>
      <w:r>
        <w:t xml:space="preserve">. Suštinu dokaza prikazuje slika 2.1. Klijent je upisao</w:t>
      </w:r>
      <w:r>
        <w:t xml:space="preserve"> </w:t>
      </w:r>
      <w:r>
        <w:t xml:space="preserve">novu vrednost na čvor 1 i dobio potvrdu, a veza ka čvoru 2 je prekinuta. Ako čvor 2 odgovori na</w:t>
      </w:r>
      <w:r>
        <w:t xml:space="preserve"> </w:t>
      </w:r>
      <w:r>
        <w:t xml:space="preserve">čitanje, vraća staru vrednost posle završenog upisa i krši C; ako čeka poruku od čvora 1, ne</w:t>
      </w:r>
      <w:r>
        <w:t xml:space="preserve"> </w:t>
      </w:r>
      <w:r>
        <w:t xml:space="preserve">odgovara dok particija traje i krši A.</w:t>
      </w:r>
    </w:p>
    <w:p>
      <w:pPr>
        <w:pStyle w:val="CaptionedFigure"/>
      </w:pPr>
      <w:r>
        <w:drawing>
          <wp:inline>
            <wp:extent cx="5753100" cy="1467627"/>
            <wp:effectExtent b="0" l="0" r="0" t="0"/>
            <wp:docPr descr="Slika 2.1: Misaoni eksperiment iz dokaza teoreme CAP. Dok particija traje, čvor 2 može da odgovori zastarelom vrednošću ili da čeka; treće mogućnosti nema." title="" id="12" name="Picture"/>
            <a:graphic>
              <a:graphicData uri="http://schemas.openxmlformats.org/drawingml/2006/picture">
                <pic:pic>
                  <pic:nvPicPr>
                    <pic:cNvPr descr="figures/02-teorija-01-cap-misaoni-eksperimen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6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2.1: Misaoni eksperiment iz dokaza teoreme CAP. Dok particija traje, čvor 2 može da odgovori zastarelom vrednošću ili da čeka; treće mogućnosti nema.</w:t>
      </w:r>
    </w:p>
    <w:p>
      <w:pPr>
        <w:pStyle w:val="BodyText"/>
      </w:pPr>
      <w:r>
        <w:t xml:space="preserve">Pravilo „izaberi dva od tri“ pogrešno je čitanje teoreme, na šta je upozorio i sam Brewer</w:t>
      </w:r>
      <w:r>
        <w:t xml:space="preserve"> </w:t>
      </w:r>
      <w:r>
        <w:t xml:space="preserve">[7]</w:t>
      </w:r>
      <w:r>
        <w:t xml:space="preserve">. Particija nije svojstvo koje projektant bira, već događaj u mreži, pa se izbor svodi</w:t>
      </w:r>
      <w:r>
        <w:t xml:space="preserve"> </w:t>
      </w:r>
      <w:r>
        <w:t xml:space="preserve">na C ili A, i to samo dok particija traje; dok mreža radi, CAP ne zabranjuje da sistem bude</w:t>
      </w:r>
      <w:r>
        <w:t xml:space="preserve"> </w:t>
      </w:r>
      <w:r>
        <w:t xml:space="preserve">istovremeno strogo konzistentan i dostupan. C iz CAP-a pritom nije konzistentnost iz svojstava</w:t>
      </w:r>
      <w:r>
        <w:t xml:space="preserve"> </w:t>
      </w:r>
      <w:r>
        <w:t xml:space="preserve">ACID, koja znači da transakcija čuva pravila baze, poput jedinstvenosti ključeva, već samo</w:t>
      </w:r>
      <w:r>
        <w:t xml:space="preserve"> </w:t>
      </w:r>
      <w:r>
        <w:t xml:space="preserve">konzistentnost jedinstvene kopije, koju Brewer opisuje kao strogi podskup ACID konzistentnosti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BodyText"/>
      </w:pPr>
      <w:r>
        <w:t xml:space="preserve">Ni bez particije stroga konzistentnost nije besplatna. Čvor koji pre potvrde hoće da zna da upis</w:t>
      </w:r>
      <w:r>
        <w:t xml:space="preserve"> </w:t>
      </w:r>
      <w:r>
        <w:t xml:space="preserve">postoji i na drugom čvoru mora da sačeka povratnu poruku, pa se ne gubi dostupnost, već se plaća</w:t>
      </w:r>
      <w:r>
        <w:t xml:space="preserve"> </w:t>
      </w:r>
      <w:r>
        <w:t xml:space="preserve">latencijom (latency), odnosno vremenom odziva. Abadi ovu razliku dodaje teoremi CAP, a proširenje se</w:t>
      </w:r>
      <w:r>
        <w:t xml:space="preserve"> </w:t>
      </w:r>
      <w:r>
        <w:t xml:space="preserve">može svesti na dva pitanja. Prvo glasi: kada mreža pukne, da li odsečeni čvor odgovara, rizikujući</w:t>
      </w:r>
      <w:r>
        <w:t xml:space="preserve"> </w:t>
      </w:r>
      <w:r>
        <w:t xml:space="preserve">zastareo odgovor, ili odbija zahtev, čuvajući konzistentnost? Drugo glasi: kada mreža radi, da li</w:t>
      </w:r>
      <w:r>
        <w:t xml:space="preserve"> </w:t>
      </w:r>
      <w:r>
        <w:t xml:space="preserve">komitovanje čeka druge čvorove, sporije ali konzistentno, ili ne čeka, brže ali uz rizik zastarelog</w:t>
      </w:r>
      <w:r>
        <w:t xml:space="preserve"> </w:t>
      </w:r>
      <w:r>
        <w:t xml:space="preserve">čitanja? Drugi kompromis prisutan je u svakom trenutku rada sistema, a CAP samo u, kako Abadi navodi,</w:t>
      </w:r>
      <w:r>
        <w:t xml:space="preserve"> </w:t>
      </w:r>
      <w:r>
        <w:t xml:space="preserve">verovatno retkom slučaju particije. Skraćenica PACELC beleži oba odgovora: ako postoji particija (P),</w:t>
      </w:r>
      <w:r>
        <w:t xml:space="preserve"> </w:t>
      </w:r>
      <w:r>
        <w:t xml:space="preserve">bira se između dostupnosti (A) i konzistentnosti (C), inače (E, else) između latencije (L) i</w:t>
      </w:r>
      <w:r>
        <w:t xml:space="preserve"> </w:t>
      </w:r>
      <w:r>
        <w:t xml:space="preserve">konzistentnosti (C)</w:t>
      </w:r>
      <w:r>
        <w:t xml:space="preserve"> </w:t>
      </w:r>
      <w:r>
        <w:t xml:space="preserve">[8]</w:t>
      </w:r>
      <w:r>
        <w:t xml:space="preserve">. Za ovaj rad presudno je drugo pitanje: svako podešavanje oblika</w:t>
      </w:r>
      <w:r>
        <w:t xml:space="preserve"> </w:t>
      </w:r>
      <w:r>
        <w:t xml:space="preserve">„sačekaj X pre potvrde“ u narednim poglavljima predstavlja odgovor upravo na njega.</w:t>
      </w:r>
    </w:p>
    <w:bookmarkEnd w:id="14"/>
    <w:bookmarkStart w:id="18" w:name="modeli-replikacije"/>
    <w:p>
      <w:pPr>
        <w:pStyle w:val="Heading2"/>
      </w:pPr>
      <w:r>
        <w:t xml:space="preserve">Modeli replikacije</w:t>
      </w:r>
    </w:p>
    <w:p>
      <w:pPr>
        <w:pStyle w:val="FirstParagraph"/>
      </w:pPr>
      <w:r>
        <w:t xml:space="preserve">Prvo projektantsko pitanje kod replikacije jeste koliko čvorova sme da primi upis. Kleppmann</w:t>
      </w:r>
      <w:r>
        <w:t xml:space="preserve"> </w:t>
      </w:r>
      <w:r>
        <w:t xml:space="preserve">razlikuje tri odgovora, single-leader, multi-leader i leaderless replikaciju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prikazana na slici 2.2. Ovo poglavlje za uloge čvorova koristi termine iz literature,</w:t>
      </w:r>
      <w:r>
        <w:t xml:space="preserve"> </w:t>
      </w:r>
      <w:r>
        <w:rPr>
          <w:i/>
          <w:iCs/>
        </w:rPr>
        <w:t xml:space="preserve">leader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follower</w:t>
      </w:r>
      <w:r>
        <w:t xml:space="preserve">; od trećeg poglavlja, kada predmet postane MySQL, prelazi se na nazive</w:t>
      </w:r>
      <w:r>
        <w:t xml:space="preserve"> </w:t>
      </w:r>
      <w:r>
        <w:rPr>
          <w:i/>
          <w:iCs/>
        </w:rPr>
        <w:t xml:space="preserve">izvor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replika</w:t>
      </w:r>
      <w:r>
        <w:t xml:space="preserve">. Kod single-leader replikacije upise prima tačno jedan čvor, a followeri primenjuju</w:t>
      </w:r>
      <w:r>
        <w:t xml:space="preserve"> </w:t>
      </w:r>
      <w:r>
        <w:t xml:space="preserve">njegov log, pa postoji jedan redosled upisa i nema sukoba; otvoreno ostaje šta se dešava kada</w:t>
      </w:r>
      <w:r>
        <w:t xml:space="preserve"> </w:t>
      </w:r>
      <w:r>
        <w:t xml:space="preserve">leader padne. Kod multi-leader replikacije upise prima više čvorova, pa dva istovremena upisa u</w:t>
      </w:r>
      <w:r>
        <w:t xml:space="preserve"> </w:t>
      </w:r>
      <w:r>
        <w:t xml:space="preserve">isti podatak čine sukob, koji neko mora da razreši</w:t>
      </w:r>
      <w:r>
        <w:t xml:space="preserve"> </w:t>
      </w:r>
      <w:r>
        <w:t xml:space="preserve">[9]</w:t>
      </w:r>
      <w:r>
        <w:t xml:space="preserve">. Kod leaderless replikacije, čiji</w:t>
      </w:r>
      <w:r>
        <w:t xml:space="preserve"> </w:t>
      </w:r>
      <w:r>
        <w:t xml:space="preserve">je uzor Amazonov sistem Dynamo, klijent upis smatra uspešnim kada ga potvrdi W od ukupno N replika,</w:t>
      </w:r>
      <w:r>
        <w:t xml:space="preserve"> </w:t>
      </w:r>
      <w:r>
        <w:t xml:space="preserve">a čitanje pita R replika; nijedan čvor ne određuje redosled upisa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CaptionedFigure"/>
      </w:pPr>
      <w:r>
        <w:drawing>
          <wp:inline>
            <wp:extent cx="5753100" cy="1900577"/>
            <wp:effectExtent b="0" l="0" r="0" t="0"/>
            <wp:docPr descr="Slika 2.2: Tri modela replikacije razlikuju se samo po tome koji čvorovi primaju upise klijenata. Puna strelica označava upis klijenta, isprekidana prenos loga između čvorova." title="" id="16" name="Picture"/>
            <a:graphic>
              <a:graphicData uri="http://schemas.openxmlformats.org/drawingml/2006/picture">
                <pic:pic>
                  <pic:nvPicPr>
                    <pic:cNvPr descr="figures/02-teorija-02-modeli-replikacij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0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2.2: Tri modela replikacije razlikuju se samo po tome koji čvorovi primaju upise klijenata. Puna strelica označava upis klijenta, isprekidana prenos loga između čvorova.</w:t>
      </w:r>
    </w:p>
    <w:p>
      <w:pPr>
        <w:pStyle w:val="BodyText"/>
      </w:pPr>
      <w:r>
        <w:t xml:space="preserve">Nijedan oblik replikacije koji dokumentuje MySQL 8.4 Community nije leaderless u stilu sistema Dynamo:</w:t>
      </w:r>
      <w:r>
        <w:t xml:space="preserve"> </w:t>
      </w:r>
      <w:r>
        <w:t xml:space="preserve">svaki se oslanja ili na jedan čvor koji prima upise ili na grupu čvorova koja se dogovara o</w:t>
      </w:r>
      <w:r>
        <w:t xml:space="preserve"> </w:t>
      </w:r>
      <w:r>
        <w:t xml:space="preserve">redosledu upisa</w:t>
      </w:r>
      <w:r>
        <w:t xml:space="preserve"> </w:t>
      </w:r>
      <w:r>
        <w:t xml:space="preserve">[11], [12]</w:t>
      </w:r>
      <w:r>
        <w:t xml:space="preserve">.</w:t>
      </w:r>
    </w:p>
    <w:bookmarkEnd w:id="18"/>
    <w:bookmarkStart w:id="19" w:name="konsenzus"/>
    <w:p>
      <w:pPr>
        <w:pStyle w:val="Heading2"/>
      </w:pPr>
      <w:r>
        <w:t xml:space="preserve">Konsenzus</w:t>
      </w:r>
    </w:p>
    <w:p>
      <w:pPr>
        <w:pStyle w:val="FirstParagraph"/>
      </w:pPr>
      <w:r>
        <w:t xml:space="preserve">Kada leader padne, neki follower mora da preuzme njegovu ulogu. Pošto čvor ne može da razlikuje</w:t>
      </w:r>
      <w:r>
        <w:t xml:space="preserve"> </w:t>
      </w:r>
      <w:r>
        <w:t xml:space="preserve">leadera koji je pao od leadera koji je samo odsečen, follower koji to samostalno zaključi rizikuje</w:t>
      </w:r>
      <w:r>
        <w:t xml:space="preserve"> </w:t>
      </w:r>
      <w:r>
        <w:t xml:space="preserve">da istovremeno postoje dva leadera koji primaju upise, odnosno split brain (razdvajanje grupe na</w:t>
      </w:r>
      <w:r>
        <w:t xml:space="preserve"> </w:t>
      </w:r>
      <w:r>
        <w:t xml:space="preserve">dve nezavisne celine). Čvorovi zato moraju da se slože oko toga ko je leader i šta se nalazi u logu,</w:t>
      </w:r>
      <w:r>
        <w:t xml:space="preserve"> </w:t>
      </w:r>
      <w:r>
        <w:t xml:space="preserve">i to tako da se dve grupe čvorova ne mogu složiti različito; taj problem naziva se konsenzus.</w:t>
      </w:r>
      <w:r>
        <w:t xml:space="preserve"> </w:t>
      </w:r>
      <w:r>
        <w:t xml:space="preserve">Klasično rešenje je Lamportov algoritam Paxos</w:t>
      </w:r>
      <w:r>
        <w:t xml:space="preserve"> </w:t>
      </w:r>
      <w:r>
        <w:t xml:space="preserve">[13]</w:t>
      </w:r>
      <w:r>
        <w:t xml:space="preserve">, a algoritam Raft, projektovan da bude</w:t>
      </w:r>
      <w:r>
        <w:t xml:space="preserve"> </w:t>
      </w:r>
      <w:r>
        <w:t xml:space="preserve">razumljiviji, deli konsenzus na izbor leadera, replikaciju loga i bezbednost</w:t>
      </w:r>
      <w:r>
        <w:t xml:space="preserve"> </w:t>
      </w:r>
      <w:r>
        <w:t xml:space="preserve">[14]</w:t>
      </w:r>
      <w:r>
        <w:t xml:space="preserve">.</w:t>
      </w:r>
    </w:p>
    <w:p>
      <w:pPr>
        <w:pStyle w:val="BodyText"/>
      </w:pPr>
      <w:r>
        <w:t xml:space="preserve">Sva tri dela oslanjaju se na jednu činjenicu: svake dve većine istog skupa od N čvorova imaju bar</w:t>
      </w:r>
      <w:r>
        <w:t xml:space="preserve"> </w:t>
      </w:r>
      <w:r>
        <w:t xml:space="preserve">jedan zajednički čvor. Svaki čvor u jednom mandatu (term) glasa najviše jednom, pa u istom mandatu</w:t>
      </w:r>
      <w:r>
        <w:t xml:space="preserve"> </w:t>
      </w:r>
      <w:r>
        <w:t xml:space="preserve">ne mogu postojati dva leadera; ulaz u logu je komitovan kada ga sačuva većina, pa pad manjine ne</w:t>
      </w:r>
      <w:r>
        <w:t xml:space="preserve"> </w:t>
      </w:r>
      <w:r>
        <w:t xml:space="preserve">zaustavlja sistem; a čvor ne glasa za kandidata čiji je log manje ažuran od njegovog, pa novi leader</w:t>
      </w:r>
      <w:r>
        <w:t xml:space="preserve"> </w:t>
      </w:r>
      <w:r>
        <w:t xml:space="preserve">neizbežno poseduje sve komitovane ulaze</w:t>
      </w:r>
      <w:r>
        <w:t xml:space="preserve"> </w:t>
      </w:r>
      <w:r>
        <w:t xml:space="preserve">[14]</w:t>
      </w:r>
      <w:r>
        <w:t xml:space="preserve">. Protokol nijednom ne proverava da li je stari</w:t>
      </w:r>
      <w:r>
        <w:t xml:space="preserve"> </w:t>
      </w:r>
      <w:r>
        <w:t xml:space="preserve">leader zaista pao, već se oslanja isključivo na presek većina. Isti princip koristi MySQL Group</w:t>
      </w:r>
      <w:r>
        <w:t xml:space="preserve"> </w:t>
      </w:r>
      <w:r>
        <w:t xml:space="preserve">Replication: prema priručniku, da bi transakcija bila komitovana, većina grupe mora da se složi o</w:t>
      </w:r>
      <w:r>
        <w:t xml:space="preserve"> </w:t>
      </w:r>
      <w:r>
        <w:t xml:space="preserve">njenom mestu u globalnom redosledu transakcija, a u osnovi te tehnologije nalazi se implementacija</w:t>
      </w:r>
      <w:r>
        <w:t xml:space="preserve"> </w:t>
      </w:r>
      <w:r>
        <w:t xml:space="preserve">algoritma Paxos</w:t>
      </w:r>
      <w:r>
        <w:t xml:space="preserve"> </w:t>
      </w:r>
      <w:r>
        <w:t xml:space="preserve">[11]</w:t>
      </w:r>
      <w:r>
        <w:t xml:space="preserve">. Tim mehanizmom bavi se peto poglavlje.</w:t>
      </w:r>
    </w:p>
    <w:bookmarkEnd w:id="19"/>
    <w:bookmarkStart w:id="23" w:name="dva-značenja-kvoruma"/>
    <w:p>
      <w:pPr>
        <w:pStyle w:val="Heading2"/>
      </w:pPr>
      <w:r>
        <w:t xml:space="preserve">Dva značenja kvoruma</w:t>
      </w:r>
    </w:p>
    <w:p>
      <w:pPr>
        <w:pStyle w:val="FirstParagraph"/>
      </w:pPr>
      <w:r>
        <w:t xml:space="preserve">Reč kvorum u literaturi označava dve različite stvari koje se oslanjaju na istu aritmetiku preseka.</w:t>
      </w:r>
      <w:r>
        <w:t xml:space="preserve"> </w:t>
      </w:r>
      <w:r>
        <w:t xml:space="preserve">Kod Dynamo-kvoruma uslov W + R &gt; N obezbeđuje da se skup replika koje su potvrdile upis i skup</w:t>
      </w:r>
      <w:r>
        <w:t xml:space="preserve"> </w:t>
      </w:r>
      <w:r>
        <w:t xml:space="preserve">replika koje se čitaju seku, pa čitanje dodiruje bar jednu repliku sa najnovijom verzijom</w:t>
      </w:r>
      <w:r>
        <w:t xml:space="preserve"> </w:t>
      </w:r>
      <w:r>
        <w:t xml:space="preserve">[10]</w:t>
      </w:r>
      <w:r>
        <w:t xml:space="preserve">. Presek, međutim, ne određuje redosled, što pokazuje leva strana slike 2.3: dva</w:t>
      </w:r>
      <w:r>
        <w:t xml:space="preserve"> </w:t>
      </w:r>
      <w:r>
        <w:t xml:space="preserve">istovremena upisa, vrednosti 100 i 200, dobijaju po dve potvrde, a replike završavaju sa</w:t>
      </w:r>
      <w:r>
        <w:t xml:space="preserve"> </w:t>
      </w:r>
      <w:r>
        <w:t xml:space="preserve">vrednostima 100, 100 i 200. Nijedan čvor nije odlučio koji je upis bio prvi, pa Dynamo čuva obe</w:t>
      </w:r>
      <w:r>
        <w:t xml:space="preserve"> </w:t>
      </w:r>
      <w:r>
        <w:t xml:space="preserve">verzije i njihovo spajanje prepušta aplikaciji</w:t>
      </w:r>
      <w:r>
        <w:t xml:space="preserve"> </w:t>
      </w:r>
      <w:r>
        <w:t xml:space="preserve">[10]</w:t>
      </w:r>
      <w:r>
        <w:t xml:space="preserve">. Abadi zato naglašava da ovakvi</w:t>
      </w:r>
      <w:r>
        <w:t xml:space="preserve"> </w:t>
      </w:r>
      <w:r>
        <w:t xml:space="preserve">sistemi ne dostižu punu konzistentnost u smislu Gilberta i Lynch ni kada je R + W &gt; 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CaptionedFigure"/>
      </w:pPr>
      <w:r>
        <w:drawing>
          <wp:inline>
            <wp:extent cx="4890135" cy="3050096"/>
            <wp:effectExtent b="0" l="0" r="0" t="0"/>
            <wp:docPr descr="Slika 2.3: Isti presek, dve namene. Dynamo-kvorum (levo) obezbeđuje da čitanje dodirne svežu repliku, ali dva istovremena upisa ostavljaju dve verzije podatka; konsenzus-kvorum (desno) oba upisa smešta u jedan redosled." title="" id="21" name="Picture"/>
            <a:graphic>
              <a:graphicData uri="http://schemas.openxmlformats.org/drawingml/2006/picture">
                <pic:pic>
                  <pic:nvPicPr>
                    <pic:cNvPr descr="figures/02-teorija-03-dva-kvorum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05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2.3: Isti presek, dve namene. Dynamo-kvorum (levo) obezbeđuje da čitanje dodirne svežu repliku, ali dva istovremena upisa ostavljaju dve verzije podatka; konsenzus-kvorum (desno) oba upisa smešta u jedan redosled.</w:t>
      </w:r>
    </w:p>
    <w:p>
      <w:pPr>
        <w:pStyle w:val="BodyText"/>
      </w:pPr>
      <w:r>
        <w:t xml:space="preserve">Konsenzus-kvorum, na desnoj strani slike, isti presek koristi da bi se većina dogovorila o mestu</w:t>
      </w:r>
      <w:r>
        <w:t xml:space="preserve"> </w:t>
      </w:r>
      <w:r>
        <w:t xml:space="preserve">svakog upisa u jedinstvenom logu, pa dva istovremena upisa dobijaju dva različita mesta u</w:t>
      </w:r>
      <w:r>
        <w:t xml:space="preserve"> </w:t>
      </w:r>
      <w:r>
        <w:t xml:space="preserve">redosledu umesto dve verzije istog podatka</w:t>
      </w:r>
      <w:r>
        <w:t xml:space="preserve"> </w:t>
      </w:r>
      <w:r>
        <w:t xml:space="preserve">[14]</w:t>
      </w:r>
      <w:r>
        <w:t xml:space="preserve">. Kada se u ovom radu govori o sistemima</w:t>
      </w:r>
      <w:r>
        <w:t xml:space="preserve"> </w:t>
      </w:r>
      <w:r>
        <w:t xml:space="preserve">zasnovanim na kvorumu, misli se na konsenzus-kvorum, jer na njemu počiva Group Replication, dok</w:t>
      </w:r>
      <w:r>
        <w:t xml:space="preserve"> </w:t>
      </w:r>
      <w:r>
        <w:t xml:space="preserve">Dynamo-kvorum služi samo kao kontrast. Time je zaokružen rečnik narednih poglavlja: svaki mehanizam</w:t>
      </w:r>
      <w:r>
        <w:t xml:space="preserve"> </w:t>
      </w:r>
      <w:r>
        <w:t xml:space="preserve">replikacije u MySQL-u biće smešten u jedan od tri modela, opisan modelom konzistentnosti koji</w:t>
      </w:r>
      <w:r>
        <w:t xml:space="preserve"> </w:t>
      </w:r>
      <w:r>
        <w:t xml:space="preserve">obezbeđuje i ocenjen prema tome kako odgovara na dva pitanja PACELC-a.</w:t>
      </w:r>
    </w:p>
    <w:bookmarkEnd w:id="23"/>
    <w:bookmarkEnd w:id="24"/>
    <w:bookmarkStart w:id="41" w:name="binarni-log-gtid-i-asinhrona-replikacija"/>
    <w:p>
      <w:pPr>
        <w:pStyle w:val="Heading1"/>
      </w:pPr>
      <w:r>
        <w:t xml:space="preserve">3. Binarni log, GTID i asinhrona replikacija</w:t>
      </w:r>
    </w:p>
    <w:p>
      <w:pPr>
        <w:pStyle w:val="FirstParagraph"/>
      </w:pPr>
      <w:r>
        <w:t xml:space="preserve">Replikacija u MySQL-u ne prenosi stanje baze, već zapis o promenama. Izvor svaku komitovanu</w:t>
      </w:r>
      <w:r>
        <w:t xml:space="preserve"> </w:t>
      </w:r>
      <w:r>
        <w:t xml:space="preserve">transakciju upisuje u binarni log (binary log), a replika te zapise preuzima i izvršava nad</w:t>
      </w:r>
      <w:r>
        <w:t xml:space="preserve"> </w:t>
      </w:r>
      <w:r>
        <w:t xml:space="preserve">sopstvenom kopijom podataka; isti log posle vraćanja rezervne kopije služi i za oporavak baze do</w:t>
      </w:r>
      <w:r>
        <w:t xml:space="preserve"> </w:t>
      </w:r>
      <w:r>
        <w:t xml:space="preserve">željenog trenutka</w:t>
      </w:r>
      <w:r>
        <w:t xml:space="preserve"> </w:t>
      </w:r>
      <w:r>
        <w:t xml:space="preserve">[11]</w:t>
      </w:r>
      <w:r>
        <w:t xml:space="preserve">. Replika ponavljanjem loga stiže u isto stanje kao izvor ako obe</w:t>
      </w:r>
      <w:r>
        <w:t xml:space="preserve"> </w:t>
      </w:r>
      <w:r>
        <w:t xml:space="preserve">strane polaze od istog stanja i primenjuju iste promene istim redosledom. Redosled obezbeđuje sam</w:t>
      </w:r>
      <w:r>
        <w:t xml:space="preserve"> </w:t>
      </w:r>
      <w:r>
        <w:t xml:space="preserve">log: transakcija se u njega upisuje pre nego što se oslobode njena zaključavanja, pa log sledi</w:t>
      </w:r>
      <w:r>
        <w:t xml:space="preserve"> </w:t>
      </w:r>
      <w:r>
        <w:t xml:space="preserve">redosled komitovanja</w:t>
      </w:r>
      <w:r>
        <w:t xml:space="preserve"> </w:t>
      </w:r>
      <w:r>
        <w:t xml:space="preserve">[11]</w:t>
      </w:r>
      <w:r>
        <w:t xml:space="preserve">. Poglavlje prati jednu transakciju od izvora do replike kroz</w:t>
      </w:r>
      <w:r>
        <w:t xml:space="preserve"> </w:t>
      </w:r>
      <w:r>
        <w:t xml:space="preserve">četiri pitanja: šta se upisuje u log, kada je upis postojan, kako replika zna dokle je stigla i kada</w:t>
      </w:r>
      <w:r>
        <w:t xml:space="preserve"> </w:t>
      </w:r>
      <w:r>
        <w:t xml:space="preserve">klijent dobija potvrdu.</w:t>
      </w:r>
    </w:p>
    <w:p>
      <w:pPr>
        <w:pStyle w:val="BodyText"/>
      </w:pPr>
      <w:r>
        <w:t xml:space="preserve">Od ovog poglavlja uloge čvorova nazivaju se onako kako ih naziva MySQL: čvor čiji se binarni log</w:t>
      </w:r>
      <w:r>
        <w:t xml:space="preserve"> </w:t>
      </w:r>
      <w:r>
        <w:t xml:space="preserve">šalje drugima je izvor (source), a čvor koji taj log primenjuje je replika (replica); to su iste</w:t>
      </w:r>
      <w:r>
        <w:t xml:space="preserve"> </w:t>
      </w:r>
      <w:r>
        <w:t xml:space="preserve">uloge koje drugo poglavlje naziva</w:t>
      </w:r>
      <w:r>
        <w:t xml:space="preserve"> </w:t>
      </w:r>
      <w:r>
        <w:rPr>
          <w:i/>
          <w:iCs/>
        </w:rPr>
        <w:t xml:space="preserve">leader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follower</w:t>
      </w:r>
      <w:r>
        <w:t xml:space="preserve">. Tim koji razvija MySQL naziv izvor</w:t>
      </w:r>
      <w:r>
        <w:t xml:space="preserve"> </w:t>
      </w:r>
      <w:r>
        <w:t xml:space="preserve">obrazlaže time da je replikacija tok promena, pa naziv ne određuje ulogu servera u celoj</w:t>
      </w:r>
      <w:r>
        <w:t xml:space="preserve"> </w:t>
      </w:r>
      <w:r>
        <w:t xml:space="preserve">arhitekturi, što je važno kod lančane ili dvosmerne replikacije</w:t>
      </w:r>
      <w:r>
        <w:t xml:space="preserve"> </w:t>
      </w:r>
      <w:r>
        <w:t xml:space="preserve">[15]</w:t>
      </w:r>
      <w:r>
        <w:t xml:space="preserve">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Merenja u ovom</w:t>
      </w:r>
      <w:r>
        <w:t xml:space="preserve"> </w:t>
      </w:r>
      <w:r>
        <w:t xml:space="preserve">i narednim poglavljima izvedena su na tri instance servera MySQL 8.4.11 na jednom računaru, na</w:t>
      </w:r>
      <w:r>
        <w:t xml:space="preserve"> </w:t>
      </w:r>
      <w:r>
        <w:t xml:space="preserve">portovima 3307, 3308 i 3309, koje se u nastavku nazivaju node1, node2 i node3. Izvor je node1, a</w:t>
      </w:r>
      <w:r>
        <w:t xml:space="preserve"> </w:t>
      </w:r>
      <w:r>
        <w:t xml:space="preserve">node2 i node3 su njegove replike, sa uključenim GTID-ovima i formatom zapisa</w:t>
      </w:r>
      <w:r>
        <w:t xml:space="preserve"> </w:t>
      </w:r>
      <w:r>
        <w:rPr>
          <w:rStyle w:val="VerbatimChar"/>
        </w:rPr>
        <w:t xml:space="preserve">ROW</w:t>
      </w:r>
      <w:r>
        <w:t xml:space="preserve">. Kao primer služi</w:t>
      </w:r>
      <w:r>
        <w:t xml:space="preserve"> </w:t>
      </w:r>
      <w:r>
        <w:t xml:space="preserve">baza poliklinika, sa tabelama pacijenata, pregleda i računa, uz pomoćnu tabelu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 </w:t>
      </w:r>
      <w:r>
        <w:t xml:space="preserve">za</w:t>
      </w:r>
      <w:r>
        <w:t xml:space="preserve"> </w:t>
      </w:r>
      <w:r>
        <w:t xml:space="preserve">merenje kašnjenja.</w:t>
      </w:r>
    </w:p>
    <w:bookmarkStart w:id="26" w:name="binarni-log-i-formati-zapisa"/>
    <w:p>
      <w:pPr>
        <w:pStyle w:val="Heading2"/>
      </w:pPr>
      <w:r>
        <w:t xml:space="preserve">Binarni log i formati zapisa</w:t>
      </w:r>
    </w:p>
    <w:p>
      <w:pPr>
        <w:pStyle w:val="FirstParagraph"/>
      </w:pPr>
      <w:r>
        <w:t xml:space="preserve">Binarni log se vodi u tri formata, koji se razlikuju po tome da li beleže uzrok promene ili njenu</w:t>
      </w:r>
      <w:r>
        <w:t xml:space="preserve"> </w:t>
      </w:r>
      <w:r>
        <w:t xml:space="preserve">posledicu. Format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upisuje sam SQL iskaz, koji replika ponovo izvršava (upisivanje</w:t>
      </w:r>
      <w:r>
        <w:t xml:space="preserve"> </w:t>
      </w:r>
      <w:r>
        <w:t xml:space="preserve">iskaza, statement-based logging). Format</w:t>
      </w:r>
      <w:r>
        <w:t xml:space="preserve"> </w:t>
      </w:r>
      <w:r>
        <w:rPr>
          <w:rStyle w:val="VerbatimChar"/>
        </w:rPr>
        <w:t xml:space="preserve">ROW</w:t>
      </w:r>
      <w:r>
        <w:t xml:space="preserve">, koji je podrazumevani, upisuje kako su se promenili</w:t>
      </w:r>
      <w:r>
        <w:t xml:space="preserve"> </w:t>
      </w:r>
      <w:r>
        <w:t xml:space="preserve">pojedinačni redovi tabele, a replika te promene kopira (upisivanje redova, row-based logging).</w:t>
      </w:r>
      <w:r>
        <w:t xml:space="preserve"> </w:t>
      </w:r>
      <w:r>
        <w:t xml:space="preserve">Format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upisuje iskaze, a u određenim slučajevima automatski prelazi na upisivanje redova</w:t>
      </w:r>
      <w:r>
        <w:t xml:space="preserve"> </w:t>
      </w:r>
      <w:r>
        <w:t xml:space="preserve">[11]</w:t>
      </w:r>
      <w:r>
        <w:t xml:space="preserve">. Upisivanje iskaza je kompaktnije, jer iskaz koji menja hiljadu redova u logu</w:t>
      </w:r>
      <w:r>
        <w:t xml:space="preserve"> </w:t>
      </w:r>
      <w:r>
        <w:t xml:space="preserve">ostaje jedan iskaz, ali je pravac razvoja jasan: menjanje formata zastarelo je još u verziji 8.0, a</w:t>
      </w:r>
      <w:r>
        <w:t xml:space="preserve"> </w:t>
      </w:r>
      <w:r>
        <w:t xml:space="preserve">priručnik najavljuje da će upisivanje redova postati jedini format</w:t>
      </w:r>
      <w:r>
        <w:t xml:space="preserve"> </w:t>
      </w:r>
      <w:r>
        <w:t xml:space="preserve">[11]</w:t>
      </w:r>
      <w:r>
        <w:t xml:space="preserve">.</w:t>
      </w:r>
    </w:p>
    <w:bookmarkEnd w:id="26"/>
    <w:bookmarkStart w:id="30" w:name="nesigurni-iskazi"/>
    <w:p>
      <w:pPr>
        <w:pStyle w:val="Heading2"/>
      </w:pPr>
      <w:r>
        <w:t xml:space="preserve">Nesigurni iskazi</w:t>
      </w:r>
    </w:p>
    <w:p>
      <w:pPr>
        <w:pStyle w:val="FirstParagraph"/>
      </w:pPr>
      <w:r>
        <w:t xml:space="preserve">Upisivanje iskaza pretpostavlja da isti iskaz nad istim podacima daje isti rezultat. Iskaz za koji</w:t>
      </w:r>
      <w:r>
        <w:t xml:space="preserve"> </w:t>
      </w:r>
      <w:r>
        <w:t xml:space="preserve">to ne važi naziva se nesiguran iskaz (unsafe statement), jer replika koja ga ponovi može da stigne</w:t>
      </w:r>
      <w:r>
        <w:t xml:space="preserve"> </w:t>
      </w:r>
      <w:r>
        <w:t xml:space="preserve">u drugačije stanje od izvora. Priručnik kao primer navodi iskaze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sa klauzulom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jer redosled redova na koje deluju nije definisan, kao i funkciju</w:t>
      </w:r>
      <w:r>
        <w:t xml:space="preserve"> </w:t>
      </w:r>
      <w:r>
        <w:rPr>
          <w:rStyle w:val="VerbatimChar"/>
        </w:rPr>
        <w:t xml:space="preserve">SYSDATE()</w:t>
      </w:r>
      <w:r>
        <w:t xml:space="preserve">. Za takav iskaz server u formatu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izdaje upozorenje, a u formatu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ga</w:t>
      </w:r>
      <w:r>
        <w:t xml:space="preserve"> </w:t>
      </w:r>
      <w:r>
        <w:t xml:space="preserve">automatski upisuje kao redove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Slika 3.1 prikazuje razliku na bazi poliklinika. Iskaz označava kao plaćena dva neplaćena računa za</w:t>
      </w:r>
      <w:r>
        <w:t xml:space="preserve"> </w:t>
      </w:r>
      <w:r>
        <w:t xml:space="preserve">koje je</w:t>
      </w:r>
      <w:r>
        <w:t xml:space="preserve"> </w:t>
      </w:r>
      <w:r>
        <w:rPr>
          <w:rStyle w:val="VerbatimChar"/>
        </w:rPr>
        <w:t xml:space="preserve">tenant_id = 1</w:t>
      </w:r>
      <w:r>
        <w:t xml:space="preserve">, uz</w:t>
      </w:r>
      <w:r>
        <w:t xml:space="preserve"> </w:t>
      </w:r>
      <w:r>
        <w:rPr>
          <w:rStyle w:val="VerbatimChar"/>
        </w:rPr>
        <w:t xml:space="preserve">LIMIT 2</w:t>
      </w:r>
      <w:r>
        <w:t xml:space="preserve"> </w:t>
      </w:r>
      <w:r>
        <w:t xml:space="preserve">bez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pa ne određuje koja dva. U formatu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server izdaje upozorenje 1592, a u formatu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t xml:space="preserve">od klauzule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u logu ne ostaje trag, već samo</w:t>
      </w:r>
      <w:r>
        <w:t xml:space="preserve"> </w:t>
      </w:r>
      <w:r>
        <w:t xml:space="preserve">dva izmenjena reda, računi 11 i 18, sa slikom pre i posle izmene. Upisivanje redova nedeterminizam</w:t>
      </w:r>
      <w:r>
        <w:t xml:space="preserve"> </w:t>
      </w:r>
      <w:r>
        <w:t xml:space="preserve">ne uklanja, već izbor ostavlja izvoru, a replici šalje samo njegov ishod.</w:t>
      </w:r>
    </w:p>
    <w:p>
      <w:pPr>
        <w:pStyle w:val="CaptionedFigure"/>
      </w:pPr>
      <w:r>
        <w:drawing>
          <wp:inline>
            <wp:extent cx="5177790" cy="3172665"/>
            <wp:effectExtent b="0" l="0" r="0" t="0"/>
            <wp:docPr descr="Slika 3.1: Isti nesiguran iskaz u dva formata binarnog loga, izvršen na izvoru (node1). U formatu STATEMENT server upozorava da skup redova nije predvidiv; u formatu ROW log beleži upravo izmenjene redove, sa slikom pre (WHERE) i posle (SET) izmene. Ispis alata mysqlbinlog sažet je na jedan red po slici reda." title="" id="28" name="Picture"/>
            <a:graphic>
              <a:graphicData uri="http://schemas.openxmlformats.org/drawingml/2006/picture">
                <pic:pic>
                  <pic:nvPicPr>
                    <pic:cNvPr descr="figures/03-binlog-01-nesiguran-iskaz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317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3.1: Isti nesiguran iskaz u dva formata binarnog loga, izvršen na izvoru (node1). U formatu STATEMENT server upozorava da skup redova nije predvidiv; u formatu ROW log beleži upravo izmenjene redove, sa slikom pre (WHERE) i posle (SET) izmene. Ispis alata mysqlbinlog sažet je na jedan red po slici reda.</w:t>
      </w:r>
    </w:p>
    <w:bookmarkEnd w:id="30"/>
    <w:bookmarkStart w:id="34" w:name="X2c0a4a398aa458fe147bd7c2a777a48b730de7f"/>
    <w:p>
      <w:pPr>
        <w:pStyle w:val="Heading2"/>
      </w:pPr>
      <w:r>
        <w:t xml:space="preserve">Postojanost: dva loga i dvofazno komitovanje</w:t>
      </w:r>
    </w:p>
    <w:p>
      <w:pPr>
        <w:pStyle w:val="FirstParagraph"/>
      </w:pPr>
      <w:r>
        <w:t xml:space="preserve">Potvrda komitovanja ima smisla samo ako transakcija preživi pad, a to zavisi od toga kada log</w:t>
      </w:r>
      <w:r>
        <w:t xml:space="preserve"> </w:t>
      </w:r>
      <w:r>
        <w:t xml:space="preserve">zaista stigne na disk. Upis u datoteku najpre dospeva u keš operativnog sistema, a na stabilnu</w:t>
      </w:r>
      <w:r>
        <w:t xml:space="preserve"> </w:t>
      </w:r>
      <w:r>
        <w:t xml:space="preserve">memoriju stiže kada ga sistem sam prenese ili kada proces to izričito zatraži pozivom</w:t>
      </w:r>
      <w:r>
        <w:t xml:space="preserve"> </w:t>
      </w:r>
      <w:r>
        <w:rPr>
          <w:rStyle w:val="VerbatimChar"/>
        </w:rPr>
        <w:t xml:space="preserve">fsync()</w:t>
      </w:r>
      <w:r>
        <w:t xml:space="preserve">, čiji</w:t>
      </w:r>
      <w:r>
        <w:t xml:space="preserve"> </w:t>
      </w:r>
      <w:r>
        <w:t xml:space="preserve">je ekvivalent na Windowsu</w:t>
      </w:r>
      <w:r>
        <w:t xml:space="preserve"> </w:t>
      </w:r>
      <w:r>
        <w:rPr>
          <w:rStyle w:val="VerbatimChar"/>
        </w:rPr>
        <w:t xml:space="preserve">FlushFileBuffers</w:t>
      </w:r>
      <w:r>
        <w:t xml:space="preserve"> </w:t>
      </w:r>
      <w:r>
        <w:t xml:space="preserve">[11]</w:t>
      </w:r>
      <w:r>
        <w:t xml:space="preserve">. Zato pad procesa</w:t>
      </w:r>
      <w:r>
        <w:t xml:space="preserve"> </w:t>
      </w:r>
      <w:r>
        <w:rPr>
          <w:rStyle w:val="VerbatimChar"/>
        </w:rPr>
        <w:t xml:space="preserve">mysqld</w:t>
      </w:r>
      <w:r>
        <w:t xml:space="preserve"> </w:t>
      </w:r>
      <w:r>
        <w:t xml:space="preserve">ne gubi ono</w:t>
      </w:r>
      <w:r>
        <w:t xml:space="preserve"> </w:t>
      </w:r>
      <w:r>
        <w:t xml:space="preserve">što je već predato operativnom sistemu, dok pad operativnog sistema ili nestanak napajanja gubi i</w:t>
      </w:r>
      <w:r>
        <w:t xml:space="preserve"> </w:t>
      </w:r>
      <w:r>
        <w:t xml:space="preserve">sadržaj keša. InnoDB postojanost obezbeđuje tehnikom write-ahead logging (WAL): opis izmene se pre</w:t>
      </w:r>
      <w:r>
        <w:t xml:space="preserve"> </w:t>
      </w:r>
      <w:r>
        <w:t xml:space="preserve">izmene stranica sa podacima upisuje u redo log, koji se koristi pri oporavku posle pada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MySQL, međutim, istu transakciju beleži u dva loga. Redo log pripada mehanizmu skladištenja</w:t>
      </w:r>
      <w:r>
        <w:t xml:space="preserve"> </w:t>
      </w:r>
      <w:r>
        <w:t xml:space="preserve">(storage engine) InnoDB, a binarni log vodi serverski sloj iznad njega, nezavisno od motora</w:t>
      </w:r>
      <w:r>
        <w:t xml:space="preserve"> </w:t>
      </w:r>
      <w:r>
        <w:t xml:space="preserve">[11]</w:t>
      </w:r>
      <w:r>
        <w:t xml:space="preserve">. Ako posle pada transakcija ostane samo u jednom od njih, izvor i replike se trajno</w:t>
      </w:r>
      <w:r>
        <w:t xml:space="preserve"> </w:t>
      </w:r>
      <w:r>
        <w:t xml:space="preserve">razilaze, a nijedan čvor ne prijavljuje grešku. Tu opasnost otklanja interno dvofazno komitovanje</w:t>
      </w:r>
      <w:r>
        <w:t xml:space="preserve"> </w:t>
      </w:r>
      <w:r>
        <w:t xml:space="preserve">(two-phase commit), u verziji 8.4 uvek uključeno i prikazano na slici 3.2. InnoDB transakciju</w:t>
      </w:r>
      <w:r>
        <w:t xml:space="preserve"> </w:t>
      </w:r>
      <w:r>
        <w:t xml:space="preserve">najpre upisuje u redo log kao pripremljenu (prepare), zatim se ona upisuje u binarni log i on se</w:t>
      </w:r>
      <w:r>
        <w:t xml:space="preserve"> </w:t>
      </w:r>
      <w:r>
        <w:t xml:space="preserve">sinhronizuje na disk, a tek tada je InnoDB komituje. Odluku o ishodu time donosi binarni log: posle</w:t>
      </w:r>
      <w:r>
        <w:t xml:space="preserve"> </w:t>
      </w:r>
      <w:r>
        <w:t xml:space="preserve">pada server dovršava pripremljene transakcije koje su upisane u binarni log, pa log tačno odražava</w:t>
      </w:r>
      <w:r>
        <w:t xml:space="preserve"> </w:t>
      </w:r>
      <w:r>
        <w:t xml:space="preserve">sadržaj tabela, a replika ne dobija transakciju koja je na izvoru poništena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CaptionedFigure"/>
      </w:pPr>
      <w:r>
        <w:drawing>
          <wp:inline>
            <wp:extent cx="5753100" cy="1599714"/>
            <wp:effectExtent b="0" l="0" r="0" t="0"/>
            <wp:docPr descr="Slika 3.2: Interno dvofazno komitovanje između redo loga i binarnog loga. Upis u binarni log je tačka odluke: pad pre njega (A) poništava transakciju, a pad posle njega (B) je komituje, pa izvor i replike u oba slučaja ostaju usklađeni." title="" id="32" name="Picture"/>
            <a:graphic>
              <a:graphicData uri="http://schemas.openxmlformats.org/drawingml/2006/picture">
                <pic:pic>
                  <pic:nvPicPr>
                    <pic:cNvPr descr="figures/03-binlog-02-dvofazno-komitovanj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3.2: Interno dvofazno komitovanje između redo loga i binarnog loga. Upis u binarni log je tačka odluke: pad pre njega (A) poništava transakciju, a pad posle njega (B) je komituje, pa izvor i replike u oba slučaja ostaju usklađeni.</w:t>
      </w:r>
    </w:p>
    <w:p>
      <w:pPr>
        <w:pStyle w:val="BodyText"/>
      </w:pPr>
      <w:r>
        <w:t xml:space="preserve">Koliko je ova zaštita stvarno jaka, zavisi od toga da li se svaki log pri komitovanju sinhronizuje</w:t>
      </w:r>
      <w:r>
        <w:t xml:space="preserve"> </w:t>
      </w:r>
      <w:r>
        <w:t xml:space="preserve">na disk. Za binarni log o tome odlučuje</w:t>
      </w:r>
      <w:r>
        <w:t xml:space="preserve"> </w:t>
      </w:r>
      <w:r>
        <w:rPr>
          <w:rStyle w:val="VerbatimChar"/>
        </w:rPr>
        <w:t xml:space="preserve">sync_binlog</w:t>
      </w:r>
      <w:r>
        <w:t xml:space="preserve">: vrednost 1 sinhronizuje ga pre komitovanja, a</w:t>
      </w:r>
      <w:r>
        <w:t xml:space="preserve"> </w:t>
      </w:r>
      <w:r>
        <w:t xml:space="preserve">vrednost 0 sinhronizaciju prepušta operativnom sistemu. Za redo log odlučuje</w:t>
      </w:r>
      <w:r>
        <w:t xml:space="preserve"> </w:t>
      </w:r>
      <w:r>
        <w:rPr>
          <w:rStyle w:val="VerbatimChar"/>
        </w:rPr>
        <w:t xml:space="preserve">innodb_flush_log_at_trx_commit</w:t>
      </w:r>
      <w:r>
        <w:t xml:space="preserve">: vrednost 1, neophodna za punu usklađenost sa svojstvima ACID,</w:t>
      </w:r>
      <w:r>
        <w:t xml:space="preserve"> </w:t>
      </w:r>
      <w:r>
        <w:t xml:space="preserve">sinhronizuje ga pri svakom komitovanju, a vrednost 2 ga pri komitovanju samo upisuje, dok ga</w:t>
      </w:r>
      <w:r>
        <w:t xml:space="preserve"> </w:t>
      </w:r>
      <w:r>
        <w:t xml:space="preserve">sinhronizuje jednom u sekundi</w:t>
      </w:r>
      <w:r>
        <w:t xml:space="preserve"> </w:t>
      </w:r>
      <w:r>
        <w:t xml:space="preserve">[11]</w:t>
      </w:r>
      <w:r>
        <w:t xml:space="preserve">. Tabela 3.1 navodi šta od svake kombinacije ostaje</w:t>
      </w:r>
      <w:r>
        <w:t xml:space="preserve"> </w:t>
      </w:r>
      <w:r>
        <w:t xml:space="preserve">posle pada operativnog sistema. Ishode prvog i trećeg reda navodi priručnik, a ostali su izvedeni iz</w:t>
      </w:r>
      <w:r>
        <w:t xml:space="preserve"> </w:t>
      </w:r>
      <w:r>
        <w:t xml:space="preserve">razlike između upisa i sinhronizacije. Najopasniji je drugi red: binarni log sadrži transakciju čija</w:t>
      </w:r>
      <w:r>
        <w:t xml:space="preserve"> </w:t>
      </w:r>
      <w:r>
        <w:t xml:space="preserve">je priprema izgubljena iz redo loga, pa je replike imaju, a izvor ne, što je upravo razilaženje koje</w:t>
      </w:r>
      <w:r>
        <w:t xml:space="preserve"> </w:t>
      </w:r>
      <w:r>
        <w:t xml:space="preserve">je dvofazno komitovanje trebalo da spreči. Priručnik zato preporučuje vrednosti 1 i 1, uz upozorenje</w:t>
      </w:r>
      <w:r>
        <w:t xml:space="preserve"> </w:t>
      </w:r>
      <w:r>
        <w:t xml:space="preserve">da ni one nisu garancija na diskovima koji na zahtev za sinhronizaciju odgovaraju da je obavljena,</w:t>
      </w:r>
      <w:r>
        <w:t xml:space="preserve"> </w:t>
      </w:r>
      <w:r>
        <w:t xml:space="preserve">iako nije</w:t>
      </w:r>
      <w:r>
        <w:t xml:space="preserve"> </w:t>
      </w:r>
      <w:r>
        <w:t xml:space="preserve">[11]</w:t>
      </w:r>
      <w:r>
        <w:t xml:space="preserve">. Koliko ta sigurnost košta u vremenu odziva, meri se u četvrtom</w:t>
      </w:r>
      <w:r>
        <w:t xml:space="preserve"> </w:t>
      </w:r>
      <w:r>
        <w:t xml:space="preserve">poglavlju.</w:t>
      </w:r>
    </w:p>
    <w:p>
      <w:pPr>
        <w:pStyle w:val="TableCaption"/>
      </w:pPr>
      <w:r>
        <w:t xml:space="preserve">Tabela 3.1: Šta se gubi pri padu operativnog sistema, za svaku kombinaciju vrednosti</w:t>
      </w:r>
      <w:r>
        <w:t xml:space="preserve"> </w:t>
      </w:r>
      <w:r>
        <w:rPr>
          <w:rStyle w:val="VerbatimChar"/>
        </w:rPr>
        <w:t xml:space="preserve">sync_binlog</w:t>
      </w:r>
      <w:r>
        <w:t xml:space="preserve"> </w:t>
      </w:r>
      <w:r>
        <w:t xml:space="preserve">(binarni log) i</w:t>
      </w:r>
      <w:r>
        <w:t xml:space="preserve"> </w:t>
      </w:r>
      <w:r>
        <w:rPr>
          <w:rStyle w:val="VerbatimChar"/>
        </w:rPr>
        <w:t xml:space="preserve">innodb_flush_log_at_trx_commit</w:t>
      </w:r>
      <w:r>
        <w:t xml:space="preserve"> </w:t>
      </w:r>
      <w:r>
        <w:t xml:space="preserve">(redo log). Pad samog procesa mysqld ni u jednoj kombinaciji ne gubi komitovane transakcije.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3.1: Šta se gubi pri padu operativnog sistema, za svaku kombinaciju vrednosti sync_binlog (binarni log) i innodb_flush_log_at_trx_commit (redo log). Pad samog procesa mysqld ni u jednoj kombinaciji ne gubi komitovane transakcije."/>
      </w:tblPr>
      <w:tblGrid>
        <w:gridCol w:w="1245"/>
        <w:gridCol w:w="1245"/>
        <w:gridCol w:w="54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Binarni 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Redo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Posle pada operativnog sistema ili nestanka napajanja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najveća postojanost i konzistentnost (preporuka priručnika)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binarni log ima transakciju, a redo log nema njenu pripremu: replike je imaju, izvor 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izvor može imati komitovane transakcije kojih nema u binarnom logu: izvor ih ima, replike 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gube se transakcije iz poslednje sekunde, a dva loga mogu da se raziđu</w:t>
            </w:r>
          </w:p>
        </w:tc>
      </w:tr>
    </w:tbl>
    <w:bookmarkEnd w:id="34"/>
    <w:bookmarkStart w:id="35" w:name="gtid-i-automatsko-pozicioniranje"/>
    <w:p>
      <w:pPr>
        <w:pStyle w:val="Heading2"/>
      </w:pPr>
      <w:r>
        <w:t xml:space="preserve">GTID i automatsko pozicioniranje</w:t>
      </w:r>
    </w:p>
    <w:p>
      <w:pPr>
        <w:pStyle w:val="FirstParagraph"/>
      </w:pPr>
      <w:r>
        <w:t xml:space="preserve">Replika mora da zna dokle je u logu izvora stigla, da bi posle prekida veze nastavila od prave</w:t>
      </w:r>
      <w:r>
        <w:t xml:space="preserve"> </w:t>
      </w:r>
      <w:r>
        <w:t xml:space="preserve">transakcije. Tradicionalni način je par koji čine ime datoteke binarnog loga i pozicija u njoj, ali</w:t>
      </w:r>
      <w:r>
        <w:t xml:space="preserve"> </w:t>
      </w:r>
      <w:r>
        <w:t xml:space="preserve">taj par je adresa u logu jednog servera, a ne ime transakcije: ista transakcija na izvoru i na</w:t>
      </w:r>
      <w:r>
        <w:t xml:space="preserve"> </w:t>
      </w:r>
      <w:r>
        <w:t xml:space="preserve">replici leži u različitim datotekama, na različitim pozicijama. Globalni identifikator transakcije</w:t>
      </w:r>
      <w:r>
        <w:t xml:space="preserve"> </w:t>
      </w:r>
      <w:r>
        <w:t xml:space="preserve">(GTID) transakciji daje ime koje putuje sa njom. Dodeljuje se pri komitovanju na izvoru, jedinstven</w:t>
      </w:r>
      <w:r>
        <w:t xml:space="preserve"> </w:t>
      </w:r>
      <w:r>
        <w:t xml:space="preserve">je u celoj topologiji i ima oblik</w:t>
      </w:r>
      <w:r>
        <w:t xml:space="preserve"> </w:t>
      </w:r>
      <w:r>
        <w:rPr>
          <w:rStyle w:val="VerbatimChar"/>
        </w:rPr>
        <w:t xml:space="preserve">source_id:transaction_id</w:t>
      </w:r>
      <w:r>
        <w:t xml:space="preserve">, gde je prvi deo obično</w:t>
      </w:r>
      <w:r>
        <w:t xml:space="preserve"> </w:t>
      </w:r>
      <w:r>
        <w:rPr>
          <w:rStyle w:val="VerbatimChar"/>
        </w:rPr>
        <w:t xml:space="preserve">server_uuid</w:t>
      </w:r>
      <w:r>
        <w:t xml:space="preserve"> </w:t>
      </w:r>
      <w:r>
        <w:t xml:space="preserve">izvora, a drugi redni broj transakcije na njemu. Server preskače svaku transakciju čiji je GTID već</w:t>
      </w:r>
      <w:r>
        <w:t xml:space="preserve"> </w:t>
      </w:r>
      <w:r>
        <w:t xml:space="preserve">izvršio, pa se transakcija na jednom serveru primenjuje najviše jednom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Uz opciju</w:t>
      </w:r>
      <w:r>
        <w:t xml:space="preserve"> </w:t>
      </w:r>
      <w:r>
        <w:rPr>
          <w:rStyle w:val="VerbatimChar"/>
        </w:rPr>
        <w:t xml:space="preserve">SOURCE_AUTO_POSITION = 1</w:t>
      </w:r>
      <w:r>
        <w:t xml:space="preserve"> </w:t>
      </w:r>
      <w:r>
        <w:t xml:space="preserve">naredbe</w:t>
      </w:r>
      <w:r>
        <w:t xml:space="preserve"> </w:t>
      </w:r>
      <w:r>
        <w:rPr>
          <w:rStyle w:val="VerbatimChar"/>
        </w:rPr>
        <w:t xml:space="preserve">CHANGE REPLICATION SOURCE TO</w:t>
      </w:r>
      <w:r>
        <w:t xml:space="preserve"> </w:t>
      </w:r>
      <w:r>
        <w:t xml:space="preserve">replika pri povezivanju</w:t>
      </w:r>
      <w:r>
        <w:t xml:space="preserve"> </w:t>
      </w:r>
      <w:r>
        <w:t xml:space="preserve">ne navodi ni datoteku ni poziciju, već šalje skup GTID-ova koje već ima, a izvor joj šalje sve</w:t>
      </w:r>
      <w:r>
        <w:t xml:space="preserve"> </w:t>
      </w:r>
      <w:r>
        <w:t xml:space="preserve">transakcije iz svog binarnog loga čiji GTID nije u tom skupu</w:t>
      </w:r>
      <w:r>
        <w:t xml:space="preserve"> </w:t>
      </w:r>
      <w:r>
        <w:t xml:space="preserve">[11]</w:t>
      </w:r>
      <w:r>
        <w:t xml:space="preserve">. Automatsko</w:t>
      </w:r>
      <w:r>
        <w:t xml:space="preserve"> </w:t>
      </w:r>
      <w:r>
        <w:t xml:space="preserve">pozicioniranje je, dakle, razlika dva skupa, a ne traženje adrese; obe replike u topologiji ovog</w:t>
      </w:r>
      <w:r>
        <w:t xml:space="preserve"> </w:t>
      </w:r>
      <w:r>
        <w:t xml:space="preserve">rada pokrenute su upravo tako, od praznog skupa. GTID-ovi pojednostavljuju i failover (preuzimanje</w:t>
      </w:r>
      <w:r>
        <w:t xml:space="preserve"> </w:t>
      </w:r>
      <w:r>
        <w:t xml:space="preserve">uloge izvora nakon otkaza), ali samo pozicioniranje, ne i odluku: prema priručniku, kada izvor</w:t>
      </w:r>
      <w:r>
        <w:t xml:space="preserve"> </w:t>
      </w:r>
      <w:r>
        <w:t xml:space="preserve">otkaže, operater bira repliku koja postaje novi izvor i na nju preusmerava ostale replike</w:t>
      </w:r>
      <w:r>
        <w:t xml:space="preserve"> </w:t>
      </w:r>
      <w:r>
        <w:t xml:space="preserve">[11]</w:t>
      </w:r>
      <w:r>
        <w:t xml:space="preserve">. Mehanizmi koji tu odluku donose automatski predmet su petog i šestog poglavlja.</w:t>
      </w:r>
    </w:p>
    <w:bookmarkEnd w:id="35"/>
    <w:bookmarkStart w:id="39" w:name="niti-replikacije-i-mesto-kašnjenja"/>
    <w:p>
      <w:pPr>
        <w:pStyle w:val="Heading2"/>
      </w:pPr>
      <w:r>
        <w:t xml:space="preserve">Niti replikacije i mesto kašnjenja</w:t>
      </w:r>
    </w:p>
    <w:p>
      <w:pPr>
        <w:pStyle w:val="FirstParagraph"/>
      </w:pPr>
      <w:r>
        <w:t xml:space="preserve">Put transakcije od izvora do podataka replike prikazan je na slici 3.3. Na izvoru, za svaku</w:t>
      </w:r>
      <w:r>
        <w:t xml:space="preserve"> </w:t>
      </w:r>
      <w:r>
        <w:t xml:space="preserve">povezanu repliku, po jedna nit koja šalje log (binlog dump thread) čita binarni log i šalje njegov</w:t>
      </w:r>
      <w:r>
        <w:t xml:space="preserve"> </w:t>
      </w:r>
      <w:r>
        <w:t xml:space="preserve">sadržaj replici. Na replici nit prijema (receiver thread) kopira primljene događaje u relay log, a</w:t>
      </w:r>
      <w:r>
        <w:t xml:space="preserve"> </w:t>
      </w:r>
      <w:r>
        <w:t xml:space="preserve">koordinator primene ih raspoređuje nitima primene (applier threads), kojih u verziji 8.4 podrazumevano</w:t>
      </w:r>
      <w:r>
        <w:t xml:space="preserve"> </w:t>
      </w:r>
      <w:r>
        <w:t xml:space="preserve">ima četiri. Uz podrazumevanu vrednost</w:t>
      </w:r>
      <w:r>
        <w:t xml:space="preserve"> </w:t>
      </w:r>
      <w:r>
        <w:rPr>
          <w:rStyle w:val="VerbatimChar"/>
        </w:rPr>
        <w:t xml:space="preserve">replica_preserve_commit_order = ON</w:t>
      </w:r>
      <w:r>
        <w:t xml:space="preserve"> </w:t>
      </w:r>
      <w:r>
        <w:t xml:space="preserve">niti primene komituju</w:t>
      </w:r>
      <w:r>
        <w:t xml:space="preserve"> </w:t>
      </w:r>
      <w:r>
        <w:t xml:space="preserve">transakcije redosledom iz relay loga, pa replika, uz ograničenja koja priručnik navodi, zadržava</w:t>
      </w:r>
      <w:r>
        <w:t xml:space="preserve"> </w:t>
      </w:r>
      <w:r>
        <w:t xml:space="preserve">istu istoriju transakcija kao izvor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CaptionedFigure"/>
      </w:pPr>
      <w:r>
        <w:drawing>
          <wp:inline>
            <wp:extent cx="5177790" cy="2615312"/>
            <wp:effectExtent b="0" l="0" r="0" t="0"/>
            <wp:docPr descr="Slika 3.3: Put transakcije pri asinhronoj replikaciji. Klijent dobija potvrdu čim izvor transakciju komituje, bez čekanja replike; nit koja šalje log zatim prenosi događaje replici, gde ih nit prijema upisuje u relay log, a niti primene izvršavaju." title="" id="37" name="Picture"/>
            <a:graphic>
              <a:graphicData uri="http://schemas.openxmlformats.org/drawingml/2006/picture">
                <pic:pic>
                  <pic:nvPicPr>
                    <pic:cNvPr descr="figures/03-binlog-03-tok-replikacij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90" cy="2615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3.3: Put transakcije pri asinhronoj replikaciji. Klijent dobija potvrdu čim izvor transakciju komituje, bez čekanja replike; nit koja šalje log zatim prenosi događaje replici, gde ih nit prijema upisuje u relay log, a niti primene izvršavaju.</w:t>
      </w:r>
    </w:p>
    <w:p>
      <w:pPr>
        <w:pStyle w:val="BodyText"/>
      </w:pPr>
      <w:r>
        <w:t xml:space="preserve">Ova podela objašnjava gde nastaje kašnjenje replikacije (replication lag). Nit prijema samo kopira</w:t>
      </w:r>
      <w:r>
        <w:t xml:space="preserve"> </w:t>
      </w:r>
      <w:r>
        <w:t xml:space="preserve">bajtove, dok niti primene moraju da izvrše transakcije koje je na izvoru istovremeno izvršavalo</w:t>
      </w:r>
      <w:r>
        <w:t xml:space="preserve"> </w:t>
      </w:r>
      <w:r>
        <w:t xml:space="preserve">mnogo sesija, pa je primena po pravilu sporija od prijema. To potvrđuje i merenje na topologiji</w:t>
      </w:r>
      <w:r>
        <w:t xml:space="preserve"> </w:t>
      </w:r>
      <w:r>
        <w:t xml:space="preserve">ovog rada: kada je izvor u naletu upisao četiri hiljade jednorednih transakcija, a replika node2</w:t>
      </w:r>
      <w:r>
        <w:t xml:space="preserve"> </w:t>
      </w:r>
      <w:r>
        <w:t xml:space="preserve">imala samo jednu nit primene, relay log je prestao da raste posle približno tri sekunde, dok je</w:t>
      </w:r>
      <w:r>
        <w:t xml:space="preserve"> </w:t>
      </w:r>
      <w:r>
        <w:t xml:space="preserve">kašnjenje primene raslo i posle deset sekundi. Kašnjenje se, dakle, gomila iza relay loga, a ne u</w:t>
      </w:r>
      <w:r>
        <w:t xml:space="preserve"> </w:t>
      </w:r>
      <w:r>
        <w:t xml:space="preserve">mreži, i to je polazište sedmog poglavlja.</w:t>
      </w:r>
    </w:p>
    <w:bookmarkEnd w:id="39"/>
    <w:bookmarkStart w:id="40" w:name="asinhrona-potvrda"/>
    <w:p>
      <w:pPr>
        <w:pStyle w:val="Heading2"/>
      </w:pPr>
      <w:r>
        <w:t xml:space="preserve">Asinhrona potvrda</w:t>
      </w:r>
    </w:p>
    <w:p>
      <w:pPr>
        <w:pStyle w:val="FirstParagraph"/>
      </w:pPr>
      <w:r>
        <w:t xml:space="preserve">Replikacija u MySQL-u je podrazumevano asinhrona</w:t>
      </w:r>
      <w:r>
        <w:t xml:space="preserve"> </w:t>
      </w:r>
      <w:r>
        <w:t xml:space="preserve">[11]</w:t>
      </w:r>
      <w:r>
        <w:t xml:space="preserve">: izvor transakciju komituje i</w:t>
      </w:r>
      <w:r>
        <w:t xml:space="preserve"> </w:t>
      </w:r>
      <w:r>
        <w:t xml:space="preserve">klijentu vraća potvrdu, a da nijedna replika ne mora da je primi. Zato na slici 3.3 postoji prozor</w:t>
      </w:r>
      <w:r>
        <w:t xml:space="preserve"> </w:t>
      </w:r>
      <w:r>
        <w:t xml:space="preserve">u kome potvrđena transakcija postoji samo na izvoru. Ako izvor u tom prozoru trajno otkaže, na</w:t>
      </w:r>
      <w:r>
        <w:t xml:space="preserve"> </w:t>
      </w:r>
      <w:r>
        <w:t xml:space="preserve">primer zbog kvara diska, replike transakciju nikada neće dobiti, jer događaje dobijaju isključivo od</w:t>
      </w:r>
      <w:r>
        <w:t xml:space="preserve"> </w:t>
      </w:r>
      <w:r>
        <w:t xml:space="preserve">niti koja ih na izvoru šalje, a postojanost iz prethodnih odeljaka štiti transakciju samo na disku</w:t>
      </w:r>
      <w:r>
        <w:t xml:space="preserve"> </w:t>
      </w:r>
      <w:r>
        <w:t xml:space="preserve">izvora. Kada se zatim jedna od replika unapredi u izvor, sistem se vraća u stanje starije od</w:t>
      </w:r>
      <w:r>
        <w:t xml:space="preserve"> </w:t>
      </w:r>
      <w:r>
        <w:t xml:space="preserve">potvrđenog upisa, što stroga konzistentnost iz drugog poglavlja zabranjuje.</w:t>
      </w:r>
    </w:p>
    <w:p>
      <w:pPr>
        <w:pStyle w:val="BodyText"/>
      </w:pPr>
      <w:r>
        <w:t xml:space="preserve">U terminima PACELC-a asinhrona replikacija na drugo pitanje odgovara bez zadrške: komitovanje ne</w:t>
      </w:r>
      <w:r>
        <w:t xml:space="preserve"> </w:t>
      </w:r>
      <w:r>
        <w:t xml:space="preserve">čeka druge čvorove, pa se bira latencija, a cenu plaćaju klijenti koji čitaju sa replika i, pri</w:t>
      </w:r>
      <w:r>
        <w:t xml:space="preserve"> </w:t>
      </w:r>
      <w:r>
        <w:t xml:space="preserve">otkazu izvora, sami potvrđeni upisi. Format zapisa i promenljive</w:t>
      </w:r>
      <w:r>
        <w:t xml:space="preserve"> </w:t>
      </w:r>
      <w:r>
        <w:rPr>
          <w:rStyle w:val="VerbatimChar"/>
        </w:rPr>
        <w:t xml:space="preserve">sync_binlog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innodb_flush_log_at_trx_commit</w:t>
      </w:r>
      <w:r>
        <w:t xml:space="preserve"> </w:t>
      </w:r>
      <w:r>
        <w:t xml:space="preserve">određuju samo šta je u logu i koliko je on postojan na izvoru. Ono</w:t>
      </w:r>
      <w:r>
        <w:t xml:space="preserve"> </w:t>
      </w:r>
      <w:r>
        <w:t xml:space="preserve">što se menja nije log, već trenutak u kome pisac dobija potvrdu, a asinhrona replikacija taj</w:t>
      </w:r>
      <w:r>
        <w:t xml:space="preserve"> </w:t>
      </w:r>
      <w:r>
        <w:t xml:space="preserve">trenutak postavlja najranije što je moguće. Četvrto poglavlje ga pomera, uvodeći semisinhronu</w:t>
      </w:r>
      <w:r>
        <w:t xml:space="preserve"> </w:t>
      </w:r>
      <w:r>
        <w:t xml:space="preserve">replikaciju, u kojoj izvor pre potvrde čeka da bar jedna replika primi transakciju.</w:t>
      </w:r>
    </w:p>
    <w:bookmarkEnd w:id="40"/>
    <w:bookmarkEnd w:id="41"/>
    <w:bookmarkStart w:id="49" w:name="X782b4738495dd902f8503bc4d8b959795d10b83"/>
    <w:p>
      <w:pPr>
        <w:pStyle w:val="Heading1"/>
      </w:pPr>
      <w:r>
        <w:t xml:space="preserve">4. Semisinhrona replikacija i značenje potvrde</w:t>
      </w:r>
    </w:p>
    <w:p>
      <w:pPr>
        <w:pStyle w:val="FirstParagraph"/>
      </w:pPr>
      <w:r>
        <w:t xml:space="preserve">Semisinhrona replikacija pomera trenutak potvrde: pre nego što klijentu vrati odgovor, izvor čeka</w:t>
      </w:r>
      <w:r>
        <w:t xml:space="preserve"> </w:t>
      </w:r>
      <w:r>
        <w:t xml:space="preserve">da bar jedna replika potvrdi prijem transakcije</w:t>
      </w:r>
      <w:r>
        <w:t xml:space="preserve"> </w:t>
      </w:r>
      <w:r>
        <w:t xml:space="preserve">[11]</w:t>
      </w:r>
      <w:r>
        <w:t xml:space="preserve">. Lako ju je pročitati kao</w:t>
      </w:r>
      <w:r>
        <w:t xml:space="preserve"> </w:t>
      </w:r>
      <w:r>
        <w:t xml:space="preserve">podešavanje brzine, a ovo poglavlje pokazuje da je reč o odluci o konzistentnosti, polazeći od</w:t>
      </w:r>
      <w:r>
        <w:t xml:space="preserve"> </w:t>
      </w:r>
      <w:r>
        <w:t xml:space="preserve">pitanja šta potvrda (acknowledgement) zapravo obećava. Replika potvrđuje prijem tek pošto događaje</w:t>
      </w:r>
      <w:r>
        <w:t xml:space="preserve"> </w:t>
      </w:r>
      <w:r>
        <w:t xml:space="preserve">upiše u relay log i sinhronizuje ga na disk</w:t>
      </w:r>
      <w:r>
        <w:t xml:space="preserve"> </w:t>
      </w:r>
      <w:r>
        <w:t xml:space="preserve">[11]</w:t>
      </w:r>
      <w:r>
        <w:t xml:space="preserve">. Potvrda, dakle, znači da transakcija</w:t>
      </w:r>
      <w:r>
        <w:t xml:space="preserve"> </w:t>
      </w:r>
      <w:r>
        <w:t xml:space="preserve">postoji na disku još jednog čvora, a ne da ju je replika primenila, pa čitanje sa replike i posle</w:t>
      </w:r>
      <w:r>
        <w:t xml:space="preserve"> </w:t>
      </w:r>
      <w:r>
        <w:t xml:space="preserve">potvrde može da vrati staru vrednost.</w:t>
      </w:r>
    </w:p>
    <w:p>
      <w:pPr>
        <w:pStyle w:val="BodyText"/>
      </w:pPr>
      <w:r>
        <w:t xml:space="preserve">U verziji 8.4 semisinhronu replikaciju ostvaruju dva dodatka (plugin), jedan na izvoru i jedan na</w:t>
      </w:r>
      <w:r>
        <w:t xml:space="preserve"> </w:t>
      </w:r>
      <w:r>
        <w:t xml:space="preserve">replici, koji se instaliraju naredbom</w:t>
      </w:r>
      <w:r>
        <w:t xml:space="preserve"> </w:t>
      </w:r>
      <w:r>
        <w:rPr>
          <w:rStyle w:val="VerbatimChar"/>
        </w:rPr>
        <w:t xml:space="preserve">INSTALL PLUGIN</w:t>
      </w:r>
      <w:r>
        <w:t xml:space="preserve">; na Windowsu su to biblioteke</w:t>
      </w:r>
      <w:r>
        <w:t xml:space="preserve"> </w:t>
      </w:r>
      <w:r>
        <w:rPr>
          <w:rStyle w:val="VerbatimChar"/>
        </w:rPr>
        <w:t xml:space="preserve">semisync_source.dll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semisync_replica.dll</w:t>
      </w:r>
      <w:r>
        <w:t xml:space="preserve">, a na sistemima Unix odgovarajuće datoteke sa</w:t>
      </w:r>
      <w:r>
        <w:t xml:space="preserve"> </w:t>
      </w:r>
      <w:r>
        <w:t xml:space="preserve">nastavkom</w:t>
      </w:r>
      <w:r>
        <w:t xml:space="preserve"> </w:t>
      </w:r>
      <w:r>
        <w:rPr>
          <w:rStyle w:val="VerbatimChar"/>
        </w:rPr>
        <w:t xml:space="preserve">.so</w:t>
      </w:r>
      <w:r>
        <w:t xml:space="preserve">. Dodaci su podrazumevano isključeni i uključuju se promenljivama</w:t>
      </w:r>
      <w:r>
        <w:t xml:space="preserve"> </w:t>
      </w:r>
      <w:r>
        <w:rPr>
          <w:rStyle w:val="VerbatimChar"/>
        </w:rPr>
        <w:t xml:space="preserve">rpl_semi_sync_source_enabled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rpl_semi_sync_replica_enabled</w:t>
      </w:r>
      <w:r>
        <w:t xml:space="preserve">. Izvor podrazumevano čeka potvrdu jedne</w:t>
      </w:r>
      <w:r>
        <w:t xml:space="preserve"> </w:t>
      </w:r>
      <w:r>
        <w:t xml:space="preserve">replike</w:t>
      </w:r>
      <w:r>
        <w:t xml:space="preserve"> </w:t>
      </w:r>
      <w:r>
        <w:t xml:space="preserve">[11]</w:t>
      </w:r>
      <w:r>
        <w:t xml:space="preserve">.</w:t>
      </w:r>
    </w:p>
    <w:bookmarkStart w:id="45" w:name="tačka-čekanja-after_sync-i-after_commit"/>
    <w:p>
      <w:pPr>
        <w:pStyle w:val="Heading2"/>
      </w:pPr>
      <w:r>
        <w:t xml:space="preserve">Tačka čekanja: AFTER_SYNC i AFTER_COMMIT</w:t>
      </w:r>
    </w:p>
    <w:p>
      <w:pPr>
        <w:pStyle w:val="FirstParagraph"/>
      </w:pPr>
      <w:r>
        <w:t xml:space="preserve">Treće poglavlje pokazalo je da o ishodu transakcije odlučuje upis u binarni log. Šta drugi klijenti</w:t>
      </w:r>
      <w:r>
        <w:t xml:space="preserve"> </w:t>
      </w:r>
      <w:r>
        <w:t xml:space="preserve">vide, međutim, ne određuje binarni log, već komitovanje u InnoDB-u, koje u dvofaznom komitovanju</w:t>
      </w:r>
      <w:r>
        <w:t xml:space="preserve"> </w:t>
      </w:r>
      <w:r>
        <w:t xml:space="preserve">dolazi posle njega. Odluka i vidljivost su dva različita trenutka, pa izvor potvrdu može da čeka na</w:t>
      </w:r>
      <w:r>
        <w:t xml:space="preserve"> </w:t>
      </w:r>
      <w:r>
        <w:t xml:space="preserve">dva mesta, prikazana na slici 4.1. Tačku čekanja (wait point) bira promenljiva</w:t>
      </w:r>
      <w:r>
        <w:t xml:space="preserve"> </w:t>
      </w:r>
      <w:r>
        <w:rPr>
          <w:rStyle w:val="VerbatimChar"/>
        </w:rPr>
        <w:t xml:space="preserve">rpl_semi_sync_source_wait_point</w:t>
      </w:r>
      <w:r>
        <w:t xml:space="preserve">. Uz podrazumevanu vrednost</w:t>
      </w:r>
      <w:r>
        <w:t xml:space="preserve"> </w:t>
      </w:r>
      <w:r>
        <w:rPr>
          <w:rStyle w:val="VerbatimChar"/>
        </w:rPr>
        <w:t xml:space="preserve">AFTER_SYNC</w:t>
      </w:r>
      <w:r>
        <w:t xml:space="preserve"> </w:t>
      </w:r>
      <w:r>
        <w:t xml:space="preserve">izvor čeka posle</w:t>
      </w:r>
      <w:r>
        <w:t xml:space="preserve"> </w:t>
      </w:r>
      <w:r>
        <w:t xml:space="preserve">sinhronizacije binarnog loga, a pre komitovanja u InnoDB-u, pa svi klijenti transakciju vide</w:t>
      </w:r>
      <w:r>
        <w:t xml:space="preserve"> </w:t>
      </w:r>
      <w:r>
        <w:t xml:space="preserve">istovremeno, tek pošto ju je replika potvrdila. Uz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izvor čeka posle komitovanja u</w:t>
      </w:r>
      <w:r>
        <w:t xml:space="preserve"> </w:t>
      </w:r>
      <w:r>
        <w:t xml:space="preserve">InnoDB-u, pa drugi klijenti transakciju vide pre klijenta koji ju je upisao</w:t>
      </w:r>
      <w:r>
        <w:t xml:space="preserve"> </w:t>
      </w:r>
      <w:r>
        <w:t xml:space="preserve">[11]</w:t>
      </w:r>
      <w:r>
        <w:t xml:space="preserve">. Verzije</w:t>
      </w:r>
      <w:r>
        <w:t xml:space="preserve"> </w:t>
      </w:r>
      <w:r>
        <w:t xml:space="preserve">starije od 5.7.2, u kojoj je izbor uveden, ponašale su se kao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CaptionedFigure"/>
      </w:pPr>
      <w:r>
        <w:drawing>
          <wp:inline>
            <wp:extent cx="5753100" cy="2098707"/>
            <wp:effectExtent b="0" l="0" r="0" t="0"/>
            <wp:docPr descr="Slika 4.1: Koraci komitovanja transakcije T na izvoru pri semisinhronoj replikaciji i dve tačke na kojima izvor može da čeka potvrdu replike. Aktivna je samo jedna, zavisno od vrednosti promenljive rpl_semi_sync_source_wait_point." title="" id="43" name="Picture"/>
            <a:graphic>
              <a:graphicData uri="http://schemas.openxmlformats.org/drawingml/2006/picture">
                <pic:pic>
                  <pic:nvPicPr>
                    <pic:cNvPr descr="figures/04-semisync-01-tacke-cekanj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9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4.1: Koraci komitovanja transakcije T na izvoru pri semisinhronoj replikaciji i dve tačke na kojima izvor može da čeka potvrdu replike. Aktivna je samo jedna, zavisno od vrednosti promenljive rpl_semi_sync_source_wait_point.</w:t>
      </w:r>
    </w:p>
    <w:p>
      <w:pPr>
        <w:pStyle w:val="BodyText"/>
      </w:pPr>
      <w:r>
        <w:t xml:space="preserve">Interval u kome drugi klijenti vide transakciju, a nijedna replika je nema, u ovom radu naziva se</w:t>
      </w:r>
      <w:r>
        <w:t xml:space="preserve"> </w:t>
      </w:r>
      <w:r>
        <w:t xml:space="preserve">prozor vidljivosti. Na jednom računaru on traje koliko povratno putovanje (round-trip time) do</w:t>
      </w:r>
      <w:r>
        <w:t xml:space="preserve"> </w:t>
      </w:r>
      <w:r>
        <w:t xml:space="preserve">replike, prekratak da bi se pouzdano izmerio, pa je u merenju veštački produžen: na obe replike</w:t>
      </w:r>
      <w:r>
        <w:t xml:space="preserve"> </w:t>
      </w:r>
      <w:r>
        <w:t xml:space="preserve">zaustavljena je nit prijema, tako da potvrda nije stizala, a istek vremena postavljen je na tri</w:t>
      </w:r>
      <w:r>
        <w:t xml:space="preserve"> </w:t>
      </w:r>
      <w:r>
        <w:t xml:space="preserve">sekunde. Druga sesija na izvoru proveravala je postojanje novog reda u razmacima kraćim od jedne</w:t>
      </w:r>
      <w:r>
        <w:t xml:space="preserve"> </w:t>
      </w:r>
      <w:r>
        <w:t xml:space="preserve">milisekunde. Uz</w:t>
      </w:r>
      <w:r>
        <w:t xml:space="preserve"> </w:t>
      </w:r>
      <w:r>
        <w:rPr>
          <w:rStyle w:val="VerbatimChar"/>
        </w:rPr>
        <w:t xml:space="preserve">AFTER_SYNC</w:t>
      </w:r>
      <w:r>
        <w:t xml:space="preserve"> </w:t>
      </w:r>
      <w:r>
        <w:t xml:space="preserve">red je postao vidljiv u istom trenutku u kome je pisac dobio</w:t>
      </w:r>
      <w:r>
        <w:t xml:space="preserve"> </w:t>
      </w:r>
      <w:r>
        <w:t xml:space="preserve">potvrdu, pa prozora nije bilo. Uz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druga sesija videla je red posle pet milisekundi,</w:t>
      </w:r>
      <w:r>
        <w:t xml:space="preserve"> </w:t>
      </w:r>
      <w:r>
        <w:t xml:space="preserve">tri sekunde pre pisca, dok ga nijedna replika nije imala.</w:t>
      </w:r>
    </w:p>
    <w:bookmarkEnd w:id="45"/>
    <w:bookmarkStart w:id="46" w:name="čitanje-koje-failover-poništava"/>
    <w:p>
      <w:pPr>
        <w:pStyle w:val="Heading2"/>
      </w:pPr>
      <w:r>
        <w:t xml:space="preserve">Čitanje koje failover poništava</w:t>
      </w:r>
    </w:p>
    <w:p>
      <w:pPr>
        <w:pStyle w:val="FirstParagraph"/>
      </w:pPr>
      <w:r>
        <w:t xml:space="preserve">Prozor postaje anomalija kada izvor u njemu otkaže. U drugom merenju, uz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, druga</w:t>
      </w:r>
      <w:r>
        <w:t xml:space="preserve"> </w:t>
      </w:r>
      <w:r>
        <w:t xml:space="preserve">sesija pročitala je novi red dok je pisac još čekao potvrdu. Proces izvora zatim je prinudno</w:t>
      </w:r>
      <w:r>
        <w:t xml:space="preserve"> </w:t>
      </w:r>
      <w:r>
        <w:t xml:space="preserve">zaustavljen, a node2 unapređen u izvor. Pisac je dobio grešku o prekinutoj vezi, ali reda nema ni</w:t>
      </w:r>
      <w:r>
        <w:t xml:space="preserve"> </w:t>
      </w:r>
      <w:r>
        <w:t xml:space="preserve">na node2 ni na node3: klijent je pročitao podatak koji je sistem posle failovera izgubio. Anomaliju,</w:t>
      </w:r>
      <w:r>
        <w:t xml:space="preserve"> </w:t>
      </w:r>
      <w:r>
        <w:t xml:space="preserve">dakle, ne trpi pisac, već čitalac. Ona krši strogu konzistentnost, ali i znatno slabija monotona</w:t>
      </w:r>
      <w:r>
        <w:t xml:space="preserve"> </w:t>
      </w:r>
      <w:r>
        <w:t xml:space="preserve">čitanja, jer čitalac koji se posle failovera poveže na novi izvor vidi stanje starije od već</w:t>
      </w:r>
      <w:r>
        <w:t xml:space="preserve"> </w:t>
      </w:r>
      <w:r>
        <w:t xml:space="preserve">viđenog. Priručnik ovu mogućnost navodi izričito: uz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klijenti mogu da uoče gubitak</w:t>
      </w:r>
      <w:r>
        <w:t xml:space="preserve"> </w:t>
      </w:r>
      <w:r>
        <w:t xml:space="preserve">podataka u odnosu na ono što su videli na izvoru</w:t>
      </w:r>
      <w:r>
        <w:t xml:space="preserve"> </w:t>
      </w:r>
      <w:r>
        <w:t xml:space="preserve">[11]</w:t>
      </w:r>
      <w:r>
        <w:t xml:space="preserve">. Razlika između dve tačke čekanja</w:t>
      </w:r>
      <w:r>
        <w:t xml:space="preserve"> </w:t>
      </w:r>
      <w:r>
        <w:t xml:space="preserve">zato nije razlika u brzini, već u tome da li sistem sme da pokaže ono što ne može da sačuva.</w:t>
      </w:r>
    </w:p>
    <w:p>
      <w:pPr>
        <w:pStyle w:val="BodyText"/>
      </w:pPr>
      <w:r>
        <w:t xml:space="preserve">Failover je u trećem poglavlju definisan kao preuzimanje uloge izvora nakon otkaza, a njegova</w:t>
      </w:r>
      <w:r>
        <w:t xml:space="preserve"> </w:t>
      </w:r>
      <w:r>
        <w:t xml:space="preserve">suprotnost je switchover (planirana promena uloga). Pri switchoveru stari izvor je dostupan, pa se</w:t>
      </w:r>
      <w:r>
        <w:t xml:space="preserve"> </w:t>
      </w:r>
      <w:r>
        <w:t xml:space="preserve">pre promene usklađuje sa novim i postaje replika, dok failover unapređuje repliku bez usklađivanja</w:t>
      </w:r>
      <w:r>
        <w:t xml:space="preserve"> </w:t>
      </w:r>
      <w:r>
        <w:t xml:space="preserve">sa starim izvorom</w:t>
      </w:r>
      <w:r>
        <w:t xml:space="preserve"> </w:t>
      </w:r>
      <w:r>
        <w:t xml:space="preserve">[12]</w:t>
      </w:r>
      <w:r>
        <w:t xml:space="preserve">. Zato priručnik propisuje da otkazali semisinhroni izvor ne treba</w:t>
      </w:r>
      <w:r>
        <w:t xml:space="preserve"> </w:t>
      </w:r>
      <w:r>
        <w:t xml:space="preserve">ponovo koristiti, već ga treba odbaciti, jer može da sadrži transakcije koje nijedna replika nije</w:t>
      </w:r>
      <w:r>
        <w:t xml:space="preserve"> </w:t>
      </w:r>
      <w:r>
        <w:t xml:space="preserve">potvrdila</w:t>
      </w:r>
      <w:r>
        <w:t xml:space="preserve"> 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Merenje pokazuje da ovo važi i uz</w:t>
      </w:r>
      <w:r>
        <w:t xml:space="preserve"> </w:t>
      </w:r>
      <w:r>
        <w:rPr>
          <w:rStyle w:val="VerbatimChar"/>
        </w:rPr>
        <w:t xml:space="preserve">AFTER_SYNC</w:t>
      </w:r>
      <w:r>
        <w:t xml:space="preserve">. Ponovo pokrenut node1 imao je izgubljeni red pri</w:t>
      </w:r>
      <w:r>
        <w:t xml:space="preserve"> </w:t>
      </w:r>
      <w:r>
        <w:t xml:space="preserve">obe tačke čekanja. Uz</w:t>
      </w:r>
      <w:r>
        <w:t xml:space="preserve"> </w:t>
      </w:r>
      <w:r>
        <w:rPr>
          <w:rStyle w:val="VerbatimChar"/>
        </w:rPr>
        <w:t xml:space="preserve">AFTER_SYNC</w:t>
      </w:r>
      <w:r>
        <w:t xml:space="preserve"> </w:t>
      </w:r>
      <w:r>
        <w:t xml:space="preserve">transakcija je u trenutku pada bila pripremljena i upisana u</w:t>
      </w:r>
      <w:r>
        <w:t xml:space="preserve"> </w:t>
      </w:r>
      <w:r>
        <w:t xml:space="preserve">binarni log, pa ju je oporavak, po pravilu dvofaznog komitovanja, komitovao, iako je nijedna</w:t>
      </w:r>
      <w:r>
        <w:t xml:space="preserve"> </w:t>
      </w:r>
      <w:r>
        <w:t xml:space="preserve">replika nije potvrdila niti ju je iko video. Stari izvor tako ima višak transakcija (errant</w:t>
      </w:r>
      <w:r>
        <w:t xml:space="preserve"> </w:t>
      </w:r>
      <w:r>
        <w:t xml:space="preserve">transactions), sa GTID-om koji novi izvor nema. Povezan zatim kao replika na node2 uz automatsko</w:t>
      </w:r>
      <w:r>
        <w:t xml:space="preserve"> </w:t>
      </w:r>
      <w:r>
        <w:t xml:space="preserve">pozicioniranje, node1 je pokrenuo obe niti bez ijedne greške, a kontrolni zbirovi tabele na dva</w:t>
      </w:r>
      <w:r>
        <w:t xml:space="preserve"> </w:t>
      </w:r>
      <w:r>
        <w:t xml:space="preserve">čvora su se razlikovali. MySQL odbija repliku koja ima više transakcija od izvora samo kada te</w:t>
      </w:r>
      <w:r>
        <w:t xml:space="preserve"> </w:t>
      </w:r>
      <w:r>
        <w:t xml:space="preserve">transakcije nose identifikator samog izvora</w:t>
      </w:r>
      <w:r>
        <w:t xml:space="preserve"> </w:t>
      </w:r>
      <w:r>
        <w:t xml:space="preserve">[11]</w:t>
      </w:r>
      <w:r>
        <w:t xml:space="preserve">, a ovaj višak nosi identifikator</w:t>
      </w:r>
      <w:r>
        <w:t xml:space="preserve"> </w:t>
      </w:r>
      <w:r>
        <w:t xml:space="preserve">starog izvora, pa je razilaženje tiho. Višak nije moguće ni jednostavno proslediti novom izvoru:</w:t>
      </w:r>
      <w:r>
        <w:t xml:space="preserve"> </w:t>
      </w:r>
      <w:r>
        <w:t xml:space="preserve">dva čvora čiji su se logovi razišli postaju dva izvora upisa, odnosno multi-leader replikacija iz</w:t>
      </w:r>
      <w:r>
        <w:t xml:space="preserve"> </w:t>
      </w:r>
      <w:r>
        <w:t xml:space="preserve">drugog poglavlja, sa sukobom koji niko ne razrešava.</w:t>
      </w:r>
    </w:p>
    <w:bookmarkEnd w:id="46"/>
    <w:bookmarkStart w:id="47" w:name="istek-vremena-i-tiha-degradacija"/>
    <w:p>
      <w:pPr>
        <w:pStyle w:val="Heading2"/>
      </w:pPr>
      <w:r>
        <w:t xml:space="preserve">Istek vremena i tiha degradacija</w:t>
      </w:r>
    </w:p>
    <w:p>
      <w:pPr>
        <w:pStyle w:val="FirstParagraph"/>
      </w:pPr>
      <w:r>
        <w:t xml:space="preserve">Izvor ne čeka potvrdu neograničeno. Ako je nijedna replika ne pošalje u roku</w:t>
      </w:r>
      <w:r>
        <w:t xml:space="preserve"> </w:t>
      </w:r>
      <w:r>
        <w:rPr>
          <w:rStyle w:val="VerbatimChar"/>
        </w:rPr>
        <w:t xml:space="preserve">rpl_semi_sync_source_timeout</w:t>
      </w:r>
      <w:r>
        <w:t xml:space="preserve">, podrazumevano deset sekundi, izvor se vraća na asinhronu</w:t>
      </w:r>
      <w:r>
        <w:t xml:space="preserve"> </w:t>
      </w:r>
      <w:r>
        <w:t xml:space="preserve">replikaciju, a semisinhronoj se vraća tek kada ga neka replika sustigne</w:t>
      </w:r>
      <w:r>
        <w:t xml:space="preserve"> </w:t>
      </w:r>
      <w:r>
        <w:t xml:space="preserve">[11]</w:t>
      </w:r>
      <w:r>
        <w:t xml:space="preserve">. Klijent</w:t>
      </w:r>
      <w:r>
        <w:t xml:space="preserve"> </w:t>
      </w:r>
      <w:r>
        <w:t xml:space="preserve">pri tome ne dobija grešku, već uobičajenu potvrdu. Na topologiji ovog rada, uz istek vremena od</w:t>
      </w:r>
      <w:r>
        <w:t xml:space="preserve"> </w:t>
      </w:r>
      <w:r>
        <w:t xml:space="preserve">jedne sekunde i zaustavljene niti prijema, prvo komitovanje čekalo je punu sekundu i uspelo, a već</w:t>
      </w:r>
      <w:r>
        <w:t xml:space="preserve"> </w:t>
      </w:r>
      <w:r>
        <w:t xml:space="preserve">drugo trajalo je manje od milisekunde, kao asinhrono. Tiha degradacija nije kvar, već podrazumevani</w:t>
      </w:r>
      <w:r>
        <w:t xml:space="preserve"> </w:t>
      </w:r>
      <w:r>
        <w:t xml:space="preserve">izbor: kada replike nisu dostupne, izvor bira dostupnost, a ne konzistentnost.</w:t>
      </w:r>
    </w:p>
    <w:p>
      <w:pPr>
        <w:pStyle w:val="BodyText"/>
      </w:pPr>
      <w:r>
        <w:t xml:space="preserve">Pošto klijent degradaciju ne vidi, uočavanje je posao operatera. U merenjima su je pokazali</w:t>
      </w:r>
      <w:r>
        <w:t xml:space="preserve"> </w:t>
      </w:r>
      <w:r>
        <w:t xml:space="preserve">sledeći znaci: promenljiva statusa</w:t>
      </w:r>
      <w:r>
        <w:t xml:space="preserve"> </w:t>
      </w:r>
      <w:r>
        <w:rPr>
          <w:rStyle w:val="VerbatimChar"/>
        </w:rPr>
        <w:t xml:space="preserve">Rpl_semi_sync_source_status</w:t>
      </w:r>
      <w:r>
        <w:t xml:space="preserve"> </w:t>
      </w:r>
      <w:r>
        <w:t xml:space="preserve">prelazi sa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OFF</w:t>
      </w:r>
      <w:r>
        <w:t xml:space="preserve">;</w:t>
      </w:r>
      <w:r>
        <w:t xml:space="preserve"> </w:t>
      </w:r>
      <w:r>
        <w:t xml:space="preserve">rastu</w:t>
      </w:r>
      <w:r>
        <w:t xml:space="preserve"> </w:t>
      </w:r>
      <w:r>
        <w:rPr>
          <w:rStyle w:val="VerbatimChar"/>
        </w:rPr>
        <w:t xml:space="preserve">Rpl_semi_sync_source_no_tx</w:t>
      </w:r>
      <w:r>
        <w:t xml:space="preserve">, broj nepotvrđenih transakcija, i</w:t>
      </w:r>
      <w:r>
        <w:t xml:space="preserve"> </w:t>
      </w:r>
      <w:r>
        <w:rPr>
          <w:rStyle w:val="VerbatimChar"/>
        </w:rPr>
        <w:t xml:space="preserve">Rpl_semi_sync_source_no_times</w:t>
      </w:r>
      <w:r>
        <w:t xml:space="preserve">, broj isključivanja semisinhrone replikacije; brojač potvrđenih</w:t>
      </w:r>
      <w:r>
        <w:t xml:space="preserve"> </w:t>
      </w:r>
      <w:r>
        <w:t xml:space="preserve">transakcija</w:t>
      </w:r>
      <w:r>
        <w:t xml:space="preserve"> </w:t>
      </w:r>
      <w:r>
        <w:rPr>
          <w:rStyle w:val="VerbatimChar"/>
        </w:rPr>
        <w:t xml:space="preserve">Rpl_semi_sync_source_yes_tx</w:t>
      </w:r>
      <w:r>
        <w:t xml:space="preserve"> </w:t>
      </w:r>
      <w:r>
        <w:t xml:space="preserve">prestaje da raste; u logu grešaka pojavljuje se</w:t>
      </w:r>
      <w:r>
        <w:t xml:space="preserve"> </w:t>
      </w:r>
      <w:r>
        <w:t xml:space="preserve">upozorenje MY-011153 o isteku vremena; a jedno komitovanje traje koliko ceo istek vremena. Broj</w:t>
      </w:r>
      <w:r>
        <w:t xml:space="preserve"> </w:t>
      </w:r>
      <w:r>
        <w:t xml:space="preserve">povezanih semisinhronih replika,</w:t>
      </w:r>
      <w:r>
        <w:t xml:space="preserve"> </w:t>
      </w:r>
      <w:r>
        <w:rPr>
          <w:rStyle w:val="VerbatimChar"/>
        </w:rPr>
        <w:t xml:space="preserve">Rpl_semi_sync_source_clients</w:t>
      </w:r>
      <w:r>
        <w:t xml:space="preserve">, nije pouzdan znak: u jednom</w:t>
      </w:r>
      <w:r>
        <w:t xml:space="preserve"> </w:t>
      </w:r>
      <w:r>
        <w:t xml:space="preserve">merenju pao je na nulu, a u drugom je ostao 2, iako su obe niti prijema bile zaustavljene.</w:t>
      </w:r>
    </w:p>
    <w:bookmarkEnd w:id="47"/>
    <w:bookmarkStart w:id="48" w:name="cena-potvrde"/>
    <w:p>
      <w:pPr>
        <w:pStyle w:val="Heading2"/>
      </w:pPr>
      <w:r>
        <w:t xml:space="preserve">Cena potvrde</w:t>
      </w:r>
    </w:p>
    <w:p>
      <w:pPr>
        <w:pStyle w:val="FirstParagraph"/>
      </w:pPr>
      <w:r>
        <w:t xml:space="preserve">Prema priručniku, semisinhrona replikacija komitovanje produžava najmanje za jedno povratno</w:t>
      </w:r>
      <w:r>
        <w:t xml:space="preserve"> </w:t>
      </w:r>
      <w:r>
        <w:t xml:space="preserve">putovanje do replike po protokolu TCP/IP</w:t>
      </w:r>
      <w:r>
        <w:t xml:space="preserve"> </w:t>
      </w:r>
      <w:r>
        <w:t xml:space="preserve">[11]</w:t>
      </w:r>
      <w:r>
        <w:t xml:space="preserve">. Tabela 4.1 prikazuje prosečno trajanje</w:t>
      </w:r>
      <w:r>
        <w:t xml:space="preserve"> </w:t>
      </w:r>
      <w:r>
        <w:t xml:space="preserve">komitovanja za četiri kombinacije postojanosti iz tabele 3.1, bez semisinhrone replikacije i sa</w:t>
      </w:r>
      <w:r>
        <w:t xml:space="preserve"> </w:t>
      </w:r>
      <w:r>
        <w:t xml:space="preserve">njom. U prva tri reda razlika je mala i nema stalan smer, a ponovljena merenja za prvi red</w:t>
      </w:r>
      <w:r>
        <w:t xml:space="preserve"> </w:t>
      </w:r>
      <w:r>
        <w:t xml:space="preserve">pokazuju da je manja od njihovog rasipanja: povratno putovanje na jednom računaru kraće je od</w:t>
      </w:r>
      <w:r>
        <w:t xml:space="preserve"> </w:t>
      </w:r>
      <w:r>
        <w:t xml:space="preserve">sinhronizacija diska koje komitovanje ionako čeka. Tek kada se obe sinhronizacije isključe, cena</w:t>
      </w:r>
      <w:r>
        <w:t xml:space="preserve"> </w:t>
      </w:r>
      <w:r>
        <w:t xml:space="preserve">potvrde postaje vidljiva i trajanje komitovanja se udvostručuje. Sa rastojanjem između čvorova</w:t>
      </w:r>
      <w:r>
        <w:t xml:space="preserve"> </w:t>
      </w:r>
      <w:r>
        <w:t xml:space="preserve">raste i povratno putovanje, čemu se vraća šesto poglavlje.</w:t>
      </w:r>
    </w:p>
    <w:p>
      <w:pPr>
        <w:pStyle w:val="TableCaption"/>
      </w:pPr>
      <w:r>
        <w:t xml:space="preserve">Tabela 4.1: Prosečno trajanje komitovanja jednoredne transakcije na izvoru (node1), sa dve replike na istom računaru, MySQL 8.4.11. Svaka ćelija je prosek 300 komitovanja; prvi red je prosek tri naizmenično ponovljena para merenja.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4.1: Prosečno trajanje komitovanja jednoredne transakcije na izvoru (node1), sa dve replike na istom računaru, MySQL 8.4.11. Svaka ćelija je prosek 300 komitovanja; prvi red je prosek tri naizmenično ponovljena para merenja.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sync_binlog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innodb_flush_log_at_trx_commit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Asinhrona (µs)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Semisinhrona,</w:t>
            </w:r>
            <w:r>
              <w:t xml:space="preserve"> </w:t>
            </w:r>
            <w:r>
              <w:rPr>
                <w:rStyle w:val="VerbatimChar"/>
              </w:rPr>
              <w:t xml:space="preserve">AFTER_SYNC</w:t>
            </w:r>
            <w:r>
              <w:t xml:space="preserve"> </w:t>
            </w:r>
            <w:r>
              <w:t xml:space="preserve">(µs)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</w:tr>
    </w:tbl>
    <w:p>
      <w:pPr>
        <w:pStyle w:val="BodyText"/>
      </w:pPr>
      <w:r>
        <w:t xml:space="preserve">Semisinhrona replikacija na drugo pitanje PACELC-a odgovara drugačije od asinhrone: komitovanje</w:t>
      </w:r>
      <w:r>
        <w:t xml:space="preserve"> </w:t>
      </w:r>
      <w:r>
        <w:t xml:space="preserve">čeka jedan drugi čvor. Garancija koju time dobija uža je, međutim, nego što naziv sugeriše.</w:t>
      </w:r>
      <w:r>
        <w:t xml:space="preserve"> </w:t>
      </w:r>
      <w:r>
        <w:t xml:space="preserve">Potvrda znači da je transakcija na disku jedne replike, a ne da je primenjena; važi samo dok ne</w:t>
      </w:r>
      <w:r>
        <w:t xml:space="preserve"> </w:t>
      </w:r>
      <w:r>
        <w:t xml:space="preserve">istekne vreme čekanja; uz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ne sprečava čitanje koje failover poništava; i ni uz</w:t>
      </w:r>
      <w:r>
        <w:t xml:space="preserve"> </w:t>
      </w:r>
      <w:r>
        <w:t xml:space="preserve">jednu tačku čekanja ne čini otkazali izvor ponovo upotrebljivim. Tačku čekanja, broj potvrda i</w:t>
      </w:r>
      <w:r>
        <w:t xml:space="preserve"> </w:t>
      </w:r>
      <w:r>
        <w:t xml:space="preserve">istek vremena bira operater, a od tog izbora, i od toga da li prati znake degradacije, zavisi koju</w:t>
      </w:r>
      <w:r>
        <w:t xml:space="preserve"> </w:t>
      </w:r>
      <w:r>
        <w:t xml:space="preserve">konzistentnost sistem zaista pruža. Peto poglavlje prelazi na Group Replication, u kojoj komitovanje</w:t>
      </w:r>
      <w:r>
        <w:t xml:space="preserve"> </w:t>
      </w:r>
      <w:r>
        <w:t xml:space="preserve">znači da se o mestu transakcije u redosledu složila većina grupe.</w:t>
      </w:r>
    </w:p>
    <w:bookmarkEnd w:id="48"/>
    <w:bookmarkEnd w:id="49"/>
    <w:bookmarkStart w:id="81" w:name="bibliography"/>
    <w:p>
      <w:pPr>
        <w:pStyle w:val="Heading1"/>
      </w:pPr>
      <w:r>
        <w:t xml:space="preserve">Reference</w:t>
      </w:r>
    </w:p>
    <w:bookmarkStart w:id="80" w:name="refs"/>
    <w:bookmarkStart w:id="51" w:name="ref-lamport1978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L. Lamport,</w:t>
      </w:r>
      <w:r>
        <w:t xml:space="preserve"> </w:t>
      </w:r>
      <w:r>
        <w:t xml:space="preserve">“Time, clocks, and the ordering of events in a distributed system,”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vol. 21, no. 7, pp. 558–565, Jul. 1978, doi:</w:t>
      </w:r>
      <w:r>
        <w:t xml:space="preserve"> </w:t>
      </w:r>
      <w:hyperlink r:id="rId50">
        <w:r>
          <w:rPr>
            <w:rStyle w:val="Hyperlink"/>
          </w:rPr>
          <w:t xml:space="preserve">10.1145/359545.359563</w:t>
        </w:r>
      </w:hyperlink>
      <w:r>
        <w:t xml:space="preserve">.</w:t>
      </w:r>
    </w:p>
    <w:bookmarkEnd w:id="51"/>
    <w:bookmarkStart w:id="53" w:name="ref-gilbert2002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Gilbert and N. Lynch,</w:t>
      </w:r>
      <w:r>
        <w:t xml:space="preserve"> </w:t>
      </w:r>
      <w:r>
        <w:t xml:space="preserve">“Brewer’s conjecture and the feasibility of consistent, available, partition-tolerant web services,”</w:t>
      </w:r>
      <w:r>
        <w:t xml:space="preserve"> </w:t>
      </w:r>
      <w:r>
        <w:rPr>
          <w:i/>
          <w:iCs/>
        </w:rPr>
        <w:t xml:space="preserve">ACM SIGACT News</w:t>
      </w:r>
      <w:r>
        <w:t xml:space="preserve">, vol. 33, no. 2, pp. 51–59, Jun. 2002, doi:</w:t>
      </w:r>
      <w:r>
        <w:t xml:space="preserve"> </w:t>
      </w:r>
      <w:hyperlink r:id="rId52">
        <w:r>
          <w:rPr>
            <w:rStyle w:val="Hyperlink"/>
          </w:rPr>
          <w:t xml:space="preserve">10.1145/564585.564601</w:t>
        </w:r>
      </w:hyperlink>
      <w:r>
        <w:t xml:space="preserve">.</w:t>
      </w:r>
    </w:p>
    <w:bookmarkEnd w:id="53"/>
    <w:bookmarkStart w:id="55" w:name="ref-herlihy1990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P. Herlihy and J. M. Wing,</w:t>
      </w:r>
      <w:r>
        <w:t xml:space="preserve"> </w:t>
      </w:r>
      <w:r>
        <w:t xml:space="preserve">“Linearizability: A correctness condition for concurrent objects,”</w:t>
      </w:r>
      <w:r>
        <w:t xml:space="preserve"> </w:t>
      </w:r>
      <w:r>
        <w:rPr>
          <w:i/>
          <w:iCs/>
        </w:rPr>
        <w:t xml:space="preserve">ACM Transactions on Programming Languages and Systems</w:t>
      </w:r>
      <w:r>
        <w:t xml:space="preserve">, vol. 12, no. 3, pp. 463–492, Jul. 1990, doi:</w:t>
      </w:r>
      <w:r>
        <w:t xml:space="preserve"> </w:t>
      </w:r>
      <w:hyperlink r:id="rId54">
        <w:r>
          <w:rPr>
            <w:rStyle w:val="Hyperlink"/>
          </w:rPr>
          <w:t xml:space="preserve">10.1145/78969.78972</w:t>
        </w:r>
      </w:hyperlink>
      <w:r>
        <w:t xml:space="preserve">.</w:t>
      </w:r>
    </w:p>
    <w:bookmarkEnd w:id="55"/>
    <w:bookmarkStart w:id="57" w:name="ref-vogels2008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Vogels,</w:t>
      </w:r>
      <w:r>
        <w:t xml:space="preserve"> </w:t>
      </w:r>
      <w:r>
        <w:t xml:space="preserve">“Eventually consistent,”</w:t>
      </w:r>
      <w:r>
        <w:t xml:space="preserve"> </w:t>
      </w:r>
      <w:r>
        <w:rPr>
          <w:i/>
          <w:iCs/>
        </w:rPr>
        <w:t xml:space="preserve">ACM Queue</w:t>
      </w:r>
      <w:r>
        <w:t xml:space="preserve">, vol. 6, no. 6, pp. 14–19, Oct. 2008, doi:</w:t>
      </w:r>
      <w:r>
        <w:t xml:space="preserve"> </w:t>
      </w:r>
      <w:hyperlink r:id="rId56">
        <w:r>
          <w:rPr>
            <w:rStyle w:val="Hyperlink"/>
          </w:rPr>
          <w:t xml:space="preserve">10.1145/1466443.1466448</w:t>
        </w:r>
      </w:hyperlink>
      <w:r>
        <w:t xml:space="preserve">.</w:t>
      </w:r>
    </w:p>
    <w:bookmarkEnd w:id="57"/>
    <w:bookmarkStart w:id="59" w:name="ref-terry1994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D. B. Terry, A. J. Demers, K. Petersen, M. J. Spreitzer, M. M. Theimer, and B. B. Welch,</w:t>
      </w:r>
      <w:r>
        <w:t xml:space="preserve"> </w:t>
      </w:r>
      <w:r>
        <w:t xml:space="preserve">“Session guarantees for weakly consistent replicated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third international conference on parallel and distributed information systems (PDIS ’94)</w:t>
      </w:r>
      <w:r>
        <w:t xml:space="preserve">, Austin, TX, USA: IEEE Computer Society, Sep. 1994, pp. 140–149. doi:</w:t>
      </w:r>
      <w:r>
        <w:t xml:space="preserve"> </w:t>
      </w:r>
      <w:hyperlink r:id="rId58">
        <w:r>
          <w:rPr>
            <w:rStyle w:val="Hyperlink"/>
          </w:rPr>
          <w:t xml:space="preserve">10.1109/PDIS.1994.331722</w:t>
        </w:r>
      </w:hyperlink>
      <w:r>
        <w:t xml:space="preserve">.</w:t>
      </w:r>
    </w:p>
    <w:bookmarkEnd w:id="59"/>
    <w:bookmarkStart w:id="60" w:name="ref-brewer2000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E. A. Brewer,</w:t>
      </w:r>
      <w:r>
        <w:t xml:space="preserve"> </w:t>
      </w:r>
      <w:r>
        <w:t xml:space="preserve">“Towards robust distributed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19th annual ACM symposium on principles of distributed computing (PODC 2000)</w:t>
      </w:r>
      <w:r>
        <w:t xml:space="preserve">, Jul. 2000.</w:t>
      </w:r>
    </w:p>
    <w:bookmarkEnd w:id="60"/>
    <w:bookmarkStart w:id="62" w:name="ref-brewer2012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Brewer,</w:t>
      </w:r>
      <w:r>
        <w:t xml:space="preserve"> </w:t>
      </w:r>
      <w:r>
        <w:t xml:space="preserve">“</w:t>
      </w:r>
      <w:r>
        <w:t xml:space="preserve">CAP</w:t>
      </w:r>
      <w:r>
        <w:t xml:space="preserve"> </w:t>
      </w:r>
      <w:r>
        <w:t xml:space="preserve">twelve years later: How the</w:t>
      </w:r>
      <w:r>
        <w:t xml:space="preserve"> </w:t>
      </w:r>
      <w:r>
        <w:t xml:space="preserve">‘rules’</w:t>
      </w:r>
      <w:r>
        <w:t xml:space="preserve"> </w:t>
      </w:r>
      <w:r>
        <w:t xml:space="preserve">have changed,”</w:t>
      </w:r>
      <w:r>
        <w:t xml:space="preserve"> </w:t>
      </w:r>
      <w:r>
        <w:rPr>
          <w:i/>
          <w:iCs/>
        </w:rPr>
        <w:t xml:space="preserve">Computer</w:t>
      </w:r>
      <w:r>
        <w:t xml:space="preserve">, vol. 45, no. 2, pp. 23–29, Feb. 2012, doi:</w:t>
      </w:r>
      <w:r>
        <w:t xml:space="preserve"> </w:t>
      </w:r>
      <w:hyperlink r:id="rId61">
        <w:r>
          <w:rPr>
            <w:rStyle w:val="Hyperlink"/>
          </w:rPr>
          <w:t xml:space="preserve">10.1109/MC.2012.37</w:t>
        </w:r>
      </w:hyperlink>
      <w:r>
        <w:t xml:space="preserve">.</w:t>
      </w:r>
    </w:p>
    <w:bookmarkEnd w:id="62"/>
    <w:bookmarkStart w:id="64" w:name="ref-abadi201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J. Abadi,</w:t>
      </w:r>
      <w:r>
        <w:t xml:space="preserve"> </w:t>
      </w:r>
      <w:r>
        <w:t xml:space="preserve">“Consistency tradeoffs in modern distributed database system design:</w:t>
      </w:r>
      <w:r>
        <w:t xml:space="preserve"> </w:t>
      </w:r>
      <w:r>
        <w:t xml:space="preserve">CAP</w:t>
      </w:r>
      <w:r>
        <w:t xml:space="preserve"> </w:t>
      </w:r>
      <w:r>
        <w:t xml:space="preserve">is only part of the story,”</w:t>
      </w:r>
      <w:r>
        <w:t xml:space="preserve"> </w:t>
      </w:r>
      <w:r>
        <w:rPr>
          <w:i/>
          <w:iCs/>
        </w:rPr>
        <w:t xml:space="preserve">Computer</w:t>
      </w:r>
      <w:r>
        <w:t xml:space="preserve">, vol. 45, no. 2, pp. 37–42, Feb. 2012, doi:</w:t>
      </w:r>
      <w:r>
        <w:t xml:space="preserve"> </w:t>
      </w:r>
      <w:hyperlink r:id="rId63">
        <w:r>
          <w:rPr>
            <w:rStyle w:val="Hyperlink"/>
          </w:rPr>
          <w:t xml:space="preserve">10.1109/MC.2012.33</w:t>
        </w:r>
      </w:hyperlink>
      <w:r>
        <w:t xml:space="preserve">.</w:t>
      </w:r>
    </w:p>
    <w:bookmarkEnd w:id="64"/>
    <w:bookmarkStart w:id="65" w:name="ref-kleppmann201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M. Kleppmann,</w:t>
      </w:r>
      <w:r>
        <w:t xml:space="preserve"> </w:t>
      </w:r>
      <w:r>
        <w:rPr>
          <w:i/>
          <w:iCs/>
        </w:rPr>
        <w:t xml:space="preserve">Designing data-intensive applications: The big ideas behind reliable, scalable, and maintainable systems</w:t>
      </w:r>
      <w:r>
        <w:t xml:space="preserve">. Sebastopol, CA, USA: O’Reilly Media, 2017.</w:t>
      </w:r>
    </w:p>
    <w:bookmarkEnd w:id="65"/>
    <w:bookmarkStart w:id="67" w:name="ref-decandia200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DeCandia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“Dynamo: Amazon’s highly available key-value store,”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21st ACM symposium on operating systems principles (SOSP ’07)</w:t>
      </w:r>
      <w:r>
        <w:t xml:space="preserve">, Stevenson, WA, USA: ACM, Oct. 2007, pp. 205–220. doi:</w:t>
      </w:r>
      <w:r>
        <w:t xml:space="preserve"> </w:t>
      </w:r>
      <w:hyperlink r:id="rId66">
        <w:r>
          <w:rPr>
            <w:rStyle w:val="Hyperlink"/>
          </w:rPr>
          <w:t xml:space="preserve">10.1145/1294261.1294281</w:t>
        </w:r>
      </w:hyperlink>
      <w:r>
        <w:t xml:space="preserve">.</w:t>
      </w:r>
    </w:p>
    <w:bookmarkEnd w:id="67"/>
    <w:bookmarkStart w:id="69" w:name="ref-mysql84refma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</w:t>
      </w:r>
      <w:r>
        <w:t xml:space="preserve">MySQL</w:t>
      </w:r>
      <w:r>
        <w:t xml:space="preserve"> </w:t>
      </w:r>
      <w:r>
        <w:t xml:space="preserve">8.4 reference manual.”</w:t>
      </w:r>
      <w:r>
        <w:t xml:space="preserve"> </w:t>
      </w:r>
      <w:hyperlink r:id="rId68">
        <w:r>
          <w:rPr>
            <w:rStyle w:val="Hyperlink"/>
          </w:rPr>
          <w:t xml:space="preserve">https://dev.mysql.com/doc/refman/8.4/en/</w:t>
        </w:r>
      </w:hyperlink>
      <w:r>
        <w:t xml:space="preserve">, 2024.</w:t>
      </w:r>
    </w:p>
    <w:bookmarkEnd w:id="69"/>
    <w:bookmarkStart w:id="71" w:name="ref-mysqlshell8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</w:t>
      </w:r>
      <w:r>
        <w:t xml:space="preserve">MySQL</w:t>
      </w:r>
      <w:r>
        <w:t xml:space="preserve"> </w:t>
      </w:r>
      <w:r>
        <w:t xml:space="preserve">shell 8.4 manual.”</w:t>
      </w:r>
      <w:r>
        <w:t xml:space="preserve"> </w:t>
      </w:r>
      <w:hyperlink r:id="rId70">
        <w:r>
          <w:rPr>
            <w:rStyle w:val="Hyperlink"/>
          </w:rPr>
          <w:t xml:space="preserve">https://dev.mysql.com/doc/mysql-shell/8.4/en/</w:t>
        </w:r>
      </w:hyperlink>
      <w:r>
        <w:t xml:space="preserve">, 2024.</w:t>
      </w:r>
    </w:p>
    <w:bookmarkEnd w:id="71"/>
    <w:bookmarkStart w:id="72" w:name="ref-lamport20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L. Lamport,</w:t>
      </w:r>
      <w:r>
        <w:t xml:space="preserve"> </w:t>
      </w:r>
      <w:r>
        <w:t xml:space="preserve">“Paxos made simple,”</w:t>
      </w:r>
      <w:r>
        <w:t xml:space="preserve"> </w:t>
      </w:r>
      <w:r>
        <w:rPr>
          <w:i/>
          <w:iCs/>
        </w:rPr>
        <w:t xml:space="preserve">ACM SIGACT News (Distributed Computing Column)</w:t>
      </w:r>
      <w:r>
        <w:t xml:space="preserve">, vol. 32, no. 4, pp. 51–58, Dec. 2001.</w:t>
      </w:r>
    </w:p>
    <w:bookmarkEnd w:id="72"/>
    <w:bookmarkStart w:id="73" w:name="ref-ongaro2014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Ongaro and J. Ousterhout,</w:t>
      </w:r>
      <w:r>
        <w:t xml:space="preserve"> </w:t>
      </w:r>
      <w:r>
        <w:t xml:space="preserve">“In search of an understandable consensus algorithm,”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2014 USENIX annual technical conference (USENIX ATC ’14)</w:t>
      </w:r>
      <w:r>
        <w:t xml:space="preserve">, Philadelphia, PA, USA: USENIX Association, Jun. 2014, pp. 305–320.</w:t>
      </w:r>
    </w:p>
    <w:bookmarkEnd w:id="73"/>
    <w:bookmarkStart w:id="75" w:name="ref-gryp2020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K. Gryp,</w:t>
      </w:r>
      <w:r>
        <w:t xml:space="preserve"> </w:t>
      </w:r>
      <w:r>
        <w:t xml:space="preserve">“</w:t>
      </w:r>
      <w:r>
        <w:t xml:space="preserve">MySQL</w:t>
      </w:r>
      <w:r>
        <w:t xml:space="preserve"> </w:t>
      </w:r>
      <w:r>
        <w:t xml:space="preserve">terminology updates.”</w:t>
      </w:r>
      <w:r>
        <w:t xml:space="preserve"> </w:t>
      </w:r>
      <w:r>
        <w:t xml:space="preserve">MySQL Blog Archive,</w:t>
      </w:r>
      <w:r>
        <w:t xml:space="preserve"> </w:t>
      </w:r>
      <w:hyperlink r:id="rId74">
        <w:r>
          <w:rPr>
            <w:rStyle w:val="Hyperlink"/>
          </w:rPr>
          <w:t xml:space="preserve">https://dev.mysql.com/blog-archive/mysql-terminology-updates/</w:t>
        </w:r>
      </w:hyperlink>
      <w:r>
        <w:t xml:space="preserve">, Jul. 2020.</w:t>
      </w:r>
    </w:p>
    <w:bookmarkEnd w:id="75"/>
    <w:bookmarkStart w:id="77" w:name="ref-mysql84relnot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“Changes in</w:t>
      </w:r>
      <w:r>
        <w:t xml:space="preserve"> </w:t>
      </w:r>
      <w:r>
        <w:t xml:space="preserve">MySQL</w:t>
      </w:r>
      <w:r>
        <w:t xml:space="preserve"> </w:t>
      </w:r>
      <w:r>
        <w:t xml:space="preserve">8.4.0 (2024-04-30,</w:t>
      </w:r>
      <w:r>
        <w:t xml:space="preserve"> </w:t>
      </w:r>
      <w:r>
        <w:t xml:space="preserve">LTS</w:t>
      </w:r>
      <w:r>
        <w:t xml:space="preserve"> </w:t>
      </w:r>
      <w:r>
        <w:t xml:space="preserve">release).”</w:t>
      </w:r>
      <w:r>
        <w:t xml:space="preserve"> </w:t>
      </w:r>
      <w:r>
        <w:t xml:space="preserve">MySQL 8.4 Release Notes,</w:t>
      </w:r>
      <w:r>
        <w:t xml:space="preserve"> </w:t>
      </w:r>
      <w:hyperlink r:id="rId76">
        <w:r>
          <w:rPr>
            <w:rStyle w:val="Hyperlink"/>
          </w:rPr>
          <w:t xml:space="preserve">https://dev.mysql.com/doc/relnotes/mysql/8.4/en/news-8-4-0.html</w:t>
        </w:r>
      </w:hyperlink>
      <w:r>
        <w:t xml:space="preserve">, 2024.</w:t>
      </w:r>
    </w:p>
    <w:bookmarkEnd w:id="77"/>
    <w:bookmarkStart w:id="79" w:name="ref-mysql572relnotes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Oracle Corporation,</w:t>
      </w:r>
      <w:r>
        <w:t xml:space="preserve"> </w:t>
      </w:r>
      <w:r>
        <w:t xml:space="preserve">“Changes in</w:t>
      </w:r>
      <w:r>
        <w:t xml:space="preserve"> </w:t>
      </w:r>
      <w:r>
        <w:t xml:space="preserve">MySQL</w:t>
      </w:r>
      <w:r>
        <w:t xml:space="preserve"> </w:t>
      </w:r>
      <w:r>
        <w:t xml:space="preserve">5.7.2.”</w:t>
      </w:r>
      <w:r>
        <w:t xml:space="preserve"> </w:t>
      </w:r>
      <w:r>
        <w:t xml:space="preserve">MySQL 5.7 Release Notes,</w:t>
      </w:r>
      <w:r>
        <w:t xml:space="preserve"> </w:t>
      </w:r>
      <w:hyperlink r:id="rId78">
        <w:r>
          <w:rPr>
            <w:rStyle w:val="Hyperlink"/>
          </w:rPr>
          <w:t xml:space="preserve">https://dev.mysql.com/doc/relnotes/mysql/5.7/en/news-5-7-2.html</w:t>
        </w:r>
      </w:hyperlink>
      <w:r>
        <w:t xml:space="preserve">, 2013.</w:t>
      </w:r>
    </w:p>
    <w:bookmarkEnd w:id="79"/>
    <w:bookmarkEnd w:id="80"/>
    <w:bookmarkEnd w:id="81"/>
    <w:sectPr>
      <w:pgSz w:h="16838" w:w="11906"/>
      <w:pgMar w:bottom="1417" w:footer="708" w:gutter="0" w:header="708" w:left="1417" w:right="1417" w:top="1417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Starija dokumentacija i veći deo literature ove uloge nazivaju master i slave. MySQL je</w:t>
      </w:r>
      <w:r>
        <w:t xml:space="preserve"> </w:t>
      </w:r>
      <w:r>
        <w:t xml:space="preserve">zamenu tih termina započeo 2020. godine</w:t>
      </w:r>
      <w:r>
        <w:t xml:space="preserve"> </w:t>
      </w:r>
      <w:r>
        <w:t xml:space="preserve">[15]</w:t>
      </w:r>
      <w:r>
        <w:t xml:space="preserve">, a u verziji 8.4.0 uklonjene su i naredbe koje</w:t>
      </w:r>
      <w:r>
        <w:t xml:space="preserve"> </w:t>
      </w:r>
      <w:r>
        <w:t xml:space="preserve">su ih koristile, pa je, na primer, naredba</w:t>
      </w:r>
      <w:r>
        <w:t xml:space="preserve"> </w:t>
      </w:r>
      <w:r>
        <w:rPr>
          <w:rStyle w:val="VerbatimChar"/>
        </w:rPr>
        <w:t xml:space="preserve">SHOW MASTER STATUS</w:t>
      </w:r>
      <w:r>
        <w:t xml:space="preserve"> </w:t>
      </w:r>
      <w:r>
        <w:t xml:space="preserve">zamenjena naredbom</w:t>
      </w:r>
      <w:r>
        <w:t xml:space="preserve"> </w:t>
      </w:r>
      <w:r>
        <w:rPr>
          <w:rStyle w:val="VerbatimChar"/>
        </w:rPr>
        <w:t xml:space="preserve">SHOW BINARY LOG STATUS</w:t>
      </w:r>
      <w:r>
        <w:t xml:space="preserve"> </w:t>
      </w:r>
      <w:r>
        <w:t xml:space="preserve">[16]</w:t>
      </w:r>
      <w:r>
        <w:t xml:space="preserve">. U ovom radu stari termini se dalje ne koriste.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40" w:type="dxa"/>
        <w:left w:type="dxa" w:w="108"/>
        <w:bottom w:w="40" w:type="dxa"/>
        <w:right w:type="dxa" w:w="108"/>
      </w:tblCellMar>
    </w:tblPr>
    <w:tblStylePr w:type="firstRow">
      <w:rPr>
        <w:b/>
      </w:rPr>
      <w:tcPr>
        <w:shd w:val="clear" w:color="auto" w:fill="EDEDED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jc w:val="center"/>
    </w:p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  <w:style w:type="table" w:customStyle="1" w:styleId="LayoutTable">
    <w:name w:val="Layout Table"/>
    <w:tblPr>
      <w:tblCellMar>
        <w:left w:w="108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hyperlink" Id="rId74" Target="https://dev.mysql.com/blog-archive/mysql-terminology-updates/" TargetMode="External" /><Relationship Type="http://schemas.openxmlformats.org/officeDocument/2006/relationships/hyperlink" Id="rId70" Target="https://dev.mysql.com/doc/mysql-shell/8.4/en/" TargetMode="External" /><Relationship Type="http://schemas.openxmlformats.org/officeDocument/2006/relationships/hyperlink" Id="rId68" Target="https://dev.mysql.com/doc/refman/8.4/en/" TargetMode="External" /><Relationship Type="http://schemas.openxmlformats.org/officeDocument/2006/relationships/hyperlink" Id="rId78" Target="https://dev.mysql.com/doc/relnotes/mysql/5.7/en/news-5-7-2.html" TargetMode="External" /><Relationship Type="http://schemas.openxmlformats.org/officeDocument/2006/relationships/hyperlink" Id="rId76" Target="https://dev.mysql.com/doc/relnotes/mysql/8.4/en/news-8-4-0.html" TargetMode="External" /><Relationship Type="http://schemas.openxmlformats.org/officeDocument/2006/relationships/hyperlink" Id="rId63" Target="https://doi.org/10.1109/MC.2012.33" TargetMode="External" /><Relationship Type="http://schemas.openxmlformats.org/officeDocument/2006/relationships/hyperlink" Id="rId61" Target="https://doi.org/10.1109/MC.2012.37" TargetMode="External" /><Relationship Type="http://schemas.openxmlformats.org/officeDocument/2006/relationships/hyperlink" Id="rId58" Target="https://doi.org/10.1109/PDIS.1994.331722" TargetMode="External" /><Relationship Type="http://schemas.openxmlformats.org/officeDocument/2006/relationships/hyperlink" Id="rId66" Target="https://doi.org/10.1145/1294261.1294281" TargetMode="External" /><Relationship Type="http://schemas.openxmlformats.org/officeDocument/2006/relationships/hyperlink" Id="rId56" Target="https://doi.org/10.1145/1466443.1466448" TargetMode="External" /><Relationship Type="http://schemas.openxmlformats.org/officeDocument/2006/relationships/hyperlink" Id="rId50" Target="https://doi.org/10.1145/359545.359563" TargetMode="External" /><Relationship Type="http://schemas.openxmlformats.org/officeDocument/2006/relationships/hyperlink" Id="rId52" Target="https://doi.org/10.1145/564585.564601" TargetMode="External" /><Relationship Type="http://schemas.openxmlformats.org/officeDocument/2006/relationships/hyperlink" Id="rId54" Target="https://doi.org/10.1145/78969.789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dev.mysql.com/blog-archive/mysql-terminology-updates/" TargetMode="External" /><Relationship Type="http://schemas.openxmlformats.org/officeDocument/2006/relationships/hyperlink" Id="rId70" Target="https://dev.mysql.com/doc/mysql-shell/8.4/en/" TargetMode="External" /><Relationship Type="http://schemas.openxmlformats.org/officeDocument/2006/relationships/hyperlink" Id="rId68" Target="https://dev.mysql.com/doc/refman/8.4/en/" TargetMode="External" /><Relationship Type="http://schemas.openxmlformats.org/officeDocument/2006/relationships/hyperlink" Id="rId78" Target="https://dev.mysql.com/doc/relnotes/mysql/5.7/en/news-5-7-2.html" TargetMode="External" /><Relationship Type="http://schemas.openxmlformats.org/officeDocument/2006/relationships/hyperlink" Id="rId76" Target="https://dev.mysql.com/doc/relnotes/mysql/8.4/en/news-8-4-0.html" TargetMode="External" /><Relationship Type="http://schemas.openxmlformats.org/officeDocument/2006/relationships/hyperlink" Id="rId63" Target="https://doi.org/10.1109/MC.2012.33" TargetMode="External" /><Relationship Type="http://schemas.openxmlformats.org/officeDocument/2006/relationships/hyperlink" Id="rId61" Target="https://doi.org/10.1109/MC.2012.37" TargetMode="External" /><Relationship Type="http://schemas.openxmlformats.org/officeDocument/2006/relationships/hyperlink" Id="rId58" Target="https://doi.org/10.1109/PDIS.1994.331722" TargetMode="External" /><Relationship Type="http://schemas.openxmlformats.org/officeDocument/2006/relationships/hyperlink" Id="rId66" Target="https://doi.org/10.1145/1294261.1294281" TargetMode="External" /><Relationship Type="http://schemas.openxmlformats.org/officeDocument/2006/relationships/hyperlink" Id="rId56" Target="https://doi.org/10.1145/1466443.1466448" TargetMode="External" /><Relationship Type="http://schemas.openxmlformats.org/officeDocument/2006/relationships/hyperlink" Id="rId50" Target="https://doi.org/10.1145/359545.359563" TargetMode="External" /><Relationship Type="http://schemas.openxmlformats.org/officeDocument/2006/relationships/hyperlink" Id="rId52" Target="https://doi.org/10.1145/564585.564601" TargetMode="External" /><Relationship Type="http://schemas.openxmlformats.org/officeDocument/2006/relationships/hyperlink" Id="rId54" Target="https://doi.org/10.1145/78969.7897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2026-10-11T19:56:19Z</dcterms:created>
  <dcterms:modified xsi:type="dcterms:W3CDTF">2026-10-11T19:56:19Z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C:\Faks\Sistemi Baza/ieee.csl</vt:lpwstr>
  </property>
  <property fmtid="{D5CDD505-2E9C-101B-9397-08002B2CF9AE}" pid="4" name="reference-section-title">
    <vt:lpwstr>Reference</vt:lpwstr>
  </property>
</Properties>
</file>