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Jedan SQL upit, dva ekvivalentna plana izvršenja različite cene. Slobodan izbor optimizatora (A) koristi indeks idx_country_code (procenjena cena ≈ 499373), dok zabranjivanje tog indeksa (B) daje skuplji sken cele tabele (procenjena cena ≈ 575645); oba plana vraćaju isti rezultat od približno 3,5 miliona torki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Jedan SQL upit, dva ekvivalentna plana izvršenja različite cene. Slobodan izbor</w:t>
      </w:r>
      <w:r>
        <w:t xml:space="preserve"> </w:t>
      </w:r>
      <w:r>
        <w:t xml:space="preserve">optimizatora (A) koristi indeks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 </w:t>
      </w:r>
      <w:r>
        <w:t xml:space="preserve">(procenjena cena ≈ 499373), dok zabranjivanje tog</w:t>
      </w:r>
      <w:r>
        <w:t xml:space="preserve"> </w:t>
      </w:r>
      <w:r>
        <w:t xml:space="preserve">indeksa (B) daje skuplji sken cele tabele (procenjena cena ≈ 575645); oba plana vraćaju isti rezultat</w:t>
      </w:r>
      <w:r>
        <w:t xml:space="preserve"> </w:t>
      </w:r>
      <w:r>
        <w:t xml:space="preserve">od približno 3,5 miliona torki.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13" w:name="arhitektura-obrade-upita-u-mysql-u"/>
    <w:p>
      <w:pPr>
        <w:pStyle w:val="Heading1"/>
      </w:pPr>
      <w:r>
        <w:t xml:space="preserve">2. Arhitektura obrade upita u MySQL-u</w:t>
      </w:r>
    </w:p>
    <w:bookmarkEnd w:id="13"/>
    <w:bookmarkStart w:id="14" w:name="od-sql-a-do-plana-izvršavanja"/>
    <w:p>
      <w:pPr>
        <w:pStyle w:val="Heading1"/>
      </w:pPr>
      <w:r>
        <w:t xml:space="preserve">3. Od SQL-a do plana izvršavanja</w:t>
      </w:r>
    </w:p>
    <w:bookmarkEnd w:id="14"/>
    <w:bookmarkStart w:id="15" w:name="explain-i-explain-analyze"/>
    <w:p>
      <w:pPr>
        <w:pStyle w:val="Heading1"/>
      </w:pPr>
      <w:r>
        <w:t xml:space="preserve">4. EXPLAIN i EXPLAIN ANALYZE</w:t>
      </w:r>
    </w:p>
    <w:bookmarkEnd w:id="15"/>
    <w:bookmarkStart w:id="16" w:name="iterator-model-i-pipeline-operatora"/>
    <w:p>
      <w:pPr>
        <w:pStyle w:val="Heading1"/>
      </w:pPr>
      <w:r>
        <w:t xml:space="preserve">5. Iterator model i pipeline operatora</w:t>
      </w:r>
    </w:p>
    <w:bookmarkEnd w:id="16"/>
    <w:bookmarkStart w:id="17" w:name="vektorizovano-izvršavanje"/>
    <w:p>
      <w:pPr>
        <w:pStyle w:val="Heading1"/>
      </w:pPr>
      <w:r>
        <w:t xml:space="preserve">6. Vektorizovano izvršavanje</w:t>
      </w:r>
    </w:p>
    <w:bookmarkEnd w:id="17"/>
    <w:bookmarkStart w:id="18" w:name="paralelno-izvršavanje-upita"/>
    <w:p>
      <w:pPr>
        <w:pStyle w:val="Heading1"/>
      </w:pPr>
      <w:r>
        <w:t xml:space="preserve">7. Paralelno izvršavanje upita</w:t>
      </w:r>
    </w:p>
    <w:bookmarkEnd w:id="18"/>
    <w:bookmarkStart w:id="19" w:name="keširanje-i-ponovna-upotreba-planova"/>
    <w:p>
      <w:pPr>
        <w:pStyle w:val="Heading1"/>
      </w:pPr>
      <w:r>
        <w:t xml:space="preserve">8. Keširanje i ponovna upotreba planova</w:t>
      </w:r>
    </w:p>
    <w:bookmarkEnd w:id="19"/>
    <w:bookmarkStart w:id="20" w:name="zaključak"/>
    <w:p>
      <w:pPr>
        <w:pStyle w:val="Heading1"/>
      </w:pPr>
      <w:r>
        <w:t xml:space="preserve">9. Zaključak</w:t>
      </w:r>
    </w:p>
    <w:bookmarkEnd w:id="20"/>
    <w:bookmarkStart w:id="25" w:name="reference"/>
    <w:p>
      <w:pPr>
        <w:pStyle w:val="Heading1"/>
      </w:pPr>
      <w:r>
        <w:t xml:space="preserve">Reference</w:t>
      </w:r>
    </w:p>
    <w:bookmarkStart w:id="24" w:name="refs"/>
    <w:bookmarkStart w:id="21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21"/>
    <w:bookmarkStart w:id="23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22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https://dev.mysql.com/doc/refman/8.4/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ev.mysql.com/doc/refman/8.4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2026-08-22T20:23:23Z</dcterms:created>
  <dcterms:modified xsi:type="dcterms:W3CDTF">2026-08-22T20:23:23Z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