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33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End w:id="33"/>
    <w:bookmarkStart w:id="60" w:name="audit-logging"/>
    <w:p>
      <w:pPr>
        <w:pStyle w:val="Heading1"/>
      </w:pPr>
      <w:r>
        <w:t xml:space="preserve">6. Audit logging</w:t>
      </w:r>
    </w:p>
    <w:p>
      <w:pPr>
        <w:pStyle w:val="FirstParagraph"/>
      </w:pPr>
      <w:r>
        <w:t xml:space="preserve">Evidencioni zapis pristupa bazi (audit log/trail) odgovara na jedno posebno pitanje: ko je učinio</w:t>
      </w:r>
      <w:r>
        <w:t xml:space="preserve"> </w:t>
      </w:r>
      <w:r>
        <w:t xml:space="preserve">šta, postavljeno</w:t>
      </w:r>
      <w:r>
        <w:t xml:space="preserve"> </w:t>
      </w:r>
      <w:r>
        <w:rPr>
          <w:i/>
          <w:iCs/>
        </w:rPr>
        <w:t xml:space="preserve">naknadno</w:t>
      </w:r>
      <w:r>
        <w:t xml:space="preserve">, od strane nekoga ko</w:t>
      </w:r>
      <w:r>
        <w:t xml:space="preserve"> </w:t>
      </w:r>
      <w:r>
        <w:rPr>
          <w:i/>
          <w:iCs/>
        </w:rPr>
        <w:t xml:space="preserve">nije bio prisutan</w:t>
      </w:r>
      <w:r>
        <w:t xml:space="preserve"> </w:t>
      </w:r>
      <w:r>
        <w:t xml:space="preserve">u trenutku događaja, protiv</w:t>
      </w:r>
      <w:r>
        <w:t xml:space="preserve"> </w:t>
      </w:r>
      <w:r>
        <w:t xml:space="preserve">nekoga ko ima motiv da to sakrije. Ako se ta definicija negira, dobijaju se četiri načina da odgovor</w:t>
      </w:r>
      <w:r>
        <w:t xml:space="preserve"> </w:t>
      </w:r>
      <w:r>
        <w:t xml:space="preserve">izostane, i upravo su ta četiri načina svojstva koja NIST-ov vodič za upravljanje bezbednosnim</w:t>
      </w:r>
      <w:r>
        <w:t xml:space="preserve"> </w:t>
      </w:r>
      <w:r>
        <w:t xml:space="preserve">zapisima navodi kao uslove da bi zapis uopšte važio kao dokaz: potpunost, čuvanje svakog relevantnog</w:t>
      </w:r>
      <w:r>
        <w:t xml:space="preserve"> </w:t>
      </w:r>
      <w:r>
        <w:t xml:space="preserve">događaja bez izostavljanja; retenciju, dovoljno</w:t>
      </w:r>
      <w:r>
        <w:t xml:space="preserve"> </w:t>
      </w:r>
      <w:r>
        <w:t xml:space="preserve">dugo trajanje da istraga koja počne kasno i dalje ima šta da pregleda; otpornost na neovlašćenu izmenu,</w:t>
      </w:r>
      <w:r>
        <w:t xml:space="preserve"> </w:t>
      </w:r>
      <w:r>
        <w:t xml:space="preserve">zapis koji sam napadač ne može tiho da preuredi ili obriše; i pripisivost, zapis koji imenuje</w:t>
      </w:r>
      <w:r>
        <w:t xml:space="preserve"> </w:t>
      </w:r>
      <w:r>
        <w:rPr>
          <w:i/>
          <w:iCs/>
        </w:rPr>
        <w:t xml:space="preserve">ko</w:t>
      </w:r>
      <w:r>
        <w:t xml:space="preserve">, ne</w:t>
      </w:r>
      <w:r>
        <w:t xml:space="preserve"> </w:t>
      </w:r>
      <w:r>
        <w:t xml:space="preserve">samo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[11]</w:t>
      </w:r>
      <w:r>
        <w:t xml:space="preserve">. Isti zahtevi imaju i formalna imena u kontrolama NIST SP 800-53: AU-3</w:t>
      </w:r>
      <w:r>
        <w:t xml:space="preserve"> </w:t>
      </w:r>
      <w:r>
        <w:t xml:space="preserve">određuje sadržaj zapisa (događaj, ishod, identitet), AU-9 njegovu zaštitu od izmene, AU-11 njegovo</w:t>
      </w:r>
      <w:r>
        <w:t xml:space="preserve"> </w:t>
      </w:r>
      <w:r>
        <w:t xml:space="preserve">čuvanje</w:t>
      </w:r>
      <w:r>
        <w:t xml:space="preserve"> </w:t>
      </w:r>
      <w:r>
        <w:t xml:space="preserve">[12]</w:t>
      </w:r>
      <w:r>
        <w:t xml:space="preserve">, a PCI DSS 4.0 im dodaje i konkretan broj, dvanaest meseci ukupno, od čega</w:t>
      </w:r>
      <w:r>
        <w:t xml:space="preserve"> </w:t>
      </w:r>
      <w:r>
        <w:t xml:space="preserve">poslednja tri odmah dostupna za analizu</w:t>
      </w:r>
      <w:r>
        <w:t xml:space="preserve"> </w:t>
      </w:r>
      <w:r>
        <w:t xml:space="preserve">[13]</w:t>
      </w:r>
      <w:r>
        <w:t xml:space="preserve">. Nijedan od ova četiri zahteva ne pominje MySQL;</w:t>
      </w:r>
      <w:r>
        <w:t xml:space="preserve"> </w:t>
      </w:r>
      <w:r>
        <w:t xml:space="preserve">to je namerno, jer mera dolazi pre merenja - tek kada su kriterijumi postavljeni, ima smisla pitati</w:t>
      </w:r>
      <w:r>
        <w:t xml:space="preserve"> </w:t>
      </w:r>
      <w:r>
        <w:t xml:space="preserve">da li ih neki konkretan alat ispunjava.</w:t>
      </w:r>
    </w:p>
    <w:p>
      <w:pPr>
        <w:pStyle w:val="BodyText"/>
      </w:pPr>
      <w:r>
        <w:t xml:space="preserve">MySQL Enterprise Audit je komercijalni odgovor na ove zahteve: filtrira događaje po</w:t>
      </w:r>
      <w:r>
        <w:t xml:space="preserve"> </w:t>
      </w:r>
      <w:r>
        <w:t xml:space="preserve">nalogu, tabeli i vrsti operacije, piše ih u JSON ili XML format, i čuva ih u zasebnoj datoteci, van</w:t>
      </w:r>
      <w:r>
        <w:t xml:space="preserve"> </w:t>
      </w:r>
      <w:r>
        <w:t xml:space="preserve">samih podataka koje nadgleda</w:t>
      </w:r>
      <w:r>
        <w:t xml:space="preserve"> </w:t>
      </w:r>
      <w:r>
        <w:t xml:space="preserve">[2]</w:t>
      </w:r>
      <w:r>
        <w:t xml:space="preserve">. Vredi biti precizan oko toga dokle njegove garancije</w:t>
      </w:r>
      <w:r>
        <w:t xml:space="preserve"> </w:t>
      </w:r>
      <w:r>
        <w:t xml:space="preserve">sežu: priručnik za verziju 8.4 dokumentuje šifrovanje zapisa preko sistema ključeva, ali ne i</w:t>
      </w:r>
      <w:r>
        <w:t xml:space="preserve"> </w:t>
      </w:r>
      <w:r>
        <w:t xml:space="preserve">potpisivanje niti kontrolni zbir kojim bi se naknadna izmena otkrila</w:t>
      </w:r>
      <w:r>
        <w:t xml:space="preserve"> </w:t>
      </w:r>
      <w:r>
        <w:t xml:space="preserve">[2]</w:t>
      </w:r>
      <w:r>
        <w:t xml:space="preserve">. Otpornost na</w:t>
      </w:r>
      <w:r>
        <w:t xml:space="preserve"> </w:t>
      </w:r>
      <w:r>
        <w:t xml:space="preserve">izmenu kod njega, dakle, nije dokumentovano svojstvo, što nije isto što i tvrdnja da je nema.</w:t>
      </w:r>
    </w:p>
    <w:p>
      <w:pPr>
        <w:pStyle w:val="BodyText"/>
      </w:pPr>
      <w:r>
        <w:t xml:space="preserve">Ovaj rad ga, u skladu sa ograničenjem na besplatno izdanje uspostavljenim u petom poglavlju, ne</w:t>
      </w:r>
      <w:r>
        <w:t xml:space="preserve"> </w:t>
      </w:r>
      <w:r>
        <w:t xml:space="preserve">pokreće, nego ga navodi samo kao referentnu tačku: mehanizam koji je, za razliku od svega što sledi,</w:t>
      </w:r>
      <w:r>
        <w:t xml:space="preserve"> </w:t>
      </w:r>
      <w:r>
        <w:t xml:space="preserve">uopšte i projektovan kao evidencioni trag, a ne prenamenjen u njega. Njegova arhitektura potvrđuje i podelu s</w:t>
      </w:r>
      <w:r>
        <w:t xml:space="preserve"> </w:t>
      </w:r>
      <w:r>
        <w:t xml:space="preserve">kojom je prethodno poglavlje zatvoreno - audit je</w:t>
      </w:r>
      <w:r>
        <w:t xml:space="preserve"> </w:t>
      </w:r>
      <w:r>
        <w:rPr>
          <w:i/>
          <w:iCs/>
        </w:rPr>
        <w:t xml:space="preserve">plugin</w:t>
      </w:r>
      <w:r>
        <w:t xml:space="preserve">, jedna od zamenljivih komponenti koje</w:t>
      </w:r>
      <w:r>
        <w:t xml:space="preserve"> </w:t>
      </w:r>
      <w:r>
        <w:t xml:space="preserve">jezgro poziva, ne deo samog jezgra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Besplatno izdanje nudi tri instrumenta, i nijedan od njih nije projektovan kao dokaz. Opšti dnevnik</w:t>
      </w:r>
      <w:r>
        <w:t xml:space="preserve"> </w:t>
      </w:r>
      <w:r>
        <w:t xml:space="preserve">upita (</w:t>
      </w:r>
      <w:r>
        <w:rPr>
          <w:rStyle w:val="VerbatimChar"/>
        </w:rPr>
        <w:t xml:space="preserve">general_log</w:t>
      </w:r>
      <w:r>
        <w:t xml:space="preserve">) upisuje svaku primljenu naredbu u trenutku prijema, pre nego što je izvršena</w:t>
      </w:r>
      <w:r>
        <w:t xml:space="preserve"> </w:t>
      </w:r>
      <w:r>
        <w:t xml:space="preserve">[2]</w:t>
      </w:r>
      <w:r>
        <w:t xml:space="preserve">; iz te jedne činjenice slede sve njegove slabosti odjednom - ishod naredbe još ne</w:t>
      </w:r>
      <w:r>
        <w:t xml:space="preserve"> </w:t>
      </w:r>
      <w:r>
        <w:t xml:space="preserve">postoji u trenutku upisa, pa odbijena naredba u zapisu izgleda identično uspešnoj, a sam fajl je</w:t>
      </w:r>
      <w:r>
        <w:t xml:space="preserve"> </w:t>
      </w:r>
      <w:r>
        <w:t xml:space="preserve">običan tekstualni fajl u vlasništvu servisnog naloga servera, koji svako sa pristupom fajl-sistemu</w:t>
      </w:r>
      <w:r>
        <w:t xml:space="preserve"> </w:t>
      </w:r>
      <w:r>
        <w:t xml:space="preserve">može da skrati ili obriše. Sama SQL privilegija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za to nije dovoljna, jer</w:t>
      </w:r>
      <w:r>
        <w:t xml:space="preserve"> </w:t>
      </w:r>
      <w:r>
        <w:rPr>
          <w:rStyle w:val="VerbatimChar"/>
        </w:rPr>
        <w:t xml:space="preserve">SELECT ... INTO OUTFILE</w:t>
      </w:r>
      <w:r>
        <w:t xml:space="preserve"> </w:t>
      </w:r>
      <w:r>
        <w:t xml:space="preserve">po priručniku ne sme da piše u postojeću datoteku, a i kada sme, ograničena</w:t>
      </w:r>
      <w:r>
        <w:t xml:space="preserve"> </w:t>
      </w:r>
      <w:r>
        <w:t xml:space="preserve">je direktorijumom iz</w:t>
      </w:r>
      <w:r>
        <w:t xml:space="preserve"> </w:t>
      </w:r>
      <w:r>
        <w:rPr>
          <w:rStyle w:val="VerbatimChar"/>
        </w:rPr>
        <w:t xml:space="preserve">secure_file_priv</w:t>
      </w:r>
      <w:r>
        <w:t xml:space="preserve"> </w:t>
      </w:r>
      <w:r>
        <w:t xml:space="preserve">[2]</w:t>
      </w:r>
      <w:r>
        <w:t xml:space="preserve">; napad na sam zapis zato ne dolazi iz baze,</w:t>
      </w:r>
      <w:r>
        <w:t xml:space="preserve"> </w:t>
      </w:r>
      <w:r>
        <w:t xml:space="preserve">nego sa nivoa operativnog sistema, što je i razlog što se zaštita zapisa rešava van same baze. Dnevnik grešaka, uz</w:t>
      </w:r>
      <w:r>
        <w:t xml:space="preserve"> </w:t>
      </w:r>
      <w:r>
        <w:rPr>
          <w:rStyle w:val="VerbatimChar"/>
        </w:rPr>
        <w:t xml:space="preserve">log_error_verbosity = 3</w:t>
      </w:r>
      <w:r>
        <w:t xml:space="preserve">, beleži pokušaje povezivanja, neuspele autentifikacije i podizanje i</w:t>
      </w:r>
      <w:r>
        <w:t xml:space="preserve"> </w:t>
      </w:r>
      <w:r>
        <w:t xml:space="preserve">gašenje servera, ali nijednu naredbu i nijedan pristup podacima</w:t>
      </w:r>
      <w:r>
        <w:t xml:space="preserve"> </w:t>
      </w:r>
      <w:r>
        <w:t xml:space="preserve">[2]</w:t>
      </w:r>
      <w:r>
        <w:t xml:space="preserve">; on odgovara na</w:t>
      </w:r>
      <w:r>
        <w:t xml:space="preserve"> </w:t>
      </w:r>
      <w:r>
        <w:t xml:space="preserve">pitanje ko je pokušao da uđe, nikada na pitanje šta je unutra uradio.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 </w:t>
      </w:r>
      <w:r>
        <w:t xml:space="preserve">čuva poslednjih deset završenih naredbi po niti izvršavanja i približno deset</w:t>
      </w:r>
      <w:r>
        <w:t xml:space="preserve"> </w:t>
      </w:r>
      <w:r>
        <w:t xml:space="preserve">hiljada globalno,</w:t>
      </w:r>
      <w:r>
        <w:t xml:space="preserve"> </w:t>
      </w:r>
      <w:r>
        <w:t xml:space="preserve">ali kao kružni bafer: kada se ispuni, najstariji zapis se prepisuje, ne arhivira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Njegov kvar u retenciji je oštriji od kvara običnog fajla - napadaču nije potrebna privilegija brisanja,</w:t>
      </w:r>
      <w:r>
        <w:t xml:space="preserve"> </w:t>
      </w:r>
      <w:r>
        <w:t xml:space="preserve">dovoljno je da generiše dovoljno saobraćaja da stari zapis sam nestane.</w:t>
      </w:r>
    </w:p>
    <w:p>
      <w:pPr>
        <w:pStyle w:val="BodyText"/>
      </w:pPr>
      <w:r>
        <w:t xml:space="preserve">Od četiri kriterijuma, tri su, za ova tri instrumenta, popravljiva van same baze: retencija se rešava</w:t>
      </w:r>
      <w:r>
        <w:t xml:space="preserve"> </w:t>
      </w:r>
      <w:r>
        <w:t xml:space="preserve">prebacivanjem zapisa na drugi sistem pre nego što budu prepisani, otpornost na izmenu zaključavanjem</w:t>
      </w:r>
      <w:r>
        <w:t xml:space="preserve"> </w:t>
      </w:r>
      <w:r>
        <w:t xml:space="preserve">fajl-sistema ili slanjem zapisa van dohvata servera, a potpunost se, za</w:t>
      </w:r>
      <w:r>
        <w:t xml:space="preserve"> </w:t>
      </w:r>
      <w:r>
        <w:rPr>
          <w:rStyle w:val="VerbatimChar"/>
        </w:rPr>
        <w:t xml:space="preserve">general_log</w:t>
      </w:r>
      <w:r>
        <w:t xml:space="preserve">, svodi na to da</w:t>
      </w:r>
      <w:r>
        <w:t xml:space="preserve"> </w:t>
      </w:r>
      <w:r>
        <w:t xml:space="preserve">ostane trajno uključen, po cenu koja je merljiva: svaka naredba se upisuje na disk, pa se za ovaj rad</w:t>
      </w:r>
      <w:r>
        <w:t xml:space="preserve"> </w:t>
      </w:r>
      <w:r>
        <w:t xml:space="preserve">dnevnik uključivao samo za trajanje demonstracije i odmah zatim gasio. Pripisivost se ne popravlja na isti način, i to iz strukturnog, ne iz</w:t>
      </w:r>
      <w:r>
        <w:t xml:space="preserve"> </w:t>
      </w:r>
      <w:r>
        <w:t xml:space="preserve">količinskog razloga: efektivni identitet pod kojim je naredba stvarno izvršena nikada ne napušta</w:t>
      </w:r>
      <w:r>
        <w:t xml:space="preserve"> </w:t>
      </w:r>
      <w:r>
        <w:t xml:space="preserve">server kao posebna vrednost u zapisu, pa ga nijedan naknadni alat ne može rekonstruisati iz podataka</w:t>
      </w:r>
      <w:r>
        <w:t xml:space="preserve"> </w:t>
      </w:r>
      <w:r>
        <w:t xml:space="preserve">koji nikada nisu ni zapisani. Zato se za slobodno dostupne instrumente MySQL Community izdanja može</w:t>
      </w:r>
      <w:r>
        <w:t xml:space="preserve"> </w:t>
      </w:r>
      <w:r>
        <w:t xml:space="preserve">reći tačno ovo: oni su</w:t>
      </w:r>
      <w:r>
        <w:t xml:space="preserve"> </w:t>
      </w:r>
      <w:r>
        <w:rPr>
          <w:i/>
          <w:iCs/>
        </w:rPr>
        <w:t xml:space="preserve">instrumenti, ne evidencioni trag</w:t>
      </w:r>
      <w:r>
        <w:t xml:space="preserve"> </w:t>
      </w:r>
      <w:r>
        <w:t xml:space="preserve">- beleže saobraćaj, ne dokazuju identitet.</w:t>
      </w:r>
    </w:p>
    <w:p>
      <w:pPr>
        <w:pStyle w:val="BodyText"/>
      </w:pPr>
      <w:r>
        <w:t xml:space="preserve">Ta razlika se može i izmeriti, ne samo tvrditi. Pogled</w:t>
      </w:r>
      <w:r>
        <w:t xml:space="preserve"> </w:t>
      </w:r>
      <w:r>
        <w:rPr>
          <w:rStyle w:val="VerbatimChar"/>
        </w:rPr>
        <w:t xml:space="preserve">v_definer_demo</w:t>
      </w:r>
      <w:r>
        <w:t xml:space="preserve">, definisan sa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i dodeljen nalogu</w:t>
      </w:r>
      <w:r>
        <w:t xml:space="preserve"> </w:t>
      </w:r>
      <w:r>
        <w:rPr>
          <w:rStyle w:val="VerbatimChar"/>
        </w:rPr>
        <w:t xml:space="preserve">recept_podgorica</w:t>
      </w:r>
      <w:r>
        <w:t xml:space="preserve"> </w:t>
      </w:r>
      <w:r>
        <w:t xml:space="preserve">koji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inače nema</w:t>
      </w:r>
      <w:r>
        <w:t xml:space="preserve"> </w:t>
      </w:r>
      <w:r>
        <w:t xml:space="preserve">nijednu privilegiju, čita istu tabelu preko definerovih prava umesto preko svojih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Dok je opšti dnevnik upita bio uključen, isti nalog je pokušao direktan upit nad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odbijen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a zatim isti podatak pročitao preko pogleda, uspešno. Dnevnik za obe veze beleži</w:t>
      </w:r>
      <w:r>
        <w:t xml:space="preserve"> </w:t>
      </w:r>
      <w:r>
        <w:t xml:space="preserve">isključivo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 </w:t>
      </w:r>
      <w:r>
        <w:t xml:space="preserve">u liniji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ništa u njemu ne pokazuje da je upit kroz</w:t>
      </w:r>
      <w:r>
        <w:t xml:space="preserve"> </w:t>
      </w:r>
      <w:r>
        <w:t xml:space="preserve">pogled stvarno izvršen pod pravima naloga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definera pogleda. Tek kada pogled sam vrati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kao kolone rezultata, razlika postaje vidljiva:</w:t>
      </w:r>
      <w:r>
        <w:t xml:space="preserve"> </w:t>
      </w:r>
      <w:r>
        <w:rPr>
          <w:rStyle w:val="VerbatimChar"/>
        </w:rPr>
        <w:t xml:space="preserve">connected_user</w:t>
      </w:r>
      <w:r>
        <w:t xml:space="preserve"> </w:t>
      </w:r>
      <w:r>
        <w:t xml:space="preserve">ostaje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effective_user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dbadmin@localhost</w:t>
      </w:r>
      <w:r>
        <w:t xml:space="preserve"> </w:t>
      </w:r>
      <w:r>
        <w:t xml:space="preserve">(Slika 6.1). Ispravna formulacija nije da dnevnik beleži pogrešan identitet, nego da beleži samo</w:t>
      </w:r>
      <w:r>
        <w:t xml:space="preserve"> </w:t>
      </w:r>
      <w:r>
        <w:t xml:space="preserve">jedan od dva identiteta; kad bi umesto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, rupa bi se samo</w:t>
      </w:r>
      <w:r>
        <w:t xml:space="preserve"> </w:t>
      </w:r>
      <w:r>
        <w:t xml:space="preserve">premestila - zapis bi tada pokazivao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a nalog koji je upit zaista pokrenuo bi nestao.</w:t>
      </w:r>
      <w:r>
        <w:t xml:space="preserve"> </w:t>
      </w:r>
      <w:r>
        <w:t xml:space="preserve">Pripisivost zahteva oba identiteta u istom zapisu, a slobodno dostupni instrumenti ovog izdanja ne</w:t>
      </w:r>
      <w:r>
        <w:t xml:space="preserve"> </w:t>
      </w:r>
      <w:r>
        <w:t xml:space="preserve">nude nijedan mehanizam koji bi to obezbedio.</w:t>
      </w:r>
    </w:p>
    <w:p>
      <w:pPr>
        <w:pStyle w:val="CaptionedFigure"/>
      </w:pPr>
      <w:r>
        <w:drawing>
          <wp:inline>
            <wp:extent cx="5177790" cy="1020764"/>
            <wp:effectExtent b="0" l="0" r="0" t="0"/>
            <wp:docPr descr="Slika 6.1: Isečak opšteg dnevnika upita - obe veze beleže samo nalog koji se povezao, nikada nalog čijim je pravima upit stvarno izvršen" title="" id="35" name="Picture"/>
            <a:graphic>
              <a:graphicData uri="http://schemas.openxmlformats.org/drawingml/2006/picture">
                <pic:pic>
                  <pic:nvPicPr>
                    <pic:cNvPr descr="figures/06-audit-01-log-izvo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02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Isečak opšteg dnevnika upita - obe veze beleže samo nalog koji se povezao, nikada nalog čijim je pravima upit stvarno izvršen</w:t>
      </w:r>
    </w:p>
    <w:bookmarkStart w:id="59" w:name="refs"/>
    <w:bookmarkStart w:id="37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37"/>
    <w:bookmarkStart w:id="39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8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9"/>
    <w:bookmarkStart w:id="41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40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41"/>
    <w:bookmarkStart w:id="42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42"/>
    <w:bookmarkStart w:id="43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43"/>
    <w:bookmarkStart w:id="44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4"/>
    <w:bookmarkStart w:id="46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45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46"/>
    <w:bookmarkStart w:id="48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47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48"/>
    <w:bookmarkStart w:id="50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49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50"/>
    <w:bookmarkStart w:id="52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51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52"/>
    <w:bookmarkStart w:id="54" w:name="ref-nistsp8009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Kent and M. Souppaya,</w:t>
      </w:r>
      <w:r>
        <w:t xml:space="preserve"> </w:t>
      </w:r>
      <w:r>
        <w:t xml:space="preserve">“Guide to computer security log management,”</w:t>
      </w:r>
      <w:r>
        <w:t xml:space="preserve"> </w:t>
      </w:r>
      <w:r>
        <w:t xml:space="preserve">National Institute of Standards; Technology, Gaithersburg, MD, USA, NIST Special Publication 800-92, 2006. doi:</w:t>
      </w:r>
      <w:r>
        <w:t xml:space="preserve"> </w:t>
      </w:r>
      <w:hyperlink r:id="rId53">
        <w:r>
          <w:rPr>
            <w:rStyle w:val="Hyperlink"/>
          </w:rPr>
          <w:t xml:space="preserve">10.6028/NIST.SP.800-92</w:t>
        </w:r>
      </w:hyperlink>
      <w:r>
        <w:t xml:space="preserve">.</w:t>
      </w:r>
    </w:p>
    <w:bookmarkEnd w:id="54"/>
    <w:bookmarkStart w:id="56" w:name="ref-nistsp80053r5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Joint Task Force,</w:t>
      </w:r>
      <w:r>
        <w:t xml:space="preserve"> </w:t>
      </w:r>
      <w:r>
        <w:t xml:space="preserve">“Security and privacy controls for information systems and organizations,”</w:t>
      </w:r>
      <w:r>
        <w:t xml:space="preserve"> </w:t>
      </w:r>
      <w:r>
        <w:t xml:space="preserve">National Institute of Standards; Technology, Gaithersburg, MD, USA, NIST Special Publication 800-53, Revision 5, 2020. doi:</w:t>
      </w:r>
      <w:r>
        <w:t xml:space="preserve"> </w:t>
      </w:r>
      <w:hyperlink r:id="rId55">
        <w:r>
          <w:rPr>
            <w:rStyle w:val="Hyperlink"/>
          </w:rPr>
          <w:t xml:space="preserve">10.6028/NIST.SP.800-53r5</w:t>
        </w:r>
      </w:hyperlink>
      <w:r>
        <w:t xml:space="preserve">.</w:t>
      </w:r>
    </w:p>
    <w:bookmarkEnd w:id="56"/>
    <w:bookmarkStart w:id="58" w:name="ref-pcidss2022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PCI Security Standards Council,</w:t>
      </w:r>
      <w:r>
        <w:t xml:space="preserve"> </w:t>
      </w:r>
      <w:r>
        <w:t xml:space="preserve">“Payment card industry data security standard, version 4.0.”</w:t>
      </w:r>
      <w:r>
        <w:t xml:space="preserve"> </w:t>
      </w:r>
      <w:hyperlink r:id="rId57">
        <w:r>
          <w:rPr>
            <w:rStyle w:val="Hyperlink"/>
          </w:rPr>
          <w:t xml:space="preserve">https://www.pcisecuritystandards.org/document_library/</w:t>
        </w:r>
      </w:hyperlink>
      <w:r>
        <w:t xml:space="preserve">, 2022.</w:t>
      </w:r>
    </w:p>
    <w:bookmarkEnd w:id="58"/>
    <w:bookmarkEnd w:id="59"/>
    <w:bookmarkEnd w:id="60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47" Target="https://bugs.mysql.com/bug.php?id=41354" TargetMode="External" /><Relationship Type="http://schemas.openxmlformats.org/officeDocument/2006/relationships/hyperlink" Id="rId38" Target="https://dev.mysql.com/doc/refman/8.4/en/" TargetMode="External" /><Relationship Type="http://schemas.openxmlformats.org/officeDocument/2006/relationships/hyperlink" Id="rId51" Target="https://docs.oracle.com/en/database/oracle/oracle-database/21/dbseg/using-oracle-vpd-to-control-data-access.html" TargetMode="External" /><Relationship Type="http://schemas.openxmlformats.org/officeDocument/2006/relationships/hyperlink" Id="rId40" Target="https://doi.org/10.1109/2.485845" TargetMode="External" /><Relationship Type="http://schemas.openxmlformats.org/officeDocument/2006/relationships/hyperlink" Id="rId45" Target="https://doi.org/10.1109/PROC.1975.9939" TargetMode="External" /><Relationship Type="http://schemas.openxmlformats.org/officeDocument/2006/relationships/hyperlink" Id="rId55" Target="https://doi.org/10.6028/NIST.SP.800-53r5" TargetMode="External" /><Relationship Type="http://schemas.openxmlformats.org/officeDocument/2006/relationships/hyperlink" Id="rId53" Target="https://doi.org/10.6028/NIST.SP.800-92" TargetMode="External" /><Relationship Type="http://schemas.openxmlformats.org/officeDocument/2006/relationships/hyperlink" Id="rId57" Target="https://www.pcisecuritystandards.org/document_library/" TargetMode="External" /><Relationship Type="http://schemas.openxmlformats.org/officeDocument/2006/relationships/hyperlink" Id="rId49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ugs.mysql.com/bug.php?id=41354" TargetMode="External" /><Relationship Type="http://schemas.openxmlformats.org/officeDocument/2006/relationships/hyperlink" Id="rId38" Target="https://dev.mysql.com/doc/refman/8.4/en/" TargetMode="External" /><Relationship Type="http://schemas.openxmlformats.org/officeDocument/2006/relationships/hyperlink" Id="rId51" Target="https://docs.oracle.com/en/database/oracle/oracle-database/21/dbseg/using-oracle-vpd-to-control-data-access.html" TargetMode="External" /><Relationship Type="http://schemas.openxmlformats.org/officeDocument/2006/relationships/hyperlink" Id="rId40" Target="https://doi.org/10.1109/2.485845" TargetMode="External" /><Relationship Type="http://schemas.openxmlformats.org/officeDocument/2006/relationships/hyperlink" Id="rId45" Target="https://doi.org/10.1109/PROC.1975.9939" TargetMode="External" /><Relationship Type="http://schemas.openxmlformats.org/officeDocument/2006/relationships/hyperlink" Id="rId55" Target="https://doi.org/10.6028/NIST.SP.800-53r5" TargetMode="External" /><Relationship Type="http://schemas.openxmlformats.org/officeDocument/2006/relationships/hyperlink" Id="rId53" Target="https://doi.org/10.6028/NIST.SP.800-92" TargetMode="External" /><Relationship Type="http://schemas.openxmlformats.org/officeDocument/2006/relationships/hyperlink" Id="rId57" Target="https://www.pcisecuritystandards.org/document_library/" TargetMode="External" /><Relationship Type="http://schemas.openxmlformats.org/officeDocument/2006/relationships/hyperlink" Id="rId49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2026-09-17T10:31:15Z</dcterms:created>
  <dcterms:modified xsi:type="dcterms:W3CDTF">2026-09-17T10:31:15Z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