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762500" cy="5076825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poglavlju 7,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334000" cy="1241636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334000" cy="1336463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4030133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58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Lako je pretpostaviti da su to tri pogleda na istu stvar, pa da je izbor između njih</w:t>
      </w:r>
      <w:r>
        <w:t xml:space="preserve"> </w:t>
      </w:r>
      <w:r>
        <w:t xml:space="preserve">stvar ukusa. Nije: dva od tri formata prikazuju plan po tabeli, a treći po iteratoru, i ta razlika</w:t>
      </w:r>
      <w:r>
        <w:t xml:space="preserve"> </w:t>
      </w:r>
      <w:r>
        <w:t xml:space="preserve">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čvor.</w:t>
      </w:r>
    </w:p>
    <w:p>
      <w:pPr>
        <w:pStyle w:val="CaptionedFigure"/>
      </w:pPr>
      <w:r>
        <w:drawing>
          <wp:inline>
            <wp:extent cx="5334000" cy="3234266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dakle</w:t>
      </w:r>
      <w:r>
        <w:t xml:space="preserve"> </w:t>
      </w:r>
      <w:r>
        <w:t xml:space="preserve">2 + 2 bajta. Upit sa uslovom samo nad prvom kolonom prijavljuje</w:t>
      </w:r>
      <w:r>
        <w:t xml:space="preserve"> </w:t>
      </w:r>
      <w:r>
        <w:rPr>
          <w:rStyle w:val="VerbatimChar"/>
        </w:rPr>
        <w:t xml:space="preserve">key: PRIMARY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koristi</w:t>
      </w:r>
      <w:r>
        <w:t xml:space="preserve"> </w:t>
      </w:r>
      <w:r>
        <w:t xml:space="preserve">levi prefiks ključa i vraća devetnaest torki po pretrazi, dok upit sa uslovom nad obe kolone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U oba slučaja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ispisuje isto ime, pa bi bez</w:t>
      </w:r>
      <w:r>
        <w:t xml:space="preserve"> </w:t>
      </w:r>
      <w:r>
        <w:t xml:space="preserve">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5334000" cy="4168726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8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merna skala, i lestvica</w:t>
      </w:r>
      <w:r>
        <w:t xml:space="preserve"> </w:t>
      </w:r>
      <w:r>
        <w:t xml:space="preserve">nije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 sve što se nije uklopilo u ostale kolone, pa u njoj završe i najkorisnije</w:t>
      </w:r>
      <w:r>
        <w:t xml:space="preserve"> </w:t>
      </w:r>
      <w:r>
        <w:t xml:space="preserve">reči celog ispisa. Tri vrednosti koje liče, a znače različite stvari, opisuju istu radnju na tri</w:t>
      </w:r>
      <w:r>
        <w:t xml:space="preserve"> </w:t>
      </w:r>
      <w:r>
        <w:t xml:space="preserve">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Start w:id="49" w:name="merenje-umesto-procene"/>
    <w:p>
      <w:pPr>
        <w:pStyle w:val="Heading2"/>
      </w:pPr>
      <w:r>
        <w:t xml:space="preserve">4.5. Merenje umesto procene</w:t>
      </w:r>
    </w:p>
    <w:p>
      <w:pPr>
        <w:pStyle w:val="FirstParagraph"/>
      </w:pPr>
      <w:r>
        <w:t xml:space="preserve">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izvršava upit i uz svaki čvor stabla ispisuje drugu zagradu, u kojoj pored</w:t>
      </w:r>
      <w:r>
        <w:t xml:space="preserve"> </w:t>
      </w:r>
      <w:r>
        <w:t xml:space="preserve">procenjenih stoje i izmerene vrednosti</w:t>
      </w:r>
      <w:r>
        <w:t xml:space="preserve"> </w:t>
      </w:r>
      <w:r>
        <w:t xml:space="preserve">[2]</w:t>
      </w:r>
      <w:r>
        <w:t xml:space="preserve">. U toj zagradi su tri podatka: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, to jest dva vremena u milisekundama, do prve i do poslednje vraćene torke;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stvarni</w:t>
      </w:r>
      <w:r>
        <w:t xml:space="preserve"> </w:t>
      </w:r>
      <w:r>
        <w:t xml:space="preserve">broj torki koje je čvor vratio; i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broj ponavljanja tog čvora</w:t>
      </w:r>
      <w:r>
        <w:t xml:space="preserve"> </w:t>
      </w:r>
      <w:r>
        <w:t xml:space="preserve">[2]</w:t>
      </w:r>
      <w:r>
        <w:t xml:space="preserve">. Ključ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tako se u istom redu pojavljuje dvaput, jednom kao procena a jednom kao merenje, i upravo njihovo</w:t>
      </w:r>
      <w:r>
        <w:t xml:space="preserve"> </w:t>
      </w:r>
      <w:r>
        <w:t xml:space="preserve">poređenje čini ovu naredbu dijagnostičkim alatom.</w:t>
      </w:r>
    </w:p>
    <w:p>
      <w:pPr>
        <w:pStyle w:val="BodyText"/>
      </w:pPr>
      <w:r>
        <w:t xml:space="preserve">Dve granice te naredbe treba navesti odmah. Prva je da ona ispisuje samo stablo: priručnik navodi da</w:t>
      </w:r>
      <w:r>
        <w:t xml:space="preserve"> </w:t>
      </w:r>
      <w:r>
        <w:t xml:space="preserve">naredba uz</w:t>
      </w:r>
      <w:r>
        <w:t xml:space="preserve"> </w:t>
      </w:r>
      <w:r>
        <w:rPr>
          <w:rStyle w:val="VerbatimChar"/>
        </w:rPr>
        <w:t xml:space="preserve">FORMAT=TRADITIONAL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uvek vraća grešku</w:t>
      </w:r>
      <w:r>
        <w:t xml:space="preserve"> </w:t>
      </w:r>
      <w:r>
        <w:t xml:space="preserve">[2]</w:t>
      </w:r>
      <w:r>
        <w:t xml:space="preserve">, što na serveru</w:t>
      </w:r>
      <w:r>
        <w:t xml:space="preserve"> </w:t>
      </w:r>
      <w:r>
        <w:t xml:space="preserve">8.4.11 važi dok je promenljiva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jednaka 1, dok se uz vrednost 2 JSON</w:t>
      </w:r>
      <w:r>
        <w:t xml:space="preserve"> </w:t>
      </w:r>
      <w:r>
        <w:t xml:space="preserve">ispis ipak dobija i u njemu stoje polja</w:t>
      </w:r>
      <w:r>
        <w:t xml:space="preserve"> </w:t>
      </w:r>
      <w:r>
        <w:rPr>
          <w:rStyle w:val="VerbatimChar"/>
        </w:rPr>
        <w:t xml:space="preserve">actual_rows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actual_loops</w:t>
      </w:r>
      <w:r>
        <w:t xml:space="preserve">; ovo poslednje navodi se kao</w:t>
      </w:r>
      <w:r>
        <w:t xml:space="preserve"> </w:t>
      </w:r>
      <w:r>
        <w:t xml:space="preserve">izmereno ponašanje sa imenovanom verzijom formata, a ne kao tvrdnja priručnika. Druga granica je da</w:t>
      </w:r>
      <w:r>
        <w:t xml:space="preserve"> </w:t>
      </w:r>
      <w:r>
        <w:t xml:space="preserve">izvršavanje ne menja podatke. Naredba prima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 višetabelarne oblike naredbi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[2]</w:t>
      </w:r>
      <w:r>
        <w:t xml:space="preserve">, dok jednotabelarni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-&gt; &lt;not executable by iterator executor&gt;</w:t>
      </w:r>
      <w:r>
        <w:t xml:space="preserve"> </w:t>
      </w:r>
      <w:r>
        <w:t xml:space="preserve">bez ijednog čvora plana, a torke u oba slučaja ostaju nepromenjene, pa merenje</w:t>
      </w:r>
      <w:r>
        <w:t xml:space="preserve"> </w:t>
      </w:r>
      <w:r>
        <w:t xml:space="preserve">nije potrebno štititi transakcijom koja se poništava.</w:t>
      </w:r>
    </w:p>
    <w:p>
      <w:pPr>
        <w:pStyle w:val="BodyText"/>
      </w:pPr>
      <w:r>
        <w:t xml:space="preserve">Osnovna dijagnostika koju to merenje omogućava jeste odstupanje procene od stvarnog broja torki</w:t>
      </w:r>
      <w:r>
        <w:t xml:space="preserve"> </w:t>
      </w:r>
      <w:r>
        <w:rPr>
          <w:i/>
          <w:iCs/>
        </w:rPr>
        <w:t xml:space="preserve">(estimated versus actual rows)</w:t>
      </w:r>
      <w:r>
        <w:t xml:space="preserve">. Meri se na istom upitu iz odeljka 4.1, u kome je iz tabelarnog</w:t>
      </w:r>
      <w:r>
        <w:t xml:space="preserve"> </w:t>
      </w:r>
      <w:r>
        <w:t xml:space="preserve">ispisa izvedena procena od 5.499 torki. Izvršavanje pokazuje da kroz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prođe njih 114,</w:t>
      </w:r>
      <w:r>
        <w:t xml:space="preserve"> </w:t>
      </w:r>
      <w:r>
        <w:t xml:space="preserve">dakle 48 puta manje. Procena za sken tabele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pritom nije promašena: procenjenih 16.500</w:t>
      </w:r>
      <w:r>
        <w:t xml:space="preserve"> </w:t>
      </w:r>
      <w:r>
        <w:t xml:space="preserve">naspram izmerenih 16.044 torki daje odstupanje od svega 1,03 puta. Promašaj je, dakle, lokalizovan</w:t>
      </w:r>
      <w:r>
        <w:t xml:space="preserve"> </w:t>
      </w:r>
      <w:r>
        <w:t xml:space="preserve">na jedan čvor i ima jasan uzrok: kolona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nema ni indeks ni histogram, pa 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od 33,33 procenta nije merenje nego ugrađena pretpostavka za poređenje operatorom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[2]</w:t>
      </w:r>
      <w:r>
        <w:t xml:space="preserve">, dok je istina 114 od 16.044 torki, to jest 0,711 procenta.</w:t>
      </w:r>
    </w:p>
    <w:p>
      <w:pPr>
        <w:pStyle w:val="BodyText"/>
      </w:pPr>
      <w:r>
        <w:t xml:space="preserve">Histogram je alat kojim se neravnomernost raspodele</w:t>
      </w:r>
      <w:r>
        <w:t xml:space="preserve"> </w:t>
      </w:r>
      <w:r>
        <w:rPr>
          <w:i/>
          <w:iCs/>
        </w:rPr>
        <w:t xml:space="preserve">(skew)</w:t>
      </w:r>
      <w:r>
        <w:t xml:space="preserve"> </w:t>
      </w:r>
      <w:r>
        <w:t xml:space="preserve">jedne kolone opisuje statistikom</w:t>
      </w:r>
      <w:r>
        <w:t xml:space="preserve"> </w:t>
      </w:r>
      <w:r>
        <w:t xml:space="preserve">[2]</w:t>
      </w:r>
      <w:r>
        <w:t xml:space="preserve">.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 koja nema indeks, on odstupanje zaista zatvara: posle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ANALYZE TABLE payment UPDATE HISTOGRAM ON amount WITH 32 BUCKETS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</w:t>
      </w:r>
      <w:r>
        <w:t xml:space="preserve"> </w:t>
      </w:r>
      <w:r>
        <w:t xml:space="preserve">sa 33,33 na 0,71 procenta, a procena sa 5.499 na 117 torki naspram izmerenih 114. Od trideset dve</w:t>
      </w:r>
      <w:r>
        <w:t xml:space="preserve"> </w:t>
      </w:r>
      <w:r>
        <w:t xml:space="preserve">tražene korpe</w:t>
      </w:r>
      <w:r>
        <w:t xml:space="preserve"> </w:t>
      </w:r>
      <w:r>
        <w:rPr>
          <w:i/>
          <w:iCs/>
        </w:rPr>
        <w:t xml:space="preserve">(bucket)</w:t>
      </w:r>
      <w:r>
        <w:t xml:space="preserve"> </w:t>
      </w:r>
      <w:r>
        <w:t xml:space="preserve">izgrađeno ih je devetnaest, tipa</w:t>
      </w:r>
      <w:r>
        <w:t xml:space="preserve"> </w:t>
      </w:r>
      <w:r>
        <w:rPr>
          <w:rStyle w:val="VerbatimChar"/>
        </w:rPr>
        <w:t xml:space="preserve">singleton</w:t>
      </w:r>
      <w:r>
        <w:t xml:space="preserve">. Nad indeksiranom kolonom isti</w:t>
      </w:r>
      <w:r>
        <w:t xml:space="preserve"> </w:t>
      </w:r>
      <w:r>
        <w:t xml:space="preserve">postupak ne menja ništa: procena za kolonu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 pre i posle</w:t>
      </w:r>
      <w:r>
        <w:t xml:space="preserve"> </w:t>
      </w:r>
      <w:r>
        <w:t xml:space="preserve">histograma iznosi 2,45 miliona torki, jer optimizator, kada je kolona indeksirana, daje prednost</w:t>
      </w:r>
      <w:r>
        <w:t xml:space="preserve"> </w:t>
      </w:r>
      <w:r>
        <w:t xml:space="preserve">procenama optimizatora opsega</w:t>
      </w:r>
      <w:r>
        <w:t xml:space="preserve"> </w:t>
      </w:r>
      <w:r>
        <w:rPr>
          <w:i/>
          <w:iCs/>
        </w:rPr>
        <w:t xml:space="preserve">(range optimizer)</w:t>
      </w:r>
      <w:r>
        <w:t xml:space="preserve"> </w:t>
      </w:r>
      <w:r>
        <w:t xml:space="preserve">u odnosu na statistiku iz histograma</w:t>
      </w:r>
      <w:r>
        <w:t xml:space="preserve"> </w:t>
      </w:r>
      <w:r>
        <w:t xml:space="preserve">[2]</w:t>
      </w:r>
      <w:r>
        <w:t xml:space="preserve">. Sama ta procena promašuje izmereni broj od 3.500.177 torki za 1,43 puta.</w:t>
      </w:r>
    </w:p>
    <w:p>
      <w:pPr>
        <w:pStyle w:val="BodyText"/>
      </w:pPr>
      <w:r>
        <w:t xml:space="preserve">Time se dolazi do pitanja gde je granica prevelikog odstupanja. Uobičajeno pravilo, po kome procena</w:t>
      </w:r>
      <w:r>
        <w:t xml:space="preserve"> </w:t>
      </w:r>
      <w:r>
        <w:t xml:space="preserve">koja promašuje više od tri puta zaslužuje pažnju, merenjem se pokazuje kao prag za proveru, a ne kao</w:t>
      </w:r>
      <w:r>
        <w:t xml:space="preserve"> </w:t>
      </w:r>
      <w:r>
        <w:t xml:space="preserve">presuda. Isti onaj upit sa odstupanjem od 48 puta, proširen na spoj pet tabela, daje isti redosled</w:t>
      </w:r>
      <w:r>
        <w:t xml:space="preserve"> </w:t>
      </w:r>
      <w:r>
        <w:t xml:space="preserve">spoja i sa histogramom i bez njega, a razlikuju se samo cene (9.373 naspram 1.926). Odstupanje,</w:t>
      </w:r>
      <w:r>
        <w:t xml:space="preserve"> </w:t>
      </w:r>
      <w:r>
        <w:t xml:space="preserve">dakle, znači da je odluka doneta na osnovu pogrešnog broja, ali ne i da je sama odluka pogrešna. Da</w:t>
      </w:r>
      <w:r>
        <w:t xml:space="preserve"> </w:t>
      </w:r>
      <w:r>
        <w:t xml:space="preserve">li jeste, vidi se tek kada se izabrani plan uporedi sa nekim drugim.</w:t>
      </w:r>
    </w:p>
    <w:p>
      <w:pPr>
        <w:pStyle w:val="CaptionedFigure"/>
      </w:pPr>
      <w:r>
        <w:drawing>
          <wp:inline>
            <wp:extent cx="5334000" cy="2974383"/>
            <wp:effectExtent b="0" l="0" r="0" t="0"/>
            <wp:docPr descr="Slika 4.3: Procena naspram stvarnog broja torki po čvorovima plana, i dejstvo histograma na koloni bez indeksa i na koloni sa indeksom." title="" id="47" name="Picture"/>
            <a:graphic>
              <a:graphicData uri="http://schemas.openxmlformats.org/drawingml/2006/picture">
                <pic:pic>
                  <pic:nvPicPr>
                    <pic:cNvPr descr="figures/04-explain-03-procena-naspram-stvarno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4.3: Procena naspram stvarnog broja torki po čvorovima plana, i dejstvo histograma na koloni</w:t>
      </w:r>
      <w:r>
        <w:t xml:space="preserve"> </w:t>
      </w:r>
      <w:r>
        <w:t xml:space="preserve">bez indeksa i na koloni sa indeksom.</w:t>
      </w:r>
    </w:p>
    <w:bookmarkEnd w:id="49"/>
    <w:bookmarkStart w:id="53" w:name="prosek-po-ponavljanju"/>
    <w:p>
      <w:pPr>
        <w:pStyle w:val="Heading2"/>
      </w:pPr>
      <w:r>
        <w:t xml:space="preserve">4.6. Prosek po ponavljanju</w:t>
      </w:r>
    </w:p>
    <w:p>
      <w:pPr>
        <w:pStyle w:val="FirstParagraph"/>
      </w:pPr>
      <w:r>
        <w:t xml:space="preserve">Brojevi u izmerenoj zagradi čvora koji se nalazi unutar ugnježdene petlje nisu zbirovi nego proseci</w:t>
      </w:r>
      <w:r>
        <w:t xml:space="preserve"> </w:t>
      </w:r>
      <w:r>
        <w:t xml:space="preserve">po jednom ponavljanju</w:t>
      </w:r>
      <w:r>
        <w:t xml:space="preserve"> </w:t>
      </w:r>
      <w:r>
        <w:t xml:space="preserve">[2]</w:t>
      </w:r>
      <w:r>
        <w:t xml:space="preserve">. Na spoju tabela</w:t>
      </w:r>
      <w:r>
        <w:t xml:space="preserve"> </w:t>
      </w:r>
      <w:r>
        <w:rPr>
          <w:rStyle w:val="VerbatimChar"/>
        </w:rPr>
        <w:t xml:space="preserve">film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 sa uslovom</w:t>
      </w:r>
      <w:r>
        <w:t xml:space="preserve"> </w:t>
      </w:r>
      <w:r>
        <w:t xml:space="preserve">koji ostavlja 178 filmova, čvor</w:t>
      </w:r>
      <w:r>
        <w:t xml:space="preserve"> </w:t>
      </w:r>
      <w:r>
        <w:rPr>
          <w:rStyle w:val="VerbatimChar"/>
        </w:rPr>
        <w:t xml:space="preserve">Covering index lookup on fa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rows=5.48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loops=178</w:t>
      </w:r>
      <w:r>
        <w:t xml:space="preserve">.</w:t>
      </w:r>
      <w:r>
        <w:t xml:space="preserve"> </w:t>
      </w:r>
      <w:r>
        <w:t xml:space="preserve">Razlomak u broju torki je znak da je reč o proseku: 178 ponavljanja puta 5,48 torki daje 975, a to</w:t>
      </w:r>
      <w:r>
        <w:t xml:space="preserve"> </w:t>
      </w:r>
      <w:r>
        <w:t xml:space="preserve">je upravo broj torki koji čvor spoja iznad njega prijavljuje (976). Ukupan doprinos jednog čvora</w:t>
      </w:r>
      <w:r>
        <w:t xml:space="preserve"> </w:t>
      </w:r>
      <w:r>
        <w:t xml:space="preserve">dobija se, dakle, tek množenjem sa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zbog čega čvor sa najmanjim prijavljenim vremenom ume da</w:t>
      </w:r>
      <w:r>
        <w:t xml:space="preserve"> </w:t>
      </w:r>
      <w:r>
        <w:t xml:space="preserve">bude najskuplji deo plana. Vreme se čita na isti način, jer 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meri jedno ponavljanje.</w:t>
      </w:r>
    </w:p>
    <w:p>
      <w:pPr>
        <w:pStyle w:val="CaptionedFigure"/>
      </w:pPr>
      <w:r>
        <w:drawing>
          <wp:inline>
            <wp:extent cx="5334000" cy="3164237"/>
            <wp:effectExtent b="0" l="0" r="0" t="0"/>
            <wp:docPr descr="Slika 4.4: Vrednosti rows i actual time kao proseci po ponavljanju: prijavljeno vreme jednog ponavljanja naspram ukupnog vremena čvora." title="" id="51" name="Picture"/>
            <a:graphic>
              <a:graphicData uri="http://schemas.openxmlformats.org/drawingml/2006/picture">
                <pic:pic>
                  <pic:nvPicPr>
                    <pic:cNvPr descr="figures/04-explain-04-loops-i-prose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4.4: Vrednosti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kao proseci po ponavljanju: prijavljeno vreme jednog</w:t>
      </w:r>
      <w:r>
        <w:t xml:space="preserve"> </w:t>
      </w:r>
      <w:r>
        <w:t xml:space="preserve">ponavljanja naspram ukupnog vremena čvora.</w:t>
      </w:r>
    </w:p>
    <w:bookmarkEnd w:id="53"/>
    <w:bookmarkStart w:id="57" w:name="plan-koji-ispis-prikazuje-kao-savršen"/>
    <w:p>
      <w:pPr>
        <w:pStyle w:val="Heading2"/>
      </w:pPr>
      <w:r>
        <w:t xml:space="preserve">4.7. Plan koji ispis prikazuje kao savršen</w:t>
      </w:r>
    </w:p>
    <w:p>
      <w:pPr>
        <w:pStyle w:val="FirstParagraph"/>
      </w:pPr>
      <w:r>
        <w:t xml:space="preserve">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najstarijih torki koje ispunjavaju redak uslov nad</w:t>
      </w:r>
      <w:r>
        <w:t xml:space="preserve"> </w:t>
      </w:r>
      <w:r>
        <w:t xml:space="preserve">neindeksiranom kolonom, dakle</w:t>
      </w:r>
      <w:r>
        <w:t xml:space="preserve"> </w:t>
      </w:r>
      <w:r>
        <w:rPr>
          <w:rStyle w:val="VerbatimChar"/>
        </w:rPr>
        <w:t xml:space="preserve">WHERE amount &gt; 504.9 ORDER BY created_at LIMIT 10</w:t>
      </w:r>
      <w:r>
        <w:t xml:space="preserve">. Uslov ispunjava</w:t>
      </w:r>
      <w:r>
        <w:t xml:space="preserve"> </w:t>
      </w:r>
      <w:r>
        <w:t xml:space="preserve">940 od pet miliona torki, to jest 0,0188 procenta, a optimizator i dalje pretpostavlja 33,33. 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 nijedna kolona nije upozorenje:</w:t>
      </w:r>
      <w:r>
        <w:t xml:space="preserve"> </w:t>
      </w:r>
      <w:r>
        <w:rPr>
          <w:rStyle w:val="VerbatimChar"/>
        </w:rPr>
        <w:t xml:space="preserve">type: 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idx_created_at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rows: 10</w:t>
      </w:r>
      <w:r>
        <w:t xml:space="preserve">,</w:t>
      </w:r>
      <w:r>
        <w:t xml:space="preserve"> </w:t>
      </w:r>
      <w:r>
        <w:t xml:space="preserve">bez vrednosti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i sa cenom oko 0,84, dakle manjom od jedan.</w:t>
      </w:r>
    </w:p>
    <w:p>
      <w:pPr>
        <w:pStyle w:val="BodyText"/>
      </w:pPr>
      <w:r>
        <w:rPr>
          <w:rStyle w:val="VerbatimChar"/>
        </w:rPr>
        <w:t xml:space="preserve">EXPLAIN ANALYZE</w:t>
      </w:r>
      <w:r>
        <w:t xml:space="preserve"> </w:t>
      </w:r>
      <w:r>
        <w:t xml:space="preserve">nad istim upitom pokazuje da je sken preko indeksa pročitao 31.621 torku, dakle</w:t>
      </w:r>
      <w:r>
        <w:t xml:space="preserve"> </w:t>
      </w:r>
      <w:r>
        <w:t xml:space="preserve">3.162 puta više od procene, i da je to trajalo oko 2.853 milisekunde. Uzrok je sadejstvo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: plan čita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redom i staje kada skupi deset torki koje</w:t>
      </w:r>
      <w:r>
        <w:t xml:space="preserve"> </w:t>
      </w:r>
      <w:r>
        <w:t xml:space="preserve">prolaze filter, a pošto je uslov redak, do desete takve torke dolazi se tek posle 31.621 pročitane</w:t>
      </w:r>
      <w:r>
        <w:t xml:space="preserve"> </w:t>
      </w:r>
      <w:r>
        <w:t xml:space="preserve">torke. Procena od deset torki odnosi se na ono što plan vraća, a ne na ono što mora da pročita da bi</w:t>
      </w:r>
      <w:r>
        <w:t xml:space="preserve"> </w:t>
      </w:r>
      <w:r>
        <w:t xml:space="preserve">to vratio.</w:t>
      </w:r>
    </w:p>
    <w:p>
      <w:pPr>
        <w:pStyle w:val="BodyText"/>
      </w:pPr>
      <w:r>
        <w:t xml:space="preserve">Da plan nije samo spor nego zaista loš, pokazuje poređenje sa alternativom. Kada se indeks oduzme</w:t>
      </w:r>
      <w:r>
        <w:t xml:space="preserve"> </w:t>
      </w:r>
      <w:r>
        <w:t xml:space="preserve">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, dobija se plan sa skenom cele tabele i sortiranjem, kome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dodeljuje cenu 574.636, oko 686.000 puta veću, a koji se izvršava za oko 1.789 milisekundi, dakle</w:t>
      </w:r>
      <w:r>
        <w:t xml:space="preserve"> </w:t>
      </w:r>
      <w:r>
        <w:t xml:space="preserve">približno 1,6 puta brže. Model cene je jeftinijim proglasio sporiji plan, i to se bez izvršavanja</w:t>
      </w:r>
      <w:r>
        <w:t xml:space="preserve"> </w:t>
      </w:r>
      <w:r>
        <w:t xml:space="preserve">nije moglo videti. Apsolutna vremena razlikuju se od pokretanja do pokretanja, jer zavise od toga</w:t>
      </w:r>
      <w:r>
        <w:t xml:space="preserve"> </w:t>
      </w:r>
      <w:r>
        <w:t xml:space="preserve">koliko je stranica tabele zateknuto u baferu, dok odnos između dva plana ostaje isti.</w:t>
      </w:r>
    </w:p>
    <w:p>
      <w:pPr>
        <w:pStyle w:val="BodyText"/>
      </w:pPr>
      <w:r>
        <w:t xml:space="preserve">Histogram ni ovde ne pomaže, iako procenu popravlja. Sa 64 i sa 1024 korpe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 sa 33,33 na 0,50 procenta, a procena u stablu sa 3,33 na 0,05 torki, dok</w:t>
      </w:r>
      <w:r>
        <w:t xml:space="preserve"> </w:t>
      </w:r>
      <w:r>
        <w:t xml:space="preserve">plan, broj pročitanih torki i vreme izvršavanja ostaju nepromenjeni. Razlog je što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ograničava broj torki koji ulazi u cenu skena po redosledu indeksa na deset, i to pre nego što</w:t>
      </w:r>
      <w:r>
        <w:t xml:space="preserve"> </w:t>
      </w:r>
      <w:r>
        <w:t xml:space="preserve">ispravljena selektivnost stigne da taj broj podigne. Bolja statistika popravila je, dakle, procenu,</w:t>
      </w:r>
      <w:r>
        <w:t xml:space="preserve"> </w:t>
      </w:r>
      <w:r>
        <w:t xml:space="preserve">a nije promenila odluku.</w:t>
      </w:r>
    </w:p>
    <w:p>
      <w:pPr>
        <w:pStyle w:val="CaptionedFigure"/>
      </w:pPr>
      <w:r>
        <w:drawing>
          <wp:inline>
            <wp:extent cx="5334000" cy="3100952"/>
            <wp:effectExtent b="0" l="0" r="0" t="0"/>
            <wp:docPr descr="Slika 4.5: Isti upit u tri prikaza: procena koju ispisuje EXPLAIN, merenje koje dodaje EXPLAIN ANALYZE i alternativni plan dobijen naredbom IGNORE INDEX." title="" id="55" name="Picture"/>
            <a:graphic>
              <a:graphicData uri="http://schemas.openxmlformats.org/drawingml/2006/picture">
                <pic:pic>
                  <pic:nvPicPr>
                    <pic:cNvPr descr="figures/04-explain-05-los-pl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0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4.5: Isti upit u tri prikaza: procena koju ispisuje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merenje koje dodaje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alternativni plan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</w:t>
      </w:r>
    </w:p>
    <w:p>
      <w:pPr>
        <w:pStyle w:val="BodyText"/>
      </w:pPr>
      <w:r>
        <w:t xml:space="preserve">Ono što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 ovde nije pokazalo jeste zašto je lošiji plan uopšte izabran. Ispis</w:t>
      </w:r>
      <w:r>
        <w:t xml:space="preserve"> </w:t>
      </w:r>
      <w:r>
        <w:t xml:space="preserve">meri jedan plan, onaj koji je pobedio, i ne pominje ni koje je alternative optimizator razmatrao ni</w:t>
      </w:r>
      <w:r>
        <w:t xml:space="preserve"> </w:t>
      </w:r>
      <w:r>
        <w:t xml:space="preserve">kolikom ih je cenom procenio. Taj podatak postoji, ali samo u tragu optimizatora, čime se bavi</w:t>
      </w:r>
      <w:r>
        <w:t xml:space="preserve"> </w:t>
      </w:r>
      <w:r>
        <w:t xml:space="preserve">naredni odeljak.</w:t>
      </w:r>
    </w:p>
    <w:bookmarkEnd w:id="57"/>
    <w:bookmarkEnd w:id="58"/>
    <w:bookmarkStart w:id="59" w:name="iterator-model-i-pipeline-operatora"/>
    <w:p>
      <w:pPr>
        <w:pStyle w:val="Heading1"/>
      </w:pPr>
      <w:r>
        <w:t xml:space="preserve">5. Iterator model i pipeline operatora</w:t>
      </w:r>
    </w:p>
    <w:bookmarkEnd w:id="59"/>
    <w:bookmarkStart w:id="60" w:name="vektorizovano-izvršavanje"/>
    <w:p>
      <w:pPr>
        <w:pStyle w:val="Heading1"/>
      </w:pPr>
      <w:r>
        <w:t xml:space="preserve">6. Vektorizovano izvršavanje</w:t>
      </w:r>
    </w:p>
    <w:bookmarkEnd w:id="60"/>
    <w:bookmarkStart w:id="61" w:name="paralelno-izvršavanje-upita"/>
    <w:p>
      <w:pPr>
        <w:pStyle w:val="Heading1"/>
      </w:pPr>
      <w:r>
        <w:t xml:space="preserve">7. Paralelno izvršavanje upita</w:t>
      </w:r>
    </w:p>
    <w:bookmarkEnd w:id="61"/>
    <w:bookmarkStart w:id="62" w:name="keširanje-i-ponovna-upotreba-planova"/>
    <w:p>
      <w:pPr>
        <w:pStyle w:val="Heading1"/>
      </w:pPr>
      <w:r>
        <w:t xml:space="preserve">8. Keširanje i ponovna upotreba planova</w:t>
      </w:r>
    </w:p>
    <w:bookmarkEnd w:id="62"/>
    <w:bookmarkStart w:id="63" w:name="zaključak"/>
    <w:p>
      <w:pPr>
        <w:pStyle w:val="Heading1"/>
      </w:pPr>
      <w:r>
        <w:t xml:space="preserve">9. Zaključak</w:t>
      </w:r>
    </w:p>
    <w:bookmarkEnd w:id="63"/>
    <w:bookmarkStart w:id="74" w:name="reference"/>
    <w:p>
      <w:pPr>
        <w:pStyle w:val="Heading1"/>
      </w:pPr>
      <w:r>
        <w:t xml:space="preserve">Reference</w:t>
      </w:r>
    </w:p>
    <w:bookmarkStart w:id="73" w:name="refs"/>
    <w:bookmarkStart w:id="64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64"/>
    <w:bookmarkStart w:id="66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65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66"/>
    <w:bookmarkStart w:id="68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67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68"/>
    <w:bookmarkStart w:id="70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69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70"/>
    <w:bookmarkStart w:id="72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71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hyperlink" Id="rId71" Target="https://dev.mysql.com/blog-archive/new-json-format-for-explain/" TargetMode="External" /><Relationship Type="http://schemas.openxmlformats.org/officeDocument/2006/relationships/hyperlink" Id="rId65" Target="https://dev.mysql.com/doc/refman/8.4/en/" TargetMode="External" /><Relationship Type="http://schemas.openxmlformats.org/officeDocument/2006/relationships/hyperlink" Id="rId69" Target="https://dev.mysql.com/worklog/task/?id=7082" TargetMode="External" /><Relationship Type="http://schemas.openxmlformats.org/officeDocument/2006/relationships/hyperlink" Id="rId67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ev.mysql.com/blog-archive/new-json-format-for-explain/" TargetMode="External" /><Relationship Type="http://schemas.openxmlformats.org/officeDocument/2006/relationships/hyperlink" Id="rId65" Target="https://dev.mysql.com/doc/refman/8.4/en/" TargetMode="External" /><Relationship Type="http://schemas.openxmlformats.org/officeDocument/2006/relationships/hyperlink" Id="rId69" Target="https://dev.mysql.com/worklog/task/?id=7082" TargetMode="External" /><Relationship Type="http://schemas.openxmlformats.org/officeDocument/2006/relationships/hyperlink" Id="rId67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2026-08-28T14:28:18Z</dcterms:created>
  <dcterms:modified xsi:type="dcterms:W3CDTF">2026-08-28T14:28:18Z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