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  <Override PartName="/word/media/rId36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: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762500" cy="5076825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07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poglavlju 7,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334000" cy="1241636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334000" cy="1336463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4030133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0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46" w:name="explain-i-explain-analyze"/>
    <w:p>
      <w:pPr>
        <w:pStyle w:val="Heading1"/>
      </w:pPr>
      <w:r>
        <w:t xml:space="preserve">4. EXPLAIN i EXPLAIN ANALYZE</w:t>
      </w:r>
    </w:p>
    <w:p>
      <w:pPr>
        <w:pStyle w:val="FirstParagraph"/>
      </w:pPr>
      <w:r>
        <w:t xml:space="preserve">Poglavlje 3 pokazalo je kako se plan bira. Ovo poglavlje pokazuje kako se izabrani plan čita. Alat je</w:t>
      </w:r>
      <w:r>
        <w:t xml:space="preserve"> </w:t>
      </w:r>
      <w:r>
        <w:t xml:space="preserve">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koja se primenjuje na naredbe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[2]</w:t>
      </w:r>
      <w:r>
        <w:t xml:space="preserve">. Pre bilo kakve dijagnostike, međutim, ide rečnik: koje formate ispisa ta</w:t>
      </w:r>
      <w:r>
        <w:t xml:space="preserve"> </w:t>
      </w:r>
      <w:r>
        <w:t xml:space="preserve">naredba ima, šta znači svaka njena kolona i šta tačno tvrdi ono jedno polje u koje se prvo gleda. Tim</w:t>
      </w:r>
      <w:r>
        <w:t xml:space="preserve"> </w:t>
      </w:r>
      <w:r>
        <w:t xml:space="preserve">redom ide i poglavlje: najpre se čita procena koju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ispisuje, potom se ta procena poredi sa</w:t>
      </w:r>
      <w:r>
        <w:t xml:space="preserve"> </w:t>
      </w:r>
      <w:r>
        <w:t xml:space="preserve">izmerenim izvršavanjem, i najzad se u tragu optimizatora traži ono što ispis nikada ne prikazuje, a to</w:t>
      </w:r>
      <w:r>
        <w:t xml:space="preserve"> </w:t>
      </w:r>
      <w:r>
        <w:t xml:space="preserve">su odbačeni planovi.</w:t>
      </w:r>
    </w:p>
    <w:bookmarkStart w:id="39" w:name="tri-formata-ispisa-dva-oblika-plana"/>
    <w:p>
      <w:pPr>
        <w:pStyle w:val="Heading2"/>
      </w:pPr>
      <w:r>
        <w:t xml:space="preserve">4.1. Tri formata ispisa, dva oblika plana</w:t>
      </w:r>
    </w:p>
    <w:p>
      <w:pPr>
        <w:pStyle w:val="FirstParagraph"/>
      </w:pPr>
      <w:r>
        <w:rPr>
          <w:rStyle w:val="VerbatimChar"/>
        </w:rPr>
        <w:t xml:space="preserve">EXPLAIN</w:t>
      </w:r>
      <w:r>
        <w:t xml:space="preserve"> </w:t>
      </w:r>
      <w:r>
        <w:t xml:space="preserve">ima tri formata ispisa: podrazumevani tabelarni format,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 </w:t>
      </w:r>
      <w:r>
        <w:t xml:space="preserve">[2]</w:t>
      </w:r>
      <w:r>
        <w:t xml:space="preserve">. Lako je pretpostaviti da su to tri pogleda na istu stvar, pa da je izbor između njih</w:t>
      </w:r>
      <w:r>
        <w:t xml:space="preserve"> </w:t>
      </w:r>
      <w:r>
        <w:t xml:space="preserve">stvar ukusa. Nije: dva od tri formata prikazuju plan po tabeli, a treći po iteratoru, i ta razlika</w:t>
      </w:r>
      <w:r>
        <w:t xml:space="preserve"> </w:t>
      </w:r>
      <w:r>
        <w:t xml:space="preserve">određuje šta se u ispisu uopšte može videti.</w:t>
      </w:r>
    </w:p>
    <w:p>
      <w:pPr>
        <w:pStyle w:val="BodyText"/>
      </w:pPr>
      <w:r>
        <w:t xml:space="preserve">Razlika se meri prebrojavanjem. Isti spoj tabela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 </w:t>
      </w:r>
      <w:r>
        <w:t xml:space="preserve">u</w:t>
      </w:r>
      <w:r>
        <w:t xml:space="preserve"> </w:t>
      </w:r>
      <w:r>
        <w:t xml:space="preserve">tabelarnom formatu daje dva reda, po jedan za svaku tabelu, a u obliku stabla četiri čvora, jer su i</w:t>
      </w:r>
      <w:r>
        <w:t xml:space="preserve"> </w:t>
      </w:r>
      <w:r>
        <w:t xml:space="preserve">filter i sam spoj operacije, a ne osobine tabele. Filter u tabelarnom ispisu nema svoj red: sabijen je</w:t>
      </w:r>
      <w:r>
        <w:t xml:space="preserve"> </w:t>
      </w:r>
      <w:r>
        <w:t xml:space="preserve">u reč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u broj u koloni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Most između dva oblika je aritmetika</w:t>
      </w:r>
      <w:r>
        <w:t xml:space="preserve"> </w:t>
      </w:r>
      <w:r>
        <w:t xml:space="preserve">koju priručnik izričito propisuje,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pomnoženo sa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i podeljeno sa 100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posmatranom planu 16.500 torki pomnoženo sa 33,33 procenta daje 5.499, a to je tačno procena broja</w:t>
      </w:r>
      <w:r>
        <w:t xml:space="preserve"> </w:t>
      </w:r>
      <w:r>
        <w:t xml:space="preserve">torki čvora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verzije 1 isti broj daje gotov, u polju</w:t>
      </w:r>
      <w:r>
        <w:t xml:space="preserve"> </w:t>
      </w:r>
      <w:r>
        <w:rPr>
          <w:rStyle w:val="VerbatimChar"/>
        </w:rPr>
        <w:t xml:space="preserve">rows_produced_per_join</w:t>
      </w:r>
      <w:r>
        <w:t xml:space="preserve"> </w:t>
      </w:r>
      <w:r>
        <w:t xml:space="preserve">[2]</w:t>
      </w:r>
      <w:r>
        <w:t xml:space="preserve">. Ono što tabelarni format ostavlja čitaocu da izračuna,</w:t>
      </w:r>
      <w:r>
        <w:t xml:space="preserve"> </w:t>
      </w:r>
      <w:r>
        <w:t xml:space="preserve">stablo prikazuje kao zaseban čvor.</w:t>
      </w:r>
    </w:p>
    <w:p>
      <w:pPr>
        <w:pStyle w:val="CaptionedFigure"/>
      </w:pPr>
      <w:r>
        <w:drawing>
          <wp:inline>
            <wp:extent cx="5334000" cy="3234266"/>
            <wp:effectExtent b="0" l="0" r="0" t="0"/>
            <wp:docPr descr="Slika 4.1: Isti upit i isti plan u tri formata ispisa naredbe EXPLAIN." title="" id="37" name="Picture"/>
            <a:graphic>
              <a:graphicData uri="http://schemas.openxmlformats.org/drawingml/2006/picture">
                <pic:pic>
                  <pic:nvPicPr>
                    <pic:cNvPr descr="figures/04-explain-01-tri-formata-jedan-pla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Isti upit i isti plan u tri formata ispisa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BodyText"/>
      </w:pPr>
      <w:r>
        <w:t xml:space="preserve">Podela na dva oblika nije, međutim, podela na tekstualni i mašinski čitljiv ispis. Počev od verzije</w:t>
      </w:r>
      <w:r>
        <w:t xml:space="preserve"> </w:t>
      </w:r>
      <w:r>
        <w:t xml:space="preserve">8.3 postoji i druga verzija JSON formata, koja umesto oblika po tabeli daje isto stablo iteratora koje</w:t>
      </w:r>
      <w:r>
        <w:t xml:space="preserve"> </w:t>
      </w:r>
      <w:r>
        <w:t xml:space="preserve">ispisuje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, a bira se promenljivom sesije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serveru na kome su rađeni primeri u ovom radu (8.4.11) podrazumevana vrednost te promenljive je 1,</w:t>
      </w:r>
      <w:r>
        <w:t xml:space="preserve"> </w:t>
      </w:r>
      <w:r>
        <w:t xml:space="preserve">dok se vrednost 2 prihvata i proizvodi stablasti oblik. Uz drugu verziju ide i zamka koju svako</w:t>
      </w:r>
      <w:r>
        <w:t xml:space="preserve"> </w:t>
      </w:r>
      <w:r>
        <w:t xml:space="preserve">navođenje JSON ispisa mora da uzme u obzir: ključ</w:t>
      </w:r>
      <w:r>
        <w:t xml:space="preserve"> </w:t>
      </w:r>
      <w:r>
        <w:rPr>
          <w:rStyle w:val="VerbatimChar"/>
        </w:rPr>
        <w:t xml:space="preserve">access_type</w:t>
      </w:r>
      <w:r>
        <w:t xml:space="preserve"> </w:t>
      </w:r>
      <w:r>
        <w:t xml:space="preserve">postoji u obe verzije, ali u njima ne</w:t>
      </w:r>
      <w:r>
        <w:t xml:space="preserve"> </w:t>
      </w:r>
      <w:r>
        <w:t xml:space="preserve">znači isto. U verziji 1 on nosi tip pristupa</w:t>
      </w:r>
      <w:r>
        <w:t xml:space="preserve"> </w:t>
      </w:r>
      <w:r>
        <w:rPr>
          <w:i/>
          <w:iCs/>
        </w:rPr>
        <w:t xml:space="preserve">(access type)</w:t>
      </w:r>
      <w:r>
        <w:t xml:space="preserve"> </w:t>
      </w:r>
      <w:r>
        <w:t xml:space="preserve">iz tabelarnog ispisa, dok u verziji 2 nosi</w:t>
      </w:r>
      <w:r>
        <w:t xml:space="preserve"> </w:t>
      </w:r>
      <w:r>
        <w:t xml:space="preserve">vrstu iteratora (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), a tip pristupa se seli u ključ</w:t>
      </w:r>
      <w:r>
        <w:t xml:space="preserve"> </w:t>
      </w:r>
      <w:r>
        <w:rPr>
          <w:rStyle w:val="VerbatimChar"/>
        </w:rPr>
        <w:t xml:space="preserve">index_access_type</w:t>
      </w:r>
      <w:r>
        <w:t xml:space="preserve"> </w:t>
      </w:r>
      <w:r>
        <w:t xml:space="preserve">[5]</w:t>
      </w:r>
      <w:r>
        <w:t xml:space="preserve">. Svaki JSON ispis naveden kao dokaz stoga mora da imenuje i svoju</w:t>
      </w:r>
      <w:r>
        <w:t xml:space="preserve"> </w:t>
      </w:r>
      <w:r>
        <w:t xml:space="preserve">verziju.</w:t>
      </w:r>
    </w:p>
    <w:bookmarkEnd w:id="39"/>
    <w:bookmarkStart w:id="40" w:name="kolone-koje-nose-odluku"/>
    <w:p>
      <w:pPr>
        <w:pStyle w:val="Heading2"/>
      </w:pPr>
      <w:r>
        <w:t xml:space="preserve">4.2. Kolone koje nose odluku</w:t>
      </w:r>
    </w:p>
    <w:p>
      <w:pPr>
        <w:pStyle w:val="FirstParagraph"/>
      </w:pPr>
      <w:r>
        <w:t xml:space="preserve">Tabelarni ispis ima dvanaest kolona, ali one nisu jednako važne</w:t>
      </w:r>
      <w:r>
        <w:t xml:space="preserve"> </w:t>
      </w:r>
      <w:r>
        <w:t xml:space="preserve">[2]</w:t>
      </w:r>
      <w:r>
        <w:t xml:space="preserve">. Kolone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partitions</w:t>
      </w:r>
      <w:r>
        <w:t xml:space="preserve"> </w:t>
      </w:r>
      <w:r>
        <w:t xml:space="preserve">identifikuju blok upita i tabelu, kolone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opisuju izabrani pristup, a odluku optimizatora nose četiri: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(kojim se putem</w:t>
      </w:r>
      <w:r>
        <w:t xml:space="preserve"> </w:t>
      </w:r>
      <w:r>
        <w:t xml:space="preserve">dolazi do tabele),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(koji je indeks izabran),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(procena broja torki koje pristup pročita) 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(procena, u procentima, koliko ih preživi uslov)</w:t>
      </w:r>
      <w:r>
        <w:t xml:space="preserve"> </w:t>
      </w:r>
      <w:r>
        <w:t xml:space="preserve">[2]</w:t>
      </w:r>
      <w:r>
        <w:t xml:space="preserve">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prihvata</w:t>
      </w:r>
      <w:r>
        <w:t xml:space="preserve"> </w:t>
      </w:r>
      <w:r>
        <w:t xml:space="preserve">sve što se ni u jednu od ostalih nije uklopilo.</w:t>
      </w:r>
    </w:p>
    <w:p>
      <w:pPr>
        <w:pStyle w:val="BodyText"/>
      </w:pPr>
      <w:r>
        <w:t xml:space="preserve">Tri česta pogrešna čitanja tog ispisa mogu se proveriti u svega nekoliko naredbi. Prvo, kolone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odgovaraju na različita pitanja i tek zajedno određuju šta pristup radi: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imenuje</w:t>
      </w:r>
      <w:r>
        <w:t xml:space="preserve"> </w:t>
      </w:r>
      <w:r>
        <w:t xml:space="preserve">indeks, a dužina ključa (</w:t>
      </w:r>
      <w:r>
        <w:rPr>
          <w:rStyle w:val="VerbatimChar"/>
        </w:rPr>
        <w:t xml:space="preserve">key_len</w:t>
      </w:r>
      <w:r>
        <w:t xml:space="preserve">) kaže koliko je njegovih bajtova stvarno iskorišćeno</w:t>
      </w:r>
      <w:r>
        <w:t xml:space="preserve"> </w:t>
      </w:r>
      <w:r>
        <w:t xml:space="preserve">[2]</w:t>
      </w:r>
      <w:r>
        <w:t xml:space="preserve">. Primarni ključ tabele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složen je od kolona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film_id</w:t>
      </w:r>
      <w:r>
        <w:t xml:space="preserve">, dakle</w:t>
      </w:r>
      <w:r>
        <w:t xml:space="preserve"> </w:t>
      </w:r>
      <w:r>
        <w:t xml:space="preserve">2 + 2 bajta. Upit sa uslovom samo nad prvom kolonom prijavljuje</w:t>
      </w:r>
      <w:r>
        <w:t xml:space="preserve"> </w:t>
      </w:r>
      <w:r>
        <w:rPr>
          <w:rStyle w:val="VerbatimChar"/>
        </w:rPr>
        <w:t xml:space="preserve">key: PRIMARY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key_len: 2</w:t>
      </w:r>
      <w:r>
        <w:t xml:space="preserve">, koristi</w:t>
      </w:r>
      <w:r>
        <w:t xml:space="preserve"> </w:t>
      </w:r>
      <w:r>
        <w:t xml:space="preserve">levi prefiks ključa i vraća devetnaest torki po pretrazi, dok upit sa uslovom nad obe kolone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key_len: 4</w:t>
      </w:r>
      <w:r>
        <w:t xml:space="preserve"> </w:t>
      </w:r>
      <w:r>
        <w:t xml:space="preserve">i najviše jednu torku. U oba slučaja kolona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ispisuje isto ime, pa bi bez</w:t>
      </w:r>
      <w:r>
        <w:t xml:space="preserve"> </w:t>
      </w:r>
      <w:r>
        <w:t xml:space="preserve">dužine ključa izgledalo da se dešava isto.</w:t>
      </w:r>
    </w:p>
    <w:p>
      <w:pPr>
        <w:pStyle w:val="BodyText"/>
      </w:pPr>
      <w:r>
        <w:t xml:space="preserve">Drugo, indeks naveden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key: NULL</w:t>
      </w:r>
      <w:r>
        <w:t xml:space="preserve"> </w:t>
      </w:r>
      <w:r>
        <w:t xml:space="preserve">ne znači da je indeks neupotrebljiv. Da</w:t>
      </w:r>
      <w:r>
        <w:t xml:space="preserve"> </w:t>
      </w:r>
      <w:r>
        <w:t xml:space="preserve">jeste, među kandidate ne bi ni ušao. Reč je o odluci po ceni iz poglavlja 3, viđenoj sa strane ispisa:</w:t>
      </w:r>
      <w:r>
        <w:t xml:space="preserve"> </w:t>
      </w:r>
      <w:r>
        <w:t xml:space="preserve">o istom onom kandidatu koji u tragu optimizatora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 </w:t>
      </w:r>
      <w:r>
        <w:t xml:space="preserve">[2]</w:t>
      </w:r>
      <w:r>
        <w:t xml:space="preserve">. Treće,</w:t>
      </w:r>
      <w:r>
        <w:t xml:space="preserve"> </w:t>
      </w:r>
      <w:r>
        <w:t xml:space="preserve">broj koji ulazi u narednu tabelu plana nije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nego proizvod kolona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Dva upita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 sa istim indeksom i istom procenom od 32 torke, razlikuju se samo po jednom</w:t>
      </w:r>
      <w:r>
        <w:t xml:space="preserve"> </w:t>
      </w:r>
      <w:r>
        <w:t xml:space="preserve">dodatnom uslovu, a taj uslov spušta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sa 100,00 na 33,33 i u istom trenutku menja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.</w:t>
      </w:r>
    </w:p>
    <w:bookmarkEnd w:id="40"/>
    <w:bookmarkStart w:id="44" w:name="lestvica-tipova-pristupa"/>
    <w:p>
      <w:pPr>
        <w:pStyle w:val="Heading2"/>
      </w:pPr>
      <w:r>
        <w:t xml:space="preserve">4.3. Lestvica tipova pristupa</w:t>
      </w:r>
    </w:p>
    <w:p>
      <w:pPr>
        <w:pStyle w:val="FirstParagraph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uzima tačno dvanaest vrednosti, a priručnik ih navodi poređane od najboljeg tipa ka</w:t>
      </w:r>
      <w:r>
        <w:t xml:space="preserve"> </w:t>
      </w:r>
      <w:r>
        <w:t xml:space="preserve">najgorem</w:t>
      </w:r>
      <w:r>
        <w:t xml:space="preserve"> </w:t>
      </w:r>
      <w:r>
        <w:t xml:space="preserve">[2]</w:t>
      </w:r>
      <w:r>
        <w:t xml:space="preserve">. Slika 4.2 prikazuje svih dvanaest, svaku izmerenu na zasebnom upitu nad</w:t>
      </w:r>
      <w:r>
        <w:t xml:space="preserve"> </w:t>
      </w:r>
      <w:r>
        <w:t xml:space="preserve">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uz boju koja ih grupiše po tome koliko torki jedan pristup može da vrati.</w:t>
      </w:r>
    </w:p>
    <w:p>
      <w:pPr>
        <w:pStyle w:val="CaptionedFigure"/>
      </w:pPr>
      <w:r>
        <w:drawing>
          <wp:inline>
            <wp:extent cx="5334000" cy="4168726"/>
            <wp:effectExtent b="0" l="0" r="0" t="0"/>
            <wp:docPr descr="Slika 4.2: Dvanaest vrednosti kolone type, poređanih redosledom iz priručnika i obojenih po broju torki koje jedan pristup može da vrati." title="" id="42" name="Picture"/>
            <a:graphic>
              <a:graphicData uri="http://schemas.openxmlformats.org/drawingml/2006/picture">
                <pic:pic>
                  <pic:nvPicPr>
                    <pic:cNvPr descr="figures/04-explain-02-lestvica-tipova-prist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8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Dvanaest vrednosti kolone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poređanih redosledom iz priručnika i obojenih po broju</w:t>
      </w:r>
      <w:r>
        <w:t xml:space="preserve"> </w:t>
      </w:r>
      <w:r>
        <w:t xml:space="preserve">torki koje jedan pristup može da vrati.</w:t>
      </w:r>
    </w:p>
    <w:p>
      <w:pPr>
        <w:pStyle w:val="BodyText"/>
      </w:pPr>
      <w:r>
        <w:t xml:space="preserve">Iz slike se vidi ono što se iz samog spiska ne vidi: te grupe se ne poklapaju sa redosledom iz</w:t>
      </w:r>
      <w:r>
        <w:t xml:space="preserve"> </w:t>
      </w:r>
      <w:r>
        <w:t xml:space="preserve">priručnika. Tip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, osmi po redu, vraća najviše jednu torku, isto što i treći po redu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, a stoji pet mesta niže. Redosled je, dakle, praktično uputstvo, a ne merna skala, i lestvica</w:t>
      </w:r>
      <w:r>
        <w:t xml:space="preserve"> </w:t>
      </w:r>
      <w:r>
        <w:t xml:space="preserve">nije redosled cena. Tip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nad pedeset torki jeftiniji je od tipa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nad pet miliona torki, a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nad tabelom od tri reda najjeftinije je što postoji. Tip pristupa govori o obliku pristupa, to</w:t>
      </w:r>
      <w:r>
        <w:t xml:space="preserve"> </w:t>
      </w:r>
      <w:r>
        <w:t xml:space="preserve">jest o tome koliko torki jedna pretraga može da vrati, dok cenu računa model cene iz poglavlja 3.</w:t>
      </w:r>
    </w:p>
    <w:p>
      <w:pPr>
        <w:pStyle w:val="BodyText"/>
      </w:pPr>
      <w:r>
        <w:t xml:space="preserve">Parovi koji se najčešće mešaju razlikuju se po jednoj jedinoj osobini. Tipovi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oba su</w:t>
      </w:r>
      <w:r>
        <w:t xml:space="preserve"> </w:t>
      </w:r>
      <w:r>
        <w:t xml:space="preserve">pretraga po indeksu</w:t>
      </w:r>
      <w:r>
        <w:t xml:space="preserve"> </w:t>
      </w:r>
      <w:r>
        <w:rPr>
          <w:i/>
          <w:iCs/>
        </w:rPr>
        <w:t xml:space="preserve">(index lookup)</w:t>
      </w:r>
      <w:r>
        <w:t xml:space="preserve">, ali prvi koristi ceo primarni ili jedinstveni ključ, pa vraća</w:t>
      </w:r>
      <w:r>
        <w:t xml:space="preserve"> </w:t>
      </w:r>
      <w:r>
        <w:t xml:space="preserve">najviše jednu torku po torki prethodne tabele, dok drugi koristi indeks koji nije jedinstven ili samo</w:t>
      </w:r>
      <w:r>
        <w:t xml:space="preserve"> </w:t>
      </w:r>
      <w:r>
        <w:t xml:space="preserve">levi prefiks složenog ključa, pa ih može vratiti više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oba</w:t>
      </w:r>
      <w:r>
        <w:t xml:space="preserve"> </w:t>
      </w:r>
      <w:r>
        <w:t xml:space="preserve">vraćaju najviše jednu torku, ali 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čita jednom za ceo upit, pre ostatka plana, jer se poredi</w:t>
      </w:r>
      <w:r>
        <w:t xml:space="preserve"> </w:t>
      </w:r>
      <w:r>
        <w:t xml:space="preserve">sa konstantom, dok se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čita iznova za svaku torku prethodne tabele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oba čitaju celu strukturu od početka do kraja, 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je jeftiniji samo zato što je</w:t>
      </w:r>
      <w:r>
        <w:t xml:space="preserve"> </w:t>
      </w:r>
      <w:r>
        <w:t xml:space="preserve">indeks manji od torki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Dva tipa sa lestvice,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index_subquery</w:t>
      </w:r>
      <w:r>
        <w:t xml:space="preserve">, sa podrazumevanim podešavanjima ne mogu se</w:t>
      </w:r>
      <w:r>
        <w:t xml:space="preserve"> </w:t>
      </w:r>
      <w:r>
        <w:t xml:space="preserve">ni videti, a razlog dolazi pravo iz poglavlja 3. Transformacija u poluspoj prepisuje podupit iz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u običan spoj još u fazi pripreme, dakle pre nego što se tip pristupa uopšte bira</w:t>
      </w:r>
      <w:r>
        <w:t xml:space="preserve"> </w:t>
      </w:r>
      <w:r>
        <w:t xml:space="preserve">[2]</w:t>
      </w:r>
      <w:r>
        <w:t xml:space="preserve">. Isti upit nad tabelama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sa podrazumevanim podešavanjima</w:t>
      </w:r>
      <w:r>
        <w:t xml:space="preserve"> </w:t>
      </w:r>
      <w:r>
        <w:t xml:space="preserve">prijavljuje dva reda sa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 </w:t>
      </w:r>
      <w:r>
        <w:t xml:space="preserve">i oznakom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, bez ijednog podupita; kada se transformacija</w:t>
      </w:r>
      <w:r>
        <w:t xml:space="preserve"> </w:t>
      </w:r>
      <w:r>
        <w:t xml:space="preserve">isključi promenljivom</w:t>
      </w:r>
      <w:r>
        <w:t xml:space="preserve"> </w:t>
      </w:r>
      <w:r>
        <w:rPr>
          <w:rStyle w:val="VerbatimChar"/>
        </w:rPr>
        <w:t xml:space="preserve">optimizer_switch</w:t>
      </w:r>
      <w:r>
        <w:t xml:space="preserve">, u ispisu se pojavljuje blok sa</w:t>
      </w:r>
      <w:r>
        <w:t xml:space="preserve"> </w:t>
      </w:r>
      <w:r>
        <w:rPr>
          <w:rStyle w:val="VerbatimChar"/>
        </w:rPr>
        <w:t xml:space="preserve">id: 2</w:t>
      </w:r>
      <w:r>
        <w:t xml:space="preserve">, oznakom</w:t>
      </w:r>
      <w:r>
        <w:t xml:space="preserve"> </w:t>
      </w:r>
      <w:r>
        <w:rPr>
          <w:rStyle w:val="VerbatimChar"/>
        </w:rPr>
        <w:t xml:space="preserve">DEPENDENT SUBQUERY</w:t>
      </w:r>
      <w:r>
        <w:t xml:space="preserve"> </w:t>
      </w:r>
      <w:r>
        <w:t xml:space="preserve">i tipom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. To je zaključak poglavlja 3 viđen sa druge strane: ono</w:t>
      </w:r>
      <w:r>
        <w:t xml:space="preserve"> </w:t>
      </w:r>
      <w:r>
        <w:t xml:space="preserve">što transformacija ukloni ne može se pojaviti u koloni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Isključivanje poluspoja ovde je, treba</w:t>
      </w:r>
      <w:r>
        <w:t xml:space="preserve"> </w:t>
      </w:r>
      <w:r>
        <w:t xml:space="preserve">naglasiti, sredstvo posmatranja, a ne savet za podešavanje, jer proizvodi lošiji plan.</w:t>
      </w:r>
    </w:p>
    <w:bookmarkEnd w:id="44"/>
    <w:bookmarkStart w:id="45" w:name="kolona-extra-i-granica-procene"/>
    <w:p>
      <w:pPr>
        <w:pStyle w:val="Heading2"/>
      </w:pPr>
      <w:r>
        <w:t xml:space="preserve">4.4.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granica procene</w:t>
      </w:r>
    </w:p>
    <w:p>
      <w:pPr>
        <w:pStyle w:val="FirstParagraph"/>
      </w:pP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završava sve što se nije uklopilo u ostale kolone, pa u njoj završe i najkorisnije</w:t>
      </w:r>
      <w:r>
        <w:t xml:space="preserve"> </w:t>
      </w:r>
      <w:r>
        <w:t xml:space="preserve">reči celog ispisa. Tri vrednosti koje liče, a znače različite stvari, opisuju istu radnju na tri</w:t>
      </w:r>
      <w:r>
        <w:t xml:space="preserve"> </w:t>
      </w:r>
      <w:r>
        <w:t xml:space="preserve">različita mesta.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znači da su sve tražene kolone u indeksu, pa se tabela ne čita uopšte,</w:t>
      </w:r>
      <w:r>
        <w:t xml:space="preserve"> </w:t>
      </w:r>
      <w:r>
        <w:t xml:space="preserve">što je pokrivajući indeks</w:t>
      </w:r>
      <w:r>
        <w:t xml:space="preserve"> </w:t>
      </w:r>
      <w:r>
        <w:rPr>
          <w:i/>
          <w:iCs/>
        </w:rPr>
        <w:t xml:space="preserve">(covering index)</w:t>
      </w:r>
      <w:r>
        <w:t xml:space="preserve">;</w:t>
      </w:r>
      <w:r>
        <w:t xml:space="preserve"> </w:t>
      </w:r>
      <w:r>
        <w:rPr>
          <w:rStyle w:val="VerbatimChar"/>
        </w:rPr>
        <w:t xml:space="preserve">Using index condition</w:t>
      </w:r>
      <w:r>
        <w:t xml:space="preserve"> </w:t>
      </w:r>
      <w:r>
        <w:t xml:space="preserve">znači da je uslov spušten u motor</w:t>
      </w:r>
      <w:r>
        <w:t xml:space="preserve"> </w:t>
      </w:r>
      <w:r>
        <w:t xml:space="preserve">i proveren nad zapisom indeksa, dakle spuštanje uslova u indeks iz poglavlja 2;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znači da</w:t>
      </w:r>
      <w:r>
        <w:t xml:space="preserve"> </w:t>
      </w:r>
      <w:r>
        <w:t xml:space="preserve">serverski sloj filtrira torke koje mu je motor već predao</w:t>
      </w:r>
      <w:r>
        <w:t xml:space="preserve"> </w:t>
      </w:r>
      <w:r>
        <w:t xml:space="preserve">[2]</w:t>
      </w:r>
      <w:r>
        <w:t xml:space="preserve">. Šav iz poglavlja 2 time</w:t>
      </w:r>
      <w:r>
        <w:t xml:space="preserve"> </w:t>
      </w:r>
      <w:r>
        <w:t xml:space="preserve">postaje vidljiv u jednoj jedinoj reči ispisa.</w:t>
      </w:r>
    </w:p>
    <w:p>
      <w:pPr>
        <w:pStyle w:val="BodyText"/>
      </w:pPr>
      <w:r>
        <w:t xml:space="preserve">Druge vrednosti te kolone su upozorenja.</w:t>
      </w:r>
      <w:r>
        <w:t xml:space="preserve"> </w:t>
      </w:r>
      <w:r>
        <w:rPr>
          <w:rStyle w:val="VerbatimChar"/>
        </w:rPr>
        <w:t xml:space="preserve">Using temporary</w:t>
      </w:r>
      <w:r>
        <w:t xml:space="preserve"> </w:t>
      </w:r>
      <w:r>
        <w:t xml:space="preserve">znači da se gradi privremena tabela, obično</w:t>
      </w:r>
      <w:r>
        <w:t xml:space="preserve"> </w:t>
      </w:r>
      <w:r>
        <w:t xml:space="preserve">zbog klauzule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da traženo uređenje ne isporučuje nijedan</w:t>
      </w:r>
      <w:r>
        <w:t xml:space="preserve"> </w:t>
      </w:r>
      <w:r>
        <w:t xml:space="preserve">indeks, nego se sortiranje obavlja posebno</w:t>
      </w:r>
      <w:r>
        <w:t xml:space="preserve"> </w:t>
      </w:r>
      <w:r>
        <w:t xml:space="preserve">[2]</w:t>
      </w:r>
      <w:r>
        <w:t xml:space="preserve">. Pojava obe vrednosti u istom redu</w:t>
      </w:r>
      <w:r>
        <w:t xml:space="preserve"> </w:t>
      </w:r>
      <w:r>
        <w:t xml:space="preserve">najskuplji je od uobičajenih ishoda, jer se rezultat mora ceo materijalizovati pre sortiranja. Ime</w:t>
      </w:r>
      <w:r>
        <w:t xml:space="preserve"> </w:t>
      </w:r>
      <w:r>
        <w:rPr>
          <w:rStyle w:val="VerbatimChar"/>
        </w:rPr>
        <w:t xml:space="preserve">filesort</w:t>
      </w:r>
      <w:r>
        <w:t xml:space="preserve"> </w:t>
      </w:r>
      <w:r>
        <w:t xml:space="preserve">pritom vara: MySQL sortira u memoriji kad god rezultat u nju staje, a na disk prelazi tek</w:t>
      </w:r>
      <w:r>
        <w:t xml:space="preserve"> </w:t>
      </w:r>
      <w:r>
        <w:t xml:space="preserve">kada ne staje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Sve pročitano u ovom delu poglavlja, međutim, jeste procena.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nad naredbom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ne</w:t>
      </w:r>
      <w:r>
        <w:t xml:space="preserve"> </w:t>
      </w:r>
      <w:r>
        <w:t xml:space="preserve">izvršava upit, pa su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procene koje umeju i da promaše, a ispis prikazuje samo</w:t>
      </w:r>
      <w:r>
        <w:t xml:space="preserve"> </w:t>
      </w:r>
      <w:r>
        <w:t xml:space="preserve">pobednika i ćuti o poraženim kandidatima</w:t>
      </w:r>
      <w:r>
        <w:t xml:space="preserve"> </w:t>
      </w:r>
      <w:r>
        <w:t xml:space="preserve">[2]</w:t>
      </w:r>
      <w:r>
        <w:t xml:space="preserve">. Koliko je torki stvarno prošlo kroz plan</w:t>
      </w:r>
      <w:r>
        <w:t xml:space="preserve"> </w:t>
      </w:r>
      <w:r>
        <w:t xml:space="preserve">meri se naredbom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dok se odbačeni planovi i njihove cene čitaju iz traga</w:t>
      </w:r>
      <w:r>
        <w:t xml:space="preserve"> </w:t>
      </w:r>
      <w:r>
        <w:t xml:space="preserve">optimizatora; time se bave naredni odeljci.</w:t>
      </w:r>
    </w:p>
    <w:bookmarkEnd w:id="45"/>
    <w:bookmarkEnd w:id="46"/>
    <w:bookmarkStart w:id="47" w:name="iterator-model-i-pipeline-operatora"/>
    <w:p>
      <w:pPr>
        <w:pStyle w:val="Heading1"/>
      </w:pPr>
      <w:r>
        <w:t xml:space="preserve">5. Iterator model i pipeline operatora</w:t>
      </w:r>
    </w:p>
    <w:bookmarkEnd w:id="47"/>
    <w:bookmarkStart w:id="48" w:name="vektorizovano-izvršavanje"/>
    <w:p>
      <w:pPr>
        <w:pStyle w:val="Heading1"/>
      </w:pPr>
      <w:r>
        <w:t xml:space="preserve">6. Vektorizovano izvršavanje</w:t>
      </w:r>
    </w:p>
    <w:bookmarkEnd w:id="48"/>
    <w:bookmarkStart w:id="49" w:name="paralelno-izvršavanje-upita"/>
    <w:p>
      <w:pPr>
        <w:pStyle w:val="Heading1"/>
      </w:pPr>
      <w:r>
        <w:t xml:space="preserve">7. Paralelno izvršavanje upita</w:t>
      </w:r>
    </w:p>
    <w:bookmarkEnd w:id="49"/>
    <w:bookmarkStart w:id="50" w:name="keširanje-i-ponovna-upotreba-planova"/>
    <w:p>
      <w:pPr>
        <w:pStyle w:val="Heading1"/>
      </w:pPr>
      <w:r>
        <w:t xml:space="preserve">8. Keširanje i ponovna upotreba planova</w:t>
      </w:r>
    </w:p>
    <w:bookmarkEnd w:id="50"/>
    <w:bookmarkStart w:id="51" w:name="zaključak"/>
    <w:p>
      <w:pPr>
        <w:pStyle w:val="Heading1"/>
      </w:pPr>
      <w:r>
        <w:t xml:space="preserve">9. Zaključak</w:t>
      </w:r>
    </w:p>
    <w:bookmarkEnd w:id="51"/>
    <w:bookmarkStart w:id="62" w:name="reference"/>
    <w:p>
      <w:pPr>
        <w:pStyle w:val="Heading1"/>
      </w:pPr>
      <w:r>
        <w:t xml:space="preserve">Reference</w:t>
      </w:r>
    </w:p>
    <w:bookmarkStart w:id="61" w:name="refs"/>
    <w:bookmarkStart w:id="52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52"/>
    <w:bookmarkStart w:id="54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53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54"/>
    <w:bookmarkStart w:id="56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55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56"/>
    <w:bookmarkStart w:id="58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57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58"/>
    <w:bookmarkStart w:id="60" w:name="ref-mysqlblogjs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Brevik,</w:t>
      </w:r>
      <w:r>
        <w:t xml:space="preserve"> </w:t>
      </w:r>
      <w:r>
        <w:t xml:space="preserve">“New</w:t>
      </w:r>
      <w:r>
        <w:t xml:space="preserve"> </w:t>
      </w:r>
      <w:r>
        <w:t xml:space="preserve">JSON</w:t>
      </w:r>
      <w:r>
        <w:t xml:space="preserve"> </w:t>
      </w:r>
      <w:r>
        <w:t xml:space="preserve">format for</w:t>
      </w:r>
      <w:r>
        <w:t xml:space="preserve"> </w:t>
      </w:r>
      <w:r>
        <w:t xml:space="preserve">EXPLAIN</w:t>
      </w:r>
      <w:r>
        <w:t xml:space="preserve">.”</w:t>
      </w:r>
      <w:r>
        <w:t xml:space="preserve"> </w:t>
      </w:r>
      <w:hyperlink r:id="rId59">
        <w:r>
          <w:rPr>
            <w:rStyle w:val="Hyperlink"/>
          </w:rPr>
          <w:t xml:space="preserve">https://dev.mysql.com/blog-archive/new-json-format-for-explain/</w:t>
        </w:r>
      </w:hyperlink>
      <w:r>
        <w:t xml:space="preserve">, 2024.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hyperlink" Id="rId59" Target="https://dev.mysql.com/blog-archive/new-json-format-for-explain/" TargetMode="External" /><Relationship Type="http://schemas.openxmlformats.org/officeDocument/2006/relationships/hyperlink" Id="rId53" Target="https://dev.mysql.com/doc/refman/8.4/en/" TargetMode="External" /><Relationship Type="http://schemas.openxmlformats.org/officeDocument/2006/relationships/hyperlink" Id="rId57" Target="https://dev.mysql.com/worklog/task/?id=7082" TargetMode="External" /><Relationship Type="http://schemas.openxmlformats.org/officeDocument/2006/relationships/hyperlink" Id="rId55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ev.mysql.com/blog-archive/new-json-format-for-explain/" TargetMode="External" /><Relationship Type="http://schemas.openxmlformats.org/officeDocument/2006/relationships/hyperlink" Id="rId53" Target="https://dev.mysql.com/doc/refman/8.4/en/" TargetMode="External" /><Relationship Type="http://schemas.openxmlformats.org/officeDocument/2006/relationships/hyperlink" Id="rId57" Target="https://dev.mysql.com/worklog/task/?id=7082" TargetMode="External" /><Relationship Type="http://schemas.openxmlformats.org/officeDocument/2006/relationships/hyperlink" Id="rId55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2026-08-26T15:49:27Z</dcterms:created>
  <dcterms:modified xsi:type="dcterms:W3CDTF">2026-08-26T15:49:27Z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