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Opći uvjeti poslovanja</w:t>
      </w:r>
    </w:p>
    <w:p>
      <w:r>
        <w:t>Termoval d.o.o., Zagreb. Vrijede od 1. siječnja 2025.</w:t>
      </w:r>
    </w:p>
    <w:p>
      <w:pPr>
        <w:pStyle w:val="Heading2"/>
      </w:pPr>
      <w:r>
        <w:t>Popusti</w:t>
      </w:r>
    </w:p>
    <w:p>
      <w:r>
        <w:t>Popust od 8% odobrava se stalnim kupcima, odnosno kupcima koji su u prethodnih dvanaest mjeseci ostvarili promet veći od 15.000,00 EUR.</w:t>
      </w:r>
    </w:p>
    <w:p>
      <w:pPr>
        <w:pStyle w:val="Heading2"/>
      </w:pPr>
      <w:r>
        <w:t>Plaćanje</w:t>
      </w:r>
    </w:p>
    <w:p>
      <w:r>
        <w:t>Rok plaćanja je 30 dana od dana izdavanja računa.</w:t>
      </w:r>
    </w:p>
    <w:p>
      <w:pPr>
        <w:pStyle w:val="Heading2"/>
      </w:pPr>
      <w:r>
        <w:t>Jamstvo</w:t>
      </w:r>
    </w:p>
    <w:p>
      <w:r>
        <w:t>Jamstveni rok na ugradnju iznosi 12 mjeseci od dana primopredaje.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