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Opći uvjeti poslovanja</w:t>
      </w:r>
    </w:p>
    <w:p>
      <w:r>
        <w:t>Termoval d.o.o., Zagreb, OIB 12345678901. Vrijede od 1. siječnja 2026.</w:t>
      </w:r>
    </w:p>
    <w:p>
      <w:pPr>
        <w:pStyle w:val="Heading2"/>
      </w:pPr>
      <w:r>
        <w:t>Cijene</w:t>
      </w:r>
    </w:p>
    <w:p>
      <w:r>
        <w:t>Sve cijene u ovom dokumentu iskazane su bez PDV-a.</w:t>
      </w:r>
    </w:p>
    <w:p>
      <w:r>
        <w:t>Cijene vrijede za isporuku na području Grada Zagreba i Zagrebačke županije. Za isporuke izvan tog područja zaračunava se prijevoz prema važećem cjeniku.</w:t>
      </w:r>
    </w:p>
    <w:p>
      <w:pPr>
        <w:pStyle w:val="Heading2"/>
      </w:pPr>
      <w:r>
        <w:t>Popusti</w:t>
      </w:r>
    </w:p>
    <w:p>
      <w:r>
        <w:t>Popust od 5% odobrava se stalnim kupcima, odnosno kupcima koji su u prethodnih dvanaest mjeseci ostvarili promet veći od 20.000,00 EUR.</w:t>
      </w:r>
    </w:p>
    <w:p>
      <w:r>
        <w:t>Popust veći od 10% odobrava isključivo voditelj prodaje, uz pisanu suglasnost.</w:t>
      </w:r>
    </w:p>
    <w:p>
      <w:pPr>
        <w:pStyle w:val="Heading2"/>
      </w:pPr>
      <w:r>
        <w:t>Ponude</w:t>
      </w:r>
    </w:p>
    <w:p>
      <w:r>
        <w:t>Ponuda vrijedi 14 dana od datuma izdavanja, osim ako je u samoj ponudi navedeno drugačije.</w:t>
      </w:r>
    </w:p>
    <w:p>
      <w:r>
        <w:t>Broj krugova izmjena ponude ograničen je na dva. Svaka daljnja izmjena naplaćuje se prema satnici projektanta.</w:t>
      </w:r>
    </w:p>
    <w:p>
      <w:pPr>
        <w:pStyle w:val="Heading2"/>
      </w:pPr>
      <w:r>
        <w:t>Plaćanje</w:t>
      </w:r>
    </w:p>
    <w:p>
      <w:r>
        <w:t>Rok plaćanja je 15 dana od dana izdavanja računa.</w:t>
      </w:r>
    </w:p>
    <w:p>
      <w:r>
        <w:t>Za radove čija vrijednost prelazi 5.000,00 EUR naplaćuje se avans u iznosu od 40% ugovorene vrijednosti.</w:t>
      </w:r>
    </w:p>
    <w:p>
      <w:pPr>
        <w:pStyle w:val="Heading2"/>
      </w:pPr>
      <w:r>
        <w:t>Jamstvo</w:t>
      </w:r>
    </w:p>
    <w:p>
      <w:r>
        <w:t>Jamstveni rok na ugradnju iznosi 24 mjeseca od dana primopredaje.</w:t>
      </w:r>
    </w:p>
    <w:p>
      <w:r>
        <w:t>Jamstvo ne pokriva kvarove nastale nepravilnim rukovanjem niti izostankom redovnog godišnjeg servisa.</w:t>
      </w:r>
    </w:p>
    <w:p>
      <w:pPr>
        <w:pStyle w:val="Heading2"/>
      </w:pPr>
      <w:r>
        <w:t>Servis</w:t>
      </w:r>
    </w:p>
    <w:p>
      <w:r>
        <w:t>Vrijeme izlaska na teren po prijavi kvara iznosi 24 sata za ugovorne korisnike.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