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p>
    <w:p>
      <w:pPr>
        <w:spacing w:after="80"/>
        <w:jc w:val="center"/>
      </w:pPr>
      <w:r>
        <w:rPr>
          <w:rFonts w:ascii="Arial" w:cs="Arial" w:eastAsia="Arial" w:hAnsi="Arial"/>
          <w:b/>
          <w:bCs/>
          <w:color w:val="1F4E79"/>
          <w:sz w:val="72"/>
          <w:szCs w:val="72"/>
        </w:rPr>
        <w:t xml:space="preserve">NEUROLOGY</w:t>
      </w:r>
    </w:p>
    <w:p>
      <w:pPr>
        <w:spacing w:after="240"/>
        <w:jc w:val="center"/>
      </w:pPr>
      <w:r>
        <w:rPr>
          <w:rFonts w:ascii="Arial" w:cs="Arial" w:eastAsia="Arial" w:hAnsi="Arial"/>
          <w:b/>
          <w:bCs/>
          <w:color w:val="2E75B6"/>
          <w:sz w:val="52"/>
          <w:szCs w:val="52"/>
        </w:rPr>
        <w:t xml:space="preserve">BOARD REVIEW</w:t>
      </w:r>
    </w:p>
    <w:p>
      <w:pPr>
        <w:spacing w:after="400"/>
        <w:jc w:val="center"/>
      </w:pPr>
      <w:r>
        <w:rPr>
          <w:rFonts w:ascii="Arial" w:cs="Arial" w:eastAsia="Arial" w:hAnsi="Arial"/>
          <w:color w:val="666666"/>
          <w:sz w:val="28"/>
          <w:szCs w:val="28"/>
        </w:rPr>
        <w:t xml:space="preserve">Internal Medicine Subspecialty Series</w:t>
      </w:r>
    </w:p>
    <w:p>
      <w:pPr>
        <w:pBdr>
          <w:bottom w:val="single" w:color="1F4E79" w:sz="6" w:space="1"/>
        </w:pBdr>
        <w:jc w:val="center"/>
      </w:pPr>
    </w:p>
    <w:p>
      <w:pPr>
        <w:spacing w:after="200"/>
      </w:pPr>
    </w:p>
    <w:p>
      <w:pPr>
        <w:jc w:val="center"/>
      </w:pPr>
      <w:r>
        <w:rPr>
          <w:color w:val="444444"/>
          <w:sz w:val="24"/>
          <w:szCs w:val="24"/>
        </w:rPr>
        <w:t xml:space="preserve">Aligned with Thai Board of Internal Medicine &amp; ABIM Requirements</w:t>
      </w:r>
    </w:p>
    <w:p>
      <w:pPr>
        <w:spacing w:after="200"/>
        <w:jc w:val="center"/>
      </w:pPr>
      <w:r>
        <w:rPr>
          <w:color w:val="666666"/>
          <w:sz w:val="22"/>
          <w:szCs w:val="22"/>
        </w:rPr>
        <w:t xml:space="preserve">For Fellowship-Level Learners</w:t>
      </w:r>
    </w:p>
    <w:p>
      <w:pPr>
        <w:spacing w:after="200"/>
      </w:pPr>
    </w:p>
    <w:p>
      <w:pPr>
        <w:jc w:val="center"/>
      </w:pPr>
      <w:r>
        <w:rPr>
          <w:color w:val="888888"/>
          <w:sz w:val="22"/>
          <w:szCs w:val="22"/>
        </w:rPr>
        <w:t xml:space="preserve">2026 Edition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Cerebrovascular Disease</w:t>
      </w:r>
    </w:p>
    <w:p>
      <w:pPr>
        <w:spacing w:after="120"/>
      </w:pPr>
      <w:r>
        <w:t xml:space="preserve">Cerebrovascular disease encompasses acute ischemic stroke (AIS), intracerebral hemorrhage (ICH), cerebral venous sinus thrombosis (CVT), and subarachnoid hemorrhage (SAH). This section integrates the 2026 AHA/ASA Guidelines and landmark trial evidence through 2025.</w:t>
      </w:r>
    </w:p>
    <w:p>
      <w:r>
        <w:br w:type="page"/>
      </w:r>
    </w:p>
    <w:p>
      <w:pPr>
        <w:pStyle w:val="Heading2"/>
      </w:pPr>
      <w:r>
        <w:t xml:space="preserve">1.1 Acute Ischemic Stroke (AIS)</w:t>
      </w:r>
    </w:p>
    <w:p>
      <w:pPr>
        <w:spacing w:after="120"/>
      </w:pPr>
      <w:r>
        <w:t xml:space="preserve">Acute ischemic stroke (AIS) accounts for approximately 85% of all strokes. This section covers diagnosis, imaging, hyperacute reperfusion therapy, acute medical management, complications, secondary prevention, and special populations. Content is written at neurologist level, incorporating the 2026 AHA/ASA Guidelines for Early Management of Acute Ischemic Stroke.</w:t>
      </w:r>
    </w:p>
    <w:p>
      <w:pPr>
        <w:pStyle w:val="Heading2"/>
      </w:pPr>
      <w:r>
        <w:t xml:space="preserve">1.1 Epidemiology and Global Burden</w:t>
      </w:r>
    </w:p>
    <w:p>
      <w:pPr>
        <w:spacing w:after="120"/>
      </w:pPr>
      <w:r>
        <w:t xml:space="preserve">Stroke is the second leading cause of death and the third leading cause of combined death and disability worldwide. In Thailand, stroke is the second most common cause of death with an age-standardized incidence of approximately 150-200/100,000 person-years. Approximately 85% are ischemic; 10-15% are ICH; 3-5% are SAH.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200"/>
        <w:gridCol w:w="3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Stroke Type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Frequency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30-Day Mortality</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1-Year Disability (mRS 3-5)</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Ischemic stroke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85%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8-12%</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30-40%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Intracerebral hemorrhage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10-15%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35-50%</w:t>
            </w:r>
          </w:p>
        </w:tc>
        <w:tc>
          <w:tcPr>
            <w:tcW w:type="dxa" w:w="3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50-60%</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Subarachnoid hemorrhage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30-40%</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30-40%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Cerebral venous thrombosis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&lt;1%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5-10%</w:t>
            </w:r>
          </w:p>
        </w:tc>
        <w:tc>
          <w:tcPr>
            <w:tcW w:type="dxa" w:w="3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10-15%</w:t>
            </w:r>
          </w:p>
        </w:tc>
      </w:tr>
    </w:tbl>
    <w:p>
      <w:pPr>
        <w:spacing w:after="200"/>
      </w:pPr>
    </w:p>
    <w:p>
      <w:pPr>
        <w:pStyle w:val="Heading2"/>
      </w:pPr>
      <w:r>
        <w:t xml:space="preserve">1.2 Classification of Ischemic Stroke</w:t>
      </w:r>
    </w:p>
    <w:p>
      <w:pPr>
        <w:pStyle w:val="Heading3"/>
      </w:pPr>
      <w:r>
        <w:t xml:space="preserve">1.2.1 TOAST Classification (Updated Perspective)</w:t>
      </w:r>
    </w:p>
    <w:p>
      <w:pPr>
        <w:spacing w:after="120"/>
      </w:pPr>
      <w:r>
        <w:t xml:space="preserve">The TOAST classification remains the foundation but should be supplemented by the SSS-TOAST or ASCO phenotyping for more granular evaluation. Each subtype carries distinct prognosis and treatment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800"/>
        <w:gridCol w:w="1460"/>
        <w:gridCol w:w="22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TOAST Subtype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Frequency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Diagnostic Criteria</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Recurrence Risk</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 Priority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Large-artery atherosclerosis (LAA)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15-20%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Stenosis &gt;50% in relevant artery; cortical or subcortical &gt;1.5 cm</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 (8-10%/yr)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Antiplatelets; statin; carotid revascularization if indicated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Cardioembolism (CE)</w:t>
            </w:r>
          </w:p>
        </w:tc>
        <w:tc>
          <w:tcPr>
            <w:tcW w:type="dxa" w:w="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20-25%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High/medium-risk cardiac source; cortical or large infarct</w:t>
            </w:r>
          </w:p>
        </w:tc>
        <w:tc>
          <w:tcPr>
            <w:tcW w:type="dxa" w:w="1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 (12%/yr without anticoagulation)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Anticoagulation (DOACs); treat cardiac source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Small-vessel disease (lacunar)</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Clinical lacunar syndrome; subcortical &lt;1.5 cm; no cortical involvement</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Low (4-6%/yr)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Antiplatelet; aggressive BP control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Other determined etiology</w:t>
            </w:r>
          </w:p>
        </w:tc>
        <w:tc>
          <w:tcPr>
            <w:tcW w:type="dxa" w:w="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5-10%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Dissection, vasculitis, hypercoagulable, moyamoya, etc.</w:t>
            </w:r>
          </w:p>
        </w:tc>
        <w:tc>
          <w:tcPr>
            <w:tcW w:type="dxa" w:w="1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Depends on etiology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Treat underlying cause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Cryptogenic / Undetermined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25-30%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Two possible causes, negative workup, or incomplete workup</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Moderate (6-8%/yr)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Antiplatelet; extended cardiac monitoring for AF</w:t>
            </w:r>
          </w:p>
        </w:tc>
      </w:tr>
    </w:tbl>
    <w:p>
      <w:pPr>
        <w:spacing w:after="200"/>
      </w:pPr>
    </w:p>
    <w:p>
      <w:pPr>
        <w:pStyle w:val="Heading3"/>
      </w:pPr>
      <w:r>
        <w:t xml:space="preserve">1.2.2 ESUS — Embolic Stroke of Undetermined Source</w:t>
      </w:r>
    </w:p>
    <w:p>
      <w:pPr>
        <w:spacing w:after="120"/>
      </w:pPr>
      <w:r>
        <w:t xml:space="preserve">ESUS (Hart RG et al., 2014) is defined as non-lacunar infarct without proximal arterial stenosis (&gt;50%) or major cardioembolic source, detected after standard workup. It represents ~25% of ischemic strokes and a heterogeneous entity.</w:t>
      </w:r>
    </w:p>
    <w:p>
      <w:pPr>
        <w:pStyle w:val="ListParagraph"/>
        <w:numPr>
          <w:ilvl w:val="0"/>
          <w:numId w:val="2"/>
        </w:numPr>
        <w:spacing w:after="60"/>
      </w:pPr>
      <w:r/>
      <w:r>
        <w:t xml:space="preserve">Rivaroxaban vs aspirin — no benefit, more bleeding (Hart 2018, NEJM).</w:t>
      </w:r>
    </w:p>
    <w:p>
      <w:pPr>
        <w:pStyle w:val="ListParagraph"/>
        <w:numPr>
          <w:ilvl w:val="0"/>
          <w:numId w:val="2"/>
        </w:numPr>
        <w:spacing w:after="60"/>
      </w:pPr>
      <w:r/>
      <w:r>
        <w:t xml:space="preserve">Dabigatran vs aspirin — no benefit (Diener 2019, NEJM).</w:t>
      </w:r>
    </w:p>
    <w:p>
      <w:pPr>
        <w:pStyle w:val="ListParagraph"/>
        <w:numPr>
          <w:ilvl w:val="0"/>
          <w:numId w:val="2"/>
        </w:numPr>
        <w:spacing w:after="60"/>
      </w:pPr>
      <w:r/>
      <w:r>
        <w:t xml:space="preserve">Apixaban vs aspirin in ESUS with atrial cardiopathy markers (LA diameter &gt;4.6 cm, NT-proBNP &gt;250 pg/mL, PTFV1 &gt;5000 mcV-ms) — no significant benefit in overall cohort. Subgroup with atrial cardiopathy trended toward benefit but underpowered.</w:t>
      </w:r>
    </w:p>
    <w:p>
      <w:pPr>
        <w:pStyle w:val="ListParagraph"/>
        <w:numPr>
          <w:ilvl w:val="0"/>
          <w:numId w:val="2"/>
        </w:numPr>
        <w:spacing w:after="60"/>
      </w:pPr>
      <w:r/>
      <w:r>
        <w:t xml:space="preserve">Antiplatelet therapy remains standard. Implantable loop recorder (ILR) for 3+ years to detect occult AF — detection rate 30% at 3 years (CRYSTAL-AF). When AF found, start anticoagulation.</w:t>
      </w:r>
    </w:p>
    <w:p>
      <w:pPr>
        <w:spacing w:after="200"/>
      </w:pPr>
    </w:p>
    <w:p>
      <w:pPr>
        <w:pStyle w:val="Heading3"/>
      </w:pPr>
      <w:r>
        <w:t xml:space="preserve">1.2.3 Stroke Etiologies Requiring Special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60"/>
        <w:gridCol w:w="27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Etiology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Workup</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Cervical artery dissection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Young adults &lt;50 years; neck pain/trauma; Horner syndrome</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CTA/MRA neck; fat-saturated T1 MRI (intramural hematoma)</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Antiplatelet or anticoagulation x3-6 months (CADISS: equal efficacy)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Patent foramen ovale (PFO)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Age &lt;60, cryptogenic; Valsalva-related onset; deep vein source</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TEE (bubble study); lower extremity Doppler; hypercoagulable</w:t>
            </w:r>
          </w:p>
        </w:tc>
        <w:tc>
          <w:tcPr>
            <w:tcW w:type="dxa" w:w="2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Closure superior to medical therapy in high-risk PFO (RoPE score &gt;=7, CLOSE, REDUCE, RESPECT)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Moyamoya disease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Bimodal: children and 30-50 years; Asian; TIA/stroke in children</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MRI/MRA: 'puff of smoke' collaterals; conventional angiography</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Revascularization surgery (STA-MCA bypass or EDAS)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CADASIL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Migraine with aura, recurrent lacunar strokes, cognitive decline, family history</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NOTCH3 gene mutation; skin biopsy (GOM deposits); MRI white matter lesions</w:t>
            </w:r>
          </w:p>
        </w:tc>
        <w:tc>
          <w:tcPr>
            <w:tcW w:type="dxa" w:w="2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 specific therapy; antiplatelet; avoid vasoactive drugs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Antiphospholipid syndrome (APS)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Young women; recurrent thrombosis; fetal loss; livedo reticularis</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aCL IgG/IgM, anti-beta2GPI, lupus anticoagulant (2 tests &gt;=12 weeks apart)</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Anticoagulation (warfarin INR 2-3 or 3-4 in high-risk triple positive)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Infective endocarditis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Fever, bacteremia; heart murmur; septic emboli</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Blood cultures x3; echo (TTE then TEE); CT head for hemorrhagic emboli</w:t>
            </w:r>
          </w:p>
        </w:tc>
        <w:tc>
          <w:tcPr>
            <w:tcW w:type="dxa" w:w="2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Antibiotics; AVOID anticoagulation acutely (high hemorrhagic transformation risk)</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Paradoxical embolism / DVT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Immobilization, hypercoagulable, PE concomitant</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Lower extremity Doppler; CT pulmonary angiography; hypercoagulable panel</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Anticoagulation; consider IVC filter if anticoagulation contraindicated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CNS vasculitis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ANCA+, SLE, Sarcoidosis, primary CNS angiitis</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MRA/CTA (beading/segmental narrowing); CSF analysis; brain/leptomeningeal biopsy</w:t>
            </w:r>
          </w:p>
        </w:tc>
        <w:tc>
          <w:tcPr>
            <w:tcW w:type="dxa" w:w="2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Immunosuppression (cyclophosphamide + steroids for primary CNSA)</w:t>
            </w:r>
          </w:p>
        </w:tc>
      </w:tr>
    </w:tbl>
    <w:p>
      <w:pPr>
        <w:spacing w:after="200"/>
      </w:pPr>
    </w:p>
    <w:p>
      <w:pPr>
        <w:pStyle w:val="Heading2"/>
      </w:pPr>
      <w:r>
        <w:t xml:space="preserve">1.3 Vascular Anatomy and Clinical Stroke Syndromes</w:t>
      </w:r>
    </w:p>
    <w:p>
      <w:pPr>
        <w:pStyle w:val="Heading3"/>
      </w:pPr>
      <w:r>
        <w:t xml:space="preserve">1.3.1 Anterior Circulation — Detailed Syndromes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Territory / Artery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Structures Supplied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Syndrome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Localizing Signs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ICA (complete occlusion)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MCA + ACA territories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Devastating hemispheric infarction; high herniation risk</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Contralateral hemiplegia, hemianopia, aphasia (dominant) or neglect (non-dominant)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MCA superior division (M2)</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Frontal and parietal opercula, motor strip</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Hemiplegia (face/arm &gt; leg), expressive aphasia (dominant), motor neglect</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Dense face/arm weakness; Broca aphasia: non-fluent, good comprehension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MCA inferior division (M2)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Temporal/parietal association cortex</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Receptive aphasia (dominant), hemineglect (non-dominant), superior quadrantanopia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Wernicke aphasia: fluent, paraphasic errors, poor comprehension; anosognosia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MCA deep perforators (lenticulostriate)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Putamen, internal capsule, caudate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Pure motor hemiplegia, ataxic hemiparesis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Dense arm = leg weakness; NO cortical signs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ACA (A2 occlusion)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Medial frontal and parietal; corpus callosum</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Leg &gt; arm paresis; abulia, urinary incontinence, alien limb</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Contralateral leg weakness; frontal behavioral changes; apraxia of dominant hand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Recurrent artery of Heubner (ACA perforator)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Caudate head, anterior internal capsule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Hemiparesis, dysarthria, behavioral changes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May mimic MCA stroke; subtle arm weakness predominates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Anterior choroidal artery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Posterior limb internal capsule, optic tract, hippocampus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Hemiplegia, hemihypesthesia, contralateral homonymous hemianopia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Dense pure motor/sensory; often with visual field defect; PURE syndromes</w:t>
            </w:r>
          </w:p>
        </w:tc>
      </w:tr>
    </w:tbl>
    <w:p>
      <w:pPr>
        <w:spacing w:after="200"/>
      </w:pPr>
    </w:p>
    <w:p>
      <w:pPr>
        <w:pStyle w:val="Heading3"/>
      </w:pPr>
      <w:r>
        <w:t xml:space="preserve">1.3.2 Posterior Circulation — Detailed Syndromes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00"/>
        <w:gridCol w:w="2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Territory / Artery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Structures Supplied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Syndrome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Classic Signs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Basilar artery (proximal)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Pons (basis), basilar perforators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Bilateral long tract signs; cranial nerve palsies; coma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Quadriplegia; locked-in syndrome if ventral pons (preserved vertical gaze only); critical emergency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Basilar artery (distal / 'top of basilar')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Thalami, mesencephalon, temporal/occipital tips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Altered consciousness, visual hallucinations, memory impairment, vertical gaze palsy</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Peduncular hallucinosis; Korsakoff-like amnesia; Weber/Claude syndromes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PCA (P2 segment)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Occipital cortex, posterior temporal</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Contralateral homonymous hemianopia (macular sparing); prosopagnosia; alexia without agraphia</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Patient unaware of visual loss; visual agnosia; cortical blindness if bilateral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SCA (superior cerebellar artery)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Superior cerebellar surface, dentate nucleus, superior cerebellar peduncle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Ipsilateral limb ataxia, contralateral pain/temp loss; Horner</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Lateral pons/midbrain junction; nausea/vomiting common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AICA (anterior inferior cerebellar)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Lateral caudal pons, anterior cerebellum, inner ear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AICA syndrome: ipsilateral facial palsy, deafness/tinnitus, ataxia; contralateral body pain/temp loss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Distinguishing feature: hearing loss (AICA) vs not (PICA)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PICA (posterior inferior cerebellar)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Lateral medulla, posterior-inferior cerebellum</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Wallenberg syndrome: ipsilateral facial pain/temp, Horner, dysarthria, dysphagia, ataxia; contralateral body pain/temp</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 limb weakness (key distinguishing feature from pontine strokes)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Medial medullary (Dejerine)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Pyramid, medial lemniscus, CN XII nucleus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Contralateral hemiplegia (spares face), contralateral proprioception loss, ipsilateral tongue deviation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Rare; 'medial' medullary vs 'lateral' (Wallenberg) is key distinction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Thalamic perforators (PCA P1)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Thalamic nuclei (VA, VL, CM, MD, pulvinar)</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Contralateral hemisensory loss (VPL); attention/memory (MD); aphasia if dominant (left pulvinar)</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Thalamic pain syndrome (Dejerine-Roussy); hypersomnia (intralaminar nuclei)</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Top-of-basilar syndrome: Sudden onset of altered consciousness, bilateral visual disturbance (hemianopia, cortical blindness), and behavioral changes (agitation, confusion, memory disturbance). Pupillary abnormalities (III nerve palsy, skew deviation) and vertical gaze palsy are hallmarks. This is a catastrophic emergency — call for thrombectomy immediately. Do NOT attribute altered consciousness to other causes without ruling out basilar occlusion.</w:t>
            </w:r>
          </w:p>
        </w:tc>
      </w:tr>
    </w:tbl>
    <w:p>
      <w:pPr>
        <w:spacing w:after="200"/>
      </w:pPr>
    </w:p>
    <w:p>
      <w:pPr>
        <w:pStyle w:val="Heading3"/>
      </w:pPr>
      <w:r>
        <w:t xml:space="preserve">1.3.3 Lacunar Syndromes (Pure Small-Vessel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Lacunar Syndrome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Location</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Mimics to Exclude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Pure motor hemiplegia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Posterior limb internal capsule, pons, corona radiata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Face + arm + leg equally weak; NO sensory, visual, or cognitive signs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Large vessel occlusion (check for cortical signs)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Pure sensory stroke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VPL thalamus, posterior thalamo-capsular region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Hemibody numbness/paresthesias without weakness</w:t>
            </w:r>
          </w:p>
        </w:tc>
        <w:tc>
          <w:tcPr>
            <w:tcW w:type="dxa" w:w="2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AICA (adds hearing loss), thalamic tumor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Sensorimotor stroke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Posterior thalamo-capsular (common)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Combined motor and sensory; often from large lacune</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Small cortical/subcortical stroke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Ataxic hemiparesis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Pons, posterior limb IC, corona radiata</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Hemiparesis + ipsilateral limb ataxia (disproportionate ataxia)</w:t>
            </w:r>
          </w:p>
        </w:tc>
        <w:tc>
          <w:tcPr>
            <w:tcW w:type="dxa" w:w="2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Cerebellar stroke (pure ataxia, no weakness)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Dysarthria-clumsy hand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Pons, genu of internal capsule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Severe dysarthria + fine motor hand clumsiness; mild face/hand weakness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Pontine hemorrhage; MS brainstem plaque</w:t>
            </w:r>
          </w:p>
        </w:tc>
      </w:tr>
    </w:tbl>
    <w:p>
      <w:pPr>
        <w:spacing w:after="200"/>
      </w:pPr>
    </w:p>
    <w:p>
      <w:pPr>
        <w:pStyle w:val="Heading2"/>
      </w:pPr>
      <w:r>
        <w:t xml:space="preserve">1.4 Acute Neuroimaging — Neurologist Interpretation</w:t>
      </w:r>
    </w:p>
    <w:p>
      <w:pPr>
        <w:pStyle w:val="Heading3"/>
      </w:pPr>
      <w:r>
        <w:t xml:space="preserve">1.4.1 Non-Contrast CT (NCCT) — Key Findings</w:t>
      </w:r>
    </w:p>
    <w:p>
      <w:pPr>
        <w:pStyle w:val="ListParagraph"/>
        <w:numPr>
          <w:ilvl w:val="0"/>
          <w:numId w:val="2"/>
        </w:numPr>
        <w:spacing w:after="60"/>
      </w:pPr>
      <w:r/>
      <w:r>
        <w:t xml:space="preserve">Hyperdensity of vessel = thrombus/clot. MCA rod sign (proximal M1) vs. MCA dot sign (M2/M3). Dense basilar = basilar artery occlusion. Sensitivity ~40% but highly specific.</w:t>
      </w:r>
    </w:p>
    <w:p>
      <w:pPr>
        <w:pStyle w:val="ListParagraph"/>
        <w:numPr>
          <w:ilvl w:val="0"/>
          <w:numId w:val="2"/>
        </w:numPr>
        <w:spacing w:after="60"/>
      </w:pPr>
      <w:r/>
      <w:r>
        <w:t xml:space="preserve">Loss of insular ribbon (insular cortex), obscuration of lentiform nucleus, loss of grey-white differentiation. Appear within 3-6 hours.</w:t>
      </w:r>
    </w:p>
    <w:p>
      <w:pPr>
        <w:pStyle w:val="ListParagraph"/>
        <w:numPr>
          <w:ilvl w:val="0"/>
          <w:numId w:val="2"/>
        </w:numPr>
        <w:spacing w:after="60"/>
      </w:pPr>
      <w:r/>
      <w:r>
        <w:t xml:space="preserve">10-point scoring of MCA territory. Deduct 1 point per early ischemic change in: M1-M6 (MCA cortical zones), insula (I), lentiform nucleus (L), internal capsule (IC), caudate (C). Score 0=entire territory; 10=normal. Score &gt;=6 predicts acceptable EVT outcome in 0-6h window. Score 3-5: selective EVT benefit (see Section 1.6).</w:t>
      </w:r>
    </w:p>
    <w:p>
      <w:pPr>
        <w:pStyle w:val="ListParagraph"/>
        <w:numPr>
          <w:ilvl w:val="0"/>
          <w:numId w:val="2"/>
        </w:numPr>
        <w:spacing w:after="60"/>
      </w:pPr>
      <w:r/>
      <w:r>
        <w:t xml:space="preserve">Single-phase CTA identifies LVO with &gt;95% sensitivity. Multiphase CTA (mCTA) assesses collateral circulation: ESCAPE collateral scoring (0=absent, 3=prominent). Better collaterals = larger ischemic penumbra = greater EVT benefit.</w:t>
      </w:r>
    </w:p>
    <w:p>
      <w:pPr>
        <w:spacing w:after="200"/>
      </w:pPr>
    </w:p>
    <w:p>
      <w:pPr>
        <w:pStyle w:val="Heading3"/>
      </w:pPr>
      <w:r>
        <w:t xml:space="preserve">1.4.2 CT Perfusion (CTP) — Interpretation for Stroke Physicians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1500"/>
        <w:gridCol w:w="10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Parameter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Definition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Infarct Core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Penumbra</w:t>
            </w:r>
          </w:p>
        </w:tc>
        <w:tc>
          <w:tcPr>
            <w:tcW w:type="dxa" w:w="1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Benign Oligemia</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CBF (Cerebral Blood Flow)</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Volume of blood/unit time/tissue mass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&lt;30% of contralateral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30-60%</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&gt;60%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CBV (Cerebral Blood Volume)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Total blood volume in tissue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Reduced (&lt;38% contralateral)</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Normal or slightly reduced</w:t>
            </w:r>
          </w:p>
        </w:tc>
        <w:tc>
          <w:tcPr>
            <w:tcW w:type="dxa" w:w="1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Normal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MTT (Mean Transit Time)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Average capillary transit time</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Markedly prolonged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Prolonged</w:t>
            </w:r>
          </w:p>
        </w:tc>
        <w:tc>
          <w:tcPr>
            <w:tcW w:type="dxa" w:w="1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Mildly prolonged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Tmax</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Time to maximum of residue function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&gt;10 sec = core; &gt;6 sec = penumbra</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Tmax 6-10 sec</w:t>
            </w:r>
          </w:p>
        </w:tc>
        <w:tc>
          <w:tcPr>
            <w:tcW w:type="dxa" w:w="1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Tmax &lt;6 sec</w:t>
            </w:r>
          </w:p>
        </w:tc>
      </w:tr>
    </w:tbl>
    <w:p>
      <w:pPr>
        <w:spacing w:after="120"/>
      </w:pPr>
      <w:r>
        <w:t xml:space="preserve">Mismatch ratio = Penumbra volume / Infarct core volume. Ratio &gt;=1.8 (EXTEND criteria) or &gt;=1.2 with absolute difference &gt;=15 mL supports reperfusion benefit. Automated software (RAPID, VIZ.AI) generates mismatch maps for clinical decision-making.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Pitfalls in CT Perfusion: (1) Low cardiac output states cause global CBF reduction — do not misinterpret as bilateral penumbra. (2) Motion artifact invalidates CTP maps. (3) Small posterior fossa structures are poorly visualized. (4) CTP overestimates core in early stroke — DWI-MRI is the gold standard for core assessment. Use CTP as guide, not absolute truth.</w:t>
            </w:r>
          </w:p>
        </w:tc>
      </w:tr>
    </w:tbl>
    <w:p>
      <w:pPr>
        <w:spacing w:after="200"/>
      </w:pPr>
    </w:p>
    <w:p>
      <w:pPr>
        <w:pStyle w:val="Heading3"/>
      </w:pPr>
      <w:r>
        <w:t xml:space="preserve">1.4.3 MRI — Acute Stroke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800"/>
        <w:gridCol w:w="22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MRI Sequence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Role in Acute Stroke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Findings</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Time Sensitivity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DWI (Diffusion-Weighted Imaging)</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Gold standard for acute ischemia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Restricted diffusion (bright DWI, dark ADC) within minutes of ischemia</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Sensitivity &gt;95% within 6h; false negative in posterior fossa and brainstem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FLAIR</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Identify chronic vs. acute; DWI-FLAIR mismatch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Normally negative in first 3-4.5h of ischemia (WAKE-UP criterion)</w:t>
            </w:r>
          </w:p>
        </w:tc>
        <w:tc>
          <w:tcPr>
            <w:tcW w:type="dxa" w:w="22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Becomes positive 4-6h after onset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T2*/ GRE / SWI</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Hemorrhage exclusion; microbleeds; thrombus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Blooming artifact in hemorrhage; hypointense thrombus in vessel (susceptibility vessel sign)</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Immediate; superior to CT for chronic blood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MRA (TOF or contrast)</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Vessel occlusion and collaterals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Identifies LVO; fills vs. no-fill distal vessels</w:t>
            </w:r>
          </w:p>
        </w:tc>
        <w:tc>
          <w:tcPr>
            <w:tcW w:type="dxa" w:w="22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Immediate; ~95% sensitivity for M1/ICA occlusion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 Perfusion (DSC or ASL)</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Penumbra assessment; mismatch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Tmax maps equivalent to CTP mismatch selection</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Requires ~10 min; ASL is non-contrast but noisier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DWI-ADC discordance</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Distinguishes acute vs. subacute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Pseudonormalization of ADC at 1-2 weeks</w:t>
            </w:r>
          </w:p>
        </w:tc>
        <w:tc>
          <w:tcPr>
            <w:tcW w:type="dxa" w:w="22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Important for wake-up stroke subacute assessment</w:t>
            </w:r>
          </w:p>
        </w:tc>
      </w:tr>
    </w:tbl>
    <w:p>
      <w:pPr>
        <w:spacing w:after="200"/>
      </w:pPr>
    </w:p>
    <w:p>
      <w:pPr>
        <w:pStyle w:val="Heading2"/>
      </w:pPr>
      <w:r>
        <w:t xml:space="preserve">1.5 Intravenous Thrombolysis — AHA 2026 Updated</w:t>
      </w:r>
    </w:p>
    <w:p>
      <w:pPr>
        <w:pStyle w:val="Heading3"/>
      </w:pPr>
      <w:r>
        <w:t xml:space="preserve">1.5.1 Alteplase (rtPA) — Standard Protocol</w:t>
      </w:r>
    </w:p>
    <w:p>
      <w:pPr>
        <w:spacing w:after="120"/>
      </w:pPr>
      <w:r>
        <w:t xml:space="preserve">Alteplase 0.9 mg/kg (maximum 90 mg): 10% given as IV bolus over 1 minute, remaining 90% infused over 60 minutes. Eligible window: 0-4.5 hours from symptom onset/last known well (LKW).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ALTEPLASE — AHA 2026 ELIGIBILITY (UPDATED)</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Onset-to-treatment: within 4.5 hours (Class I, Level 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BP MUST be &lt;185/110 before bolus; use IV labetalol 10-20 mg or nicardipine infusion</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Glucose must be 50-400 mg/dL; correct hypoglycemia first</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REMOVED contraindications (AHA 2026 updates):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  — Age &gt;80 no longer excludes from 3-4.5h window (Class IIa)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  — Prior stroke + diabetes no longer excluded from 3-4.5h window (Class IIa)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  — Anticoagulant use: tPA if INR&lt;1.7, PTT normal, DOAC last dose &gt;48h OR dabigatran level &lt;50 ng/mL</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  — Minor stroke / isolated aphasia / cortical signs: tPA is REASONABLE even if 'mild' (Class IIa, AHA 2026)</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Absolute contraindications: Active intracranial hemorrhage; recent intracranial/spinal surgery &lt;3 months; head trauma &lt;3 months; intracranial neoplasm in surgical path; aortic arch dissection</w:t>
            </w:r>
          </w:p>
        </w:tc>
      </w:tr>
    </w:tbl>
    <w:p>
      <w:pPr>
        <w:spacing w:after="200"/>
      </w:pPr>
    </w:p>
    <w:p>
      <w:pPr>
        <w:pStyle w:val="Heading3"/>
      </w:pPr>
      <w:r>
        <w:t xml:space="preserve">1.5.2 Tenecteplase (TNK) — AHA 2026 Preferred Agent Pre-EVT</w:t>
      </w:r>
    </w:p>
    <w:p>
      <w:pPr>
        <w:spacing w:after="120"/>
      </w:pPr>
      <w:r>
        <w:t xml:space="preserve">Tenecteplase 0.25 mg/kg (maximum 25 mg) given as a SINGLE IV bolus. FDA approved March 2025 for acute ischemic stroke.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Feature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Alteplase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Tenecteplase 0.25 mg/kg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Administration</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10% bolus + 90% infusion over 60 min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Single IV bolus — much simpler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Fibrin specificity</w:t>
            </w:r>
          </w:p>
        </w:tc>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Lower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Higher (14x more fibrin-specific)</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Half-life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 minutes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 minutes (longer)</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PAI-1 resistance</w:t>
            </w:r>
          </w:p>
        </w:tc>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Susceptible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Resistant (favorable)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ATTEST-2 (Lancet Neurol, 2024)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Reference arm</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Non-inferior; trend toward superiority (mRS 0-1)</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AcT Trial (NEJM 2022)</w:t>
            </w:r>
          </w:p>
        </w:tc>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Reference arm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Non-inferior for outcomes before EVT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NOR-TEST 2 (note)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Better outcomes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Higher dose (0.4 mg/kg) was INFERIOR — avoid higher dose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AHA 2026 recommendation</w:t>
            </w:r>
          </w:p>
        </w:tc>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Acceptable alternative</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Preferred over alteplase pre-EVT (Class IIa); reasonable for all eligible patients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Logistical advantage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Complex preparation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Easier; faster to administer; lower medication error risk</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TRACE-III (2024)</w:t>
            </w:r>
          </w:p>
        </w:tc>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Not studied</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TNK 0.25 mg/kg with automated CTP selection up to 24h — significant benefit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AHA 2026 KEY CHANGE: Tenecteplase (0.25 mg/kg, single bolus, max 25 mg) is now preferred over alteplase specifically in patients who are candidates for endovascular therapy — the single bolus allows faster transfer to the angio suite. For patients NOT receiving EVT, either agent is acceptable. NEVER use tenecteplase 0.4 mg/kg (higher dose shown inferior and unsafe).</w:t>
            </w:r>
          </w:p>
        </w:tc>
      </w:tr>
    </w:tbl>
    <w:p>
      <w:pPr>
        <w:spacing w:after="200"/>
      </w:pPr>
    </w:p>
    <w:p>
      <w:pPr>
        <w:pStyle w:val="Heading3"/>
      </w:pPr>
      <w:r>
        <w:t xml:space="preserve">1.5.3 Extended Window Thrombolysis (4.5-24 hours)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660"/>
        <w:gridCol w:w="25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Agent</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Window</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Selection Method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Result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WAKE-UP (2018)</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Alteplase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Unknown onset</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DWI positive + FLAIR negative (MRI mismatch)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OR 1.61 for favorable outcome (mRS 0-1); NNT=14</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EXTEND (2019)</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Alteplase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4.5-9 hours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CTP or MRI perfusion mismatch (ratio &gt;=1.2, core &lt;70 mL)</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mRS 0-1: 35.4% vs 29.5%; ARR 6% (Lancet 2019)</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ECASS-4 EXTEND (2019)</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Alteplase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4.5-9 hours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 perfusion mismatch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Did not achieve significance alone; pooled with EXTEND</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TRACE-III (2024)</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Tenecteplase 0.25 mg/kg</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4.5-24 hours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Automated CTP (RAPID): core &lt;70 mL, Tmax&gt;6s volume &gt;=10 mL, mismatch ratio &gt;=1.2</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mRS 0-1: 33% vs 24% (OR 1.62); breakthrough trial for extended TNK</w:t>
            </w:r>
          </w:p>
        </w:tc>
      </w:tr>
    </w:tbl>
    <w:p>
      <w:pPr>
        <w:spacing w:after="120"/>
      </w:pPr>
      <w:r>
        <w:rPr>
          <w:b/>
          <w:bCs/>
        </w:rPr>
        <w:t xml:space="preserve">AHA 2026 Update: </w:t>
      </w:r>
      <w:r>
        <w:t xml:space="preserve">Extended window IV thrombolysis with imaging guidance is recommended (Class IIa) for selected patients 4.5-9 hours after onset or in wake-up stroke using DWI-FLAIR mismatch. TRACE-III supports extending tenecteplase use to 24 hours with automated perfusion selection.</w:t>
      </w:r>
    </w:p>
    <w:p>
      <w:pPr>
        <w:spacing w:after="200"/>
      </w:pPr>
    </w:p>
    <w:p>
      <w:pPr>
        <w:pStyle w:val="Heading3"/>
      </w:pPr>
      <w:r>
        <w:t xml:space="preserve">1.5.4 Contraindications to IV Thrombolysis —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Contraindication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Absolute / Relative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Notes (AHA 2026)</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Active intracranial hemorrhage on NCCT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Includes any parenchymal, subarachnoid, or subdural hemorrhage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Intracranial/spinal surgery, head trauma, or stroke within 3 months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Intracranial neoplasm, AVM, or aneurysm</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 (in treatment zone)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Unruptured aneurysm remote from treatment area: Class IIb</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Active internal bleeding (excluding menses)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GI bleed &gt;21 days: relative contraindication only</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Aortic arch dissection suspected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Infective endocarditis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Risk of mycotic aneurysm rupture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Platelet count &lt;100,000/mm3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INR &gt;1.7 or PT &gt;15 seconds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If on warfarin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DOAC within 48 hours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Unless drug level confirmed below treatment threshold</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BP &gt;185/110 resistant to treatment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Glucose &lt;50 or &gt;400 mg/dL uncorrected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Absolute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Correct glucose first — may resolve deficits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Severe stroke (NIHSS&gt;25)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Relative (NOT absolute, AHA 2026)</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Large stroke has higher hemorrhagic risk but also higher benefit potential</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Minor/rapidly improving stroke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Relative (Class IIa, AHA 2026)</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Minor disabling symptoms: tPA reasonable. Non-disabling minor: individual assessment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Prior ischemic stroke within 3 months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Relative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Risk of hemorrhagic transformation into prior infarct</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Pregnancy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Relative (Class IIb)</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tPA in life-threatening stroke; placenta does not cross; monitor for postpartum hemorrhage</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Seizure at stroke onset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Relative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If postictal state is excluded and imaging confirms acute ischemia</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Major surgery within 14 days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Relative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If not in cranial cavity; balance risk/benefit</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Recent LP &lt;7 days or arterial puncture at non-compressible site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Relative</w:t>
            </w:r>
          </w:p>
        </w:tc>
        <w:tc>
          <w:tcPr>
            <w:tcW w:type="dxa" w:w="3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Individualize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Significant microbleeds on MRI (&gt;10)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Relative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Higher sICH risk; Class IIb — acceptable if benefit outweighs risk</w:t>
            </w:r>
          </w:p>
        </w:tc>
      </w:tr>
    </w:tbl>
    <w:p>
      <w:pPr>
        <w:spacing w:after="200"/>
      </w:pPr>
    </w:p>
    <w:p>
      <w:pPr>
        <w:pStyle w:val="Heading2"/>
      </w:pPr>
      <w:r>
        <w:t xml:space="preserve">1.6 Mechanical Thrombectomy (EVT) — AHA 2026 Updated</w:t>
      </w:r>
    </w:p>
    <w:p>
      <w:pPr>
        <w:pStyle w:val="Heading3"/>
      </w:pPr>
      <w:r>
        <w:t xml:space="preserve">1.6.1 Standard Window (0-6 hours)</w:t>
      </w:r>
    </w:p>
    <w:p>
      <w:pPr>
        <w:spacing w:after="120"/>
      </w:pPr>
      <w:r>
        <w:t xml:space="preserve">Class I, Level A recommendation. Five landmark trials (MR CLEAN, ESCAPE, EXTEND-IA, SWIFT PRIME, REVASCAT) established EVT benefit. Updated pooled data show NNT=2.6 for functional independence — among the most effective acute interventions in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EVT ELIGIBILITY — 0-6 HOURS (AHA 2026 Class I)</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Occlusion site: ICA, MCA-M1 (Class I); MCA-M2 (Class IIa); ACA, PCA, basilar, vertebral (Class IIb)</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Pre-stroke mRS 0-1 (Class I); mRS 2 may be considered (Class IIb)</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NIHSS &gt;= 6 for anterior circulation LVO</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ASPECTS &gt;= 6 on NCCT or DWI-MRI (Class I)</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ASPECTS 3-5 on NCCT: EVT reasonable (Class IIa, NEW 2026) — SELECT-2, ANGEL-ASPECT, TENSION trials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IV thrombolysis eligible patients should receive tPA; do NOT delay EVT for tPA infusion</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Groin puncture target: door-to-puncture &lt;90 min; onset-to-puncture &lt;180 min</w:t>
            </w:r>
          </w:p>
        </w:tc>
      </w:tr>
    </w:tbl>
    <w:p>
      <w:pPr>
        <w:spacing w:after="200"/>
      </w:pPr>
    </w:p>
    <w:p>
      <w:pPr>
        <w:pStyle w:val="Heading3"/>
      </w:pPr>
      <w:r>
        <w:t xml:space="preserve">1.6.2 Extended Window (6-24 hours) — Imaging-Guided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860"/>
        <w:gridCol w:w="2200"/>
        <w:gridCol w:w="18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Time Window</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Selection Criteria</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Outcome Benefit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AHA 2026 Class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DAWN (2018)</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6-24h</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Age &lt;80: NIHSS&gt;=10, core &lt;31 mL; Age 80+: NIHSS&gt;=10, core &lt;21 mL; Age &lt;80 NIHSS&gt;=20: core 31-51 mL (clinical-core mismatch)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49% vs 13% mRS 0-2 (NNT=2.8)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Class I</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DEFUSE-3 (2018)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6-16h</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Core &lt;70 mL; penumbra &gt;=15 mL; mismatch ratio &gt;=1.8 (perfusion mismatch)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mRS 0-2: 45% vs 17% (OR 2.77)</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Class I</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 CLEAN-LATE (2021)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6-24h</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Any mismatch or collateral scoring; no strict volume cutoffs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Similar benefit; broader generalizability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Class IIa</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RESCUE-Japan LIMIT (2022)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6-24h</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DWI-ASPECTS &gt;=3; Japanese population; broader ASPECTS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Confirmed benefit in lower ASPECTS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Class IIa</w:t>
            </w:r>
          </w:p>
        </w:tc>
      </w:tr>
    </w:tbl>
    <w:p>
      <w:pPr>
        <w:spacing w:after="200"/>
      </w:pPr>
    </w:p>
    <w:p>
      <w:pPr>
        <w:pStyle w:val="Heading3"/>
      </w:pPr>
      <w:r>
        <w:t xml:space="preserve">1.6.3 Low ASPECTS (3-5) — New 2026 Evidence</w:t>
      </w:r>
    </w:p>
    <w:p>
      <w:pPr>
        <w:spacing w:after="120"/>
      </w:pPr>
      <w:r>
        <w:t xml:space="preserve">Three landmark trials published 2022-2023 established EVT benefit in large core infarction (low ASPECTS):</w:t>
      </w:r>
    </w:p>
    <w:p>
      <w:pPr>
        <w:pStyle w:val="ListParagraph"/>
        <w:numPr>
          <w:ilvl w:val="0"/>
          <w:numId w:val="2"/>
        </w:numPr>
        <w:spacing w:after="60"/>
      </w:pPr>
      <w:r/>
      <w:r>
        <w:t xml:space="preserve">EVT vs medical management in LVO with ASPECTS 3-5 or core &gt;50 mL. EVT superior: mRS 0-3: 20% vs 7% (NNH reasonable); reduced functional dependence.</w:t>
      </w:r>
    </w:p>
    <w:p>
      <w:pPr>
        <w:pStyle w:val="ListParagraph"/>
        <w:numPr>
          <w:ilvl w:val="0"/>
          <w:numId w:val="2"/>
        </w:numPr>
        <w:spacing w:after="60"/>
      </w:pPr>
      <w:r/>
      <w:r>
        <w:t xml:space="preserve">Chinese multicenter trial; ASPECTS 3-5 or core 70-100 mL; EVT improved outcome (mRS distribution, OR 1.37).</w:t>
      </w:r>
    </w:p>
    <w:p>
      <w:pPr>
        <w:pStyle w:val="ListParagraph"/>
        <w:numPr>
          <w:ilvl w:val="0"/>
          <w:numId w:val="2"/>
        </w:numPr>
        <w:spacing w:after="60"/>
      </w:pPr>
      <w:r/>
      <w:r>
        <w:t xml:space="preserve">European trial; core volume 50-150 mL; EVT significantly improved outcome (mRS 0-3: 30% vs 9%, OR 4.3).</w:t>
      </w:r>
    </w:p>
    <w:p>
      <w:pPr>
        <w:spacing w:after="120"/>
      </w:pPr>
      <w:r>
        <w:rPr>
          <w:b/>
          <w:bCs/>
        </w:rPr>
        <w:t xml:space="preserve">AHA 2026: </w:t>
      </w:r>
      <w:r>
        <w:t xml:space="preserve">EVT is now REASONABLE (Class IIa) for ASPECTS 3-5 in selected patients, particularly those with NIHSS &gt;=6, treatable occlusion, and without contraindications. Shared decision-making with patient/family is essential due to residual disability.</w:t>
      </w:r>
    </w:p>
    <w:p>
      <w:pPr>
        <w:spacing w:after="200"/>
      </w:pPr>
    </w:p>
    <w:p>
      <w:pPr>
        <w:pStyle w:val="Heading3"/>
      </w:pPr>
      <w:r>
        <w:t xml:space="preserve">1.6.4 Basilar Artery Occlusion (BAO)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60"/>
        <w:gridCol w:w="25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Result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AHA 2026 Recommendation</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ATTENTION (NEJM 2022)</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BAO within 24h, NIHSS&gt;=10, mild-moderate ischemia</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Favorable outcome (mRS 0-3): 46% vs 23% (OR 3.08)</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Class I for NIHSS &gt;=10</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BAOCHE (NEJM 2022)</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BAO 6-24h, limited ischemia (NIHSS any)</w:t>
            </w:r>
          </w:p>
        </w:tc>
        <w:tc>
          <w:tcPr>
            <w:tcW w:type="dxa" w:w="2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mRS 0-3: 47% vs 23% (OR 3.33)</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Class I for 6-24h BAO</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BASICS (Lancet 2021)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BAO any time, NIHSS &gt;=10, IA urokinase vs antithrombotic</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benefit of IA urokinase alone (no stent retriever); highlights importance of device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Confirms modern EVT superiority</w:t>
            </w:r>
          </w:p>
        </w:tc>
      </w:tr>
    </w:tbl>
    <w:p>
      <w:pPr>
        <w:spacing w:after="120"/>
      </w:pPr>
      <w:r>
        <w:rPr>
          <w:b/>
          <w:bCs/>
        </w:rPr>
        <w:t xml:space="preserve">AHA 2026 (NEW, Class I): </w:t>
      </w:r>
      <w:r>
        <w:t xml:space="preserve">EVT for basilar artery occlusion within 24 hours with NIHSS &gt;=10 and limited ischemic injury. Unlike anterior circulation, NIHSS threshold is HIGHER (&gt;=10) due to complex anatomy.</w:t>
      </w:r>
    </w:p>
    <w:p>
      <w:pPr>
        <w:spacing w:after="200"/>
      </w:pPr>
    </w:p>
    <w:p>
      <w:pPr>
        <w:pStyle w:val="Heading3"/>
      </w:pPr>
      <w:r>
        <w:t xml:space="preserve">1.6.5 Distal and Medium Vessel Occlusions (DMVO)</w:t>
      </w:r>
    </w:p>
    <w:p>
      <w:pPr>
        <w:spacing w:after="120"/>
      </w:pPr>
      <w:r>
        <w:t xml:space="preserve">M2, M3, ACA, PCA distal occlusions account for ~30% of LVOs but historically excluded from trials. Emerging evidence:</w:t>
      </w:r>
    </w:p>
    <w:p>
      <w:pPr>
        <w:pStyle w:val="ListParagraph"/>
        <w:numPr>
          <w:ilvl w:val="0"/>
          <w:numId w:val="2"/>
        </w:numPr>
        <w:spacing w:after="60"/>
      </w:pPr>
      <w:r/>
      <w:r>
        <w:t xml:space="preserve">EVT vs no EVT for M2 occlusions — signal toward benefit, particularly for M2 proximal.</w:t>
      </w:r>
    </w:p>
    <w:p>
      <w:pPr>
        <w:pStyle w:val="ListParagraph"/>
        <w:numPr>
          <w:ilvl w:val="0"/>
          <w:numId w:val="2"/>
        </w:numPr>
        <w:spacing w:after="60"/>
      </w:pPr>
      <w:r/>
      <w:r>
        <w:t xml:space="preserve">Medium vessel occlusion EVT trial; results pending full publication.</w:t>
      </w:r>
    </w:p>
    <w:p>
      <w:pPr>
        <w:pStyle w:val="ListParagraph"/>
        <w:numPr>
          <w:ilvl w:val="0"/>
          <w:numId w:val="2"/>
        </w:numPr>
        <w:spacing w:after="60"/>
      </w:pPr>
      <w:r/>
      <w:r>
        <w:t xml:space="preserve">EVT for M2 occlusions is REASONABLE. M3 and distal: Class IIb with appropriate patient selection and experienced centers.</w:t>
      </w:r>
    </w:p>
    <w:p>
      <w:pPr>
        <w:spacing w:after="200"/>
      </w:pPr>
    </w:p>
    <w:p>
      <w:pPr>
        <w:pStyle w:val="Heading3"/>
      </w:pPr>
      <w:r>
        <w:t xml:space="preserve">1.6.6 Tandem Occlusion (Extracranial + Intracranial)</w:t>
      </w:r>
    </w:p>
    <w:p>
      <w:pPr>
        <w:pStyle w:val="ListParagraph"/>
        <w:numPr>
          <w:ilvl w:val="0"/>
          <w:numId w:val="2"/>
        </w:numPr>
        <w:spacing w:after="60"/>
      </w:pPr>
      <w:r>
        <w:t xml:space="preserve">Cervical ICA occlusion + intracranial M1 occlusion: occurs in ~10-15% of LVO patients.</w:t>
      </w:r>
    </w:p>
    <w:p>
      <w:pPr>
        <w:pStyle w:val="ListParagraph"/>
        <w:numPr>
          <w:ilvl w:val="0"/>
          <w:numId w:val="2"/>
        </w:numPr>
        <w:spacing w:after="60"/>
      </w:pPr>
      <w:r/>
      <w:r>
        <w:t xml:space="preserve">Retrograde vs antegrade approach; carotid stenting at time of EVT (TITAN registry) or staged approach. Emergent carotid stenting + EVT appears beneficial; antiplatelet/anticoagulation management post-stenting is complex.</w:t>
      </w:r>
    </w:p>
    <w:p>
      <w:pPr>
        <w:pStyle w:val="ListParagraph"/>
        <w:numPr>
          <w:ilvl w:val="0"/>
          <w:numId w:val="2"/>
        </w:numPr>
        <w:spacing w:after="60"/>
      </w:pPr>
      <w:r/>
      <w:r>
        <w:t xml:space="preserve">Emergent extracranial ICA angioplasty/stenting during EVT may be considered. Antiplatelet loading (aspirin + clopidogrel or GPI) peri-procedurally.</w:t>
      </w:r>
    </w:p>
    <w:p>
      <w:pPr>
        <w:spacing w:after="200"/>
      </w:pPr>
    </w:p>
    <w:p>
      <w:pPr>
        <w:pStyle w:val="Heading3"/>
      </w:pPr>
      <w:r>
        <w:t xml:space="preserve">1.6.7 Post-EVT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Target</w:t>
            </w:r>
          </w:p>
        </w:tc>
        <w:tc>
          <w:tcPr>
            <w:tcW w:type="dxa" w:w="4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Evidence/Notes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Blood pressure (TICI 2b-3, successful recanalization)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SBP &lt;140 mmHg within 24h</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BP-TARGET trial (JAMA Neurol 2021): intensive BP control (100-129) no benefit over 130-185; ENCHANTED2/MT: intensive &lt;120 increased disability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Blood pressure (TICI 0-2a, failed recanalization)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Permissive SBP 150-180 mmHg</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Maintain penumbral perfusion; avoid hypotension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Antiplatelet / anticoagulation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Aspirin 300 mg within 24h (if no tPA); anticoagulation 24h after tPA</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early anticoagulation post-EVT in most cases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Hyperthermia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Target normothermia; treat fever aggressively</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Each 1 degree C increase worsens outcome by 14%</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Hyperglycemia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Target glucose 140-180 mg/dL</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Hypoglycemia (&lt;100) equally harmful; avoid glucose &gt;200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Oxygen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SpO2 &gt;94%; avoid supplemental O2 if normoxic</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SIESTA trial: no benefit of prophylactic supplemental O2</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MRI/CT follow-up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24-hour imaging for hemorrhagic transformation; repeat DWI</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Guide antiplatelet initiation and anticoagulation timing</w:t>
            </w:r>
          </w:p>
        </w:tc>
      </w:tr>
    </w:tbl>
    <w:p>
      <w:pPr>
        <w:spacing w:after="200"/>
      </w:pPr>
    </w:p>
    <w:p>
      <w:pPr>
        <w:pStyle w:val="Heading2"/>
      </w:pPr>
      <w:r>
        <w:t xml:space="preserve">1.7 Acute Medical Management — Neurologist Level</w:t>
      </w:r>
    </w:p>
    <w:p>
      <w:pPr>
        <w:pStyle w:val="Heading3"/>
      </w:pPr>
      <w:r>
        <w:t xml:space="preserve">1.7.1 Blood Pressure Management — Detailed Algorithm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4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Scenario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BP Target</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Preferred Agent</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Duration / 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Pre-thrombolysis (tPA eligible)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&lt;185/110 mmHg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 labetalol 10-20 mg OR nicardipine 5-15 mg/hr infusion</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Must achieve before tPA bolus; re-check at 15 min intervals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During/after tPA (0-24h)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&lt;180/105 mmHg</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Labetalol or nicardipine IV; avoid hydralazine (unpredictable)</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Check BP q15 min x2h, then q30 min x6h, then q1h x16h</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Post-EVT, successful recanalization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SBP 130-150 mmHg (avoid &lt;130)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Nicardipine infusion titrated; or oral agents when stable</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BP-TARGET: 130-185 target; ENCHANTED2/MT: &lt;120 increased poor outcomes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Post-EVT, unsuccessful recanalization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Permissive hypertension SBP 150-180</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Avoid aggressive lowering; maintain cerebral perfusion</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 specific trial data; expert consensus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reperfusion therapy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Permissive &lt;220/120 mmHg in first 24h</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Only treat extreme hypertension</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Avoid lowering BP in acute phase — risk of extending infarct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After 24h (stable, treated)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Target &lt;130/80 mmHg</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ACEi/ARB + CCB preferred; SPS3, PROGRESS</w:t>
            </w:r>
          </w:p>
        </w:tc>
        <w:tc>
          <w:tcPr>
            <w:tcW w:type="dxa" w:w="2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Resume prior antihypertensives; initiate new therapy if indicated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Hypotension (SBP &lt;100)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Restore normal or high-normal BP</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 saline bolus; vasopressors (phenylephrine, norepinephrine) if needed</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Actively detrimental; assess for cardiac cause</w:t>
            </w:r>
          </w:p>
        </w:tc>
      </w:tr>
    </w:tbl>
    <w:p>
      <w:pPr>
        <w:spacing w:after="200"/>
      </w:pPr>
    </w:p>
    <w:p>
      <w:pPr>
        <w:pStyle w:val="Heading3"/>
      </w:pPr>
      <w:r>
        <w:t xml:space="preserve">1.7.2 Glycemic and Temperature Management</w:t>
      </w:r>
    </w:p>
    <w:p>
      <w:pPr>
        <w:pStyle w:val="ListParagraph"/>
        <w:numPr>
          <w:ilvl w:val="0"/>
          <w:numId w:val="2"/>
        </w:numPr>
        <w:spacing w:after="60"/>
      </w:pPr>
      <w:r/>
      <w:r>
        <w:t xml:space="preserve">Blood glucose &gt;180 mg/dL is independently associated with worse outcomes (larger final infarct, higher mortality). Target 140-180 mg/dL with insulin. Avoid hypoglycemia (&lt;80 mg/dL) equally rigorously — hypoglycemia mimics and worsens stroke.</w:t>
      </w:r>
    </w:p>
    <w:p>
      <w:pPr>
        <w:pStyle w:val="ListParagraph"/>
        <w:numPr>
          <w:ilvl w:val="0"/>
          <w:numId w:val="2"/>
        </w:numPr>
        <w:spacing w:after="60"/>
      </w:pPr>
      <w:r/>
      <w:r>
        <w:t xml:space="preserve">Treat fever (temp &gt;37.5 C) aggressively with acetaminophen. Fever worsens excitotoxicity, edema, and BBB disruption. Therapeutic hypothermia is NOT currently recommended for ischemic stroke (clinical trials failed to show benefit).</w:t>
      </w:r>
    </w:p>
    <w:p>
      <w:pPr>
        <w:pStyle w:val="ListParagraph"/>
        <w:numPr>
          <w:ilvl w:val="0"/>
          <w:numId w:val="2"/>
        </w:numPr>
        <w:spacing w:after="60"/>
      </w:pPr>
      <w:r/>
      <w:r>
        <w:t xml:space="preserve">Supplemental O2 only if SpO2 &lt;94%. Routine O2 supplementation in normoxic patients has no benefit (SIESTA trial). Screen for sleep apnea — obstructive sleep apnea is highly prevalent post-stroke and treatable.</w:t>
      </w:r>
    </w:p>
    <w:p>
      <w:pPr>
        <w:spacing w:after="200"/>
      </w:pPr>
    </w:p>
    <w:p>
      <w:pPr>
        <w:pStyle w:val="Heading3"/>
      </w:pPr>
      <w:r>
        <w:t xml:space="preserve">1.7.3 Dysphagia Screening and Nutritional Support</w:t>
      </w:r>
    </w:p>
    <w:p>
      <w:pPr>
        <w:pStyle w:val="ListParagraph"/>
        <w:numPr>
          <w:ilvl w:val="0"/>
          <w:numId w:val="2"/>
        </w:numPr>
        <w:spacing w:after="60"/>
      </w:pPr>
      <w:r/>
      <w:r>
        <w:t xml:space="preserve">Mandatory BEFORE oral intake of any food/water/medication. Simple water swallow test (50 mL) or validated tool (GUSS, TOR-BSST). If fails, NPO and formal speech pathology assessment within 24h.</w:t>
      </w:r>
    </w:p>
    <w:p>
      <w:pPr>
        <w:pStyle w:val="ListParagraph"/>
        <w:numPr>
          <w:ilvl w:val="0"/>
          <w:numId w:val="2"/>
        </w:numPr>
        <w:spacing w:after="60"/>
      </w:pPr>
      <w:r/>
      <w:r>
        <w:t xml:space="preserve">Dysphagia screening within 24h of admission for all acute stroke patients is Class I recommendation. Associated with reduced pneumonia and shorter LOS.</w:t>
      </w:r>
    </w:p>
    <w:p>
      <w:pPr>
        <w:pStyle w:val="ListParagraph"/>
        <w:numPr>
          <w:ilvl w:val="0"/>
          <w:numId w:val="2"/>
        </w:numPr>
        <w:spacing w:after="60"/>
      </w:pPr>
      <w:r/>
      <w:r>
        <w:t xml:space="preserve">Early enteral feeding if unable to maintain PO nutrition. Avoid total parenteral nutrition unless enteral route unavailable &gt;7 days. FOOD trial: PEG tube feeds not superior to NGT at 2-3 weeks.</w:t>
      </w:r>
    </w:p>
    <w:p>
      <w:pPr>
        <w:spacing w:after="200"/>
      </w:pPr>
    </w:p>
    <w:p>
      <w:pPr>
        <w:pStyle w:val="Heading3"/>
      </w:pPr>
      <w:r>
        <w:t xml:space="preserve">1.7.4 Antiplatelet and Anticoagulation in Acute Phase</w:t>
      </w:r>
    </w:p>
    <w:p>
      <w:pPr>
        <w:pStyle w:val="ListParagraph"/>
        <w:numPr>
          <w:ilvl w:val="0"/>
          <w:numId w:val="2"/>
        </w:numPr>
        <w:spacing w:after="60"/>
      </w:pPr>
      <w:r/>
      <w:r>
        <w:t xml:space="preserve">Within 24-48h of onset (NOT during first 24h if tPA given). Reduces early recurrence by 7 per 1000 treated (IST, CAST trials).</w:t>
      </w:r>
    </w:p>
    <w:p>
      <w:pPr>
        <w:pStyle w:val="ListParagraph"/>
        <w:numPr>
          <w:ilvl w:val="0"/>
          <w:numId w:val="2"/>
        </w:numPr>
        <w:spacing w:after="60"/>
      </w:pPr>
      <w:r/>
      <w:r>
        <w:t xml:space="preserve">Aspirin + clopidogrel for 21 days for minor stroke (NIHSS &lt;=3) or high-risk TIA (ABCD2 &gt;=4) — CHANCE trial. POINT trial extended this to 90 days but bleeding increased after day 21; therefore 21 days remains preferred. Ticagrelor + aspirin (THALES) for 30 days is an alternative.</w:t>
      </w:r>
    </w:p>
    <w:p>
      <w:pPr>
        <w:pStyle w:val="ListParagraph"/>
        <w:numPr>
          <w:ilvl w:val="0"/>
          <w:numId w:val="2"/>
        </w:numPr>
        <w:spacing w:after="60"/>
      </w:pPr>
      <w:r/>
      <w:r>
        <w:t xml:space="preserve">In patients with CYP2C19 loss-of-function (LOF) alleles (common in East Asians — ~60%): ticagrelor + aspirin superior to clopidogrel + aspirin (RRR 23%), since clopidogrel requires CYP2C19 for activation. Consider CYP2C19 genotyping in appropriate patients.</w:t>
      </w:r>
    </w:p>
    <w:p>
      <w:pPr>
        <w:pStyle w:val="ListParagraph"/>
        <w:numPr>
          <w:ilvl w:val="0"/>
          <w:numId w:val="2"/>
        </w:numPr>
        <w:spacing w:after="60"/>
      </w:pPr>
      <w:r/>
      <w:r>
        <w:t xml:space="preserve">Heparin or LMWH not recommended in acute ischemic stroke due to no net benefit and increased hemorrhagic transformation risk (IST, HAEST). Exception: CVT (see 1.10). AF-related stroke: DOACs started 4-14 days post-stroke based on infarct size (1-3-6-12 day rule).</w:t>
      </w:r>
    </w:p>
    <w:p>
      <w:pPr>
        <w:spacing w:after="200"/>
      </w:pPr>
    </w:p>
    <w:p>
      <w:pPr>
        <w:pStyle w:val="Heading2"/>
      </w:pPr>
      <w:r>
        <w:t xml:space="preserve">1.8 Hemorrhagic Transformation (HT)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Classification (ECASS)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Imaging</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Significance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Management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HI-1 (Hemorrhagic Infarction type 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Small petechiae within infarct, no mass effect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Asymptomatic; spontaneous from reperfusion</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Continue antiplatelets; no treatment change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HI-2 (HI type 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Confluent petechiae within infarct, no mass effect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Asymptomatic or mild worsening; common after EVT</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Monitor closely; hold anticoagulation temporarily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PH-1 (Parenchymal Hematoma type 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Hematoma &lt;30% of infarct, mild mass effect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Often symptomatic; associated with neurological worsening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Hold tPA or anticoagulants; supportive care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PH-2 (PH type 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Hematoma &gt;30% of infarct, significant mass effect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Symptomatic ICH (sICH); major clinical deterioration; often fatal</w:t>
            </w:r>
          </w:p>
        </w:tc>
        <w:tc>
          <w:tcPr>
            <w:tcW w:type="dxa" w:w="2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Aggressive BP control; reverse anticoagulation; neurosurgical consult; ICP management</w:t>
            </w:r>
          </w:p>
        </w:tc>
      </w:tr>
    </w:tbl>
    <w:p>
      <w:pPr>
        <w:spacing w:after="120"/>
      </w:pPr>
      <w:r>
        <w:t xml:space="preserve">Symptomatic ICH (sICH) after tPA defined as any ICH + NIHSS worsening &gt;=4 points within 36h. Rate with alteplase: 2-7%; with tenecteplase 0.25 mg/kg: similar rate. STOP tPA infusion; reverse with cryoprecipitate (10 units) for fibrinogen replacement and tranexamic acid.</w:t>
      </w:r>
    </w:p>
    <w:p>
      <w:pPr>
        <w:spacing w:after="200"/>
      </w:pPr>
    </w:p>
    <w:p>
      <w:pPr>
        <w:pStyle w:val="Heading2"/>
      </w:pPr>
      <w:r>
        <w:t xml:space="preserve">1.9 Malignant MCA Infarction and Decompressive Hemicraniectomy</w:t>
      </w:r>
    </w:p>
    <w:p>
      <w:pPr>
        <w:spacing w:after="120"/>
      </w:pPr>
      <w:r>
        <w:t xml:space="preserve">Malignant MCA infarction (MMCAI) complicates 10-15% of MCA strokes and carries 70-80% mortality without intervention. Clinically defined as: complete MCA territory infarction with progressive cerebral edema causing herniation within 24-96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DECOMPRESSIVE HEMICRANIECTOMY — KEY CRITERIA AND EVIDENCE</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Indications: Space-occupying MCA infarction; progressive deterioration despite medical ICP management</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DESTINY II trial (NEJM 2014): Age &gt;60 — surgery reduced mortality (33% vs 70%) but majority of survivors had mRS 4 (severe disability); controversial in older patients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Pooled DECIMAL + DESTINY + HAMLET (NEJM 2007): Age &lt;=60 — NNT=2 for survival; NNT=4 for favorable outcome (mRS &lt;=3)</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Timing: Best results within 48h of stroke onset; up to 96h in some cases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AHA 2026 (Class I): Decompressive hemicraniectomy for malignant MCA in patients &lt;= 60 years within 48h with large infarction and decreasing consciousness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AHA 2026 (Class IIb): Consider in patients &gt;60 years after careful shared decision-making</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Cerebellar infarction with edema: Suboccipital decompressive craniectomy for deteriorating patients — different anatomy, often better outcomes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Medical bridge therapy: Head-of-bed 30-45 degrees, osmotherapy (mannitol 20% 1g/kg q4-6h; or NaCl 23.4% 30 mL); EVD for acute hydrocephalus; avoid hyperglycemia and hyperthermia</w:t>
            </w:r>
          </w:p>
        </w:tc>
      </w:tr>
    </w:tbl>
    <w:p>
      <w:pPr>
        <w:spacing w:after="200"/>
      </w:pPr>
    </w:p>
    <w:p>
      <w:pPr>
        <w:pStyle w:val="Heading2"/>
      </w:pPr>
      <w:r>
        <w:t xml:space="preserve">1.10 Secondary Prevention — Comprehensive Neurologist Level</w:t>
      </w:r>
    </w:p>
    <w:p>
      <w:pPr>
        <w:pStyle w:val="Heading3"/>
      </w:pPr>
      <w:r>
        <w:t xml:space="preserve">1.10.1 Antiplatelet Strategy by Stroke Subtype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3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Stroke Subtype</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First-Line Antiplatelet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Duration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Minor ischemic stroke / high-risk TIA</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Aspirin 75-100 mg + clopidogrel 75 mg (DAPT)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21 days, then single antiplatelet</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CHANCE, POINT; CHANCE-2 (ticagrelor if CYP2C19 LOF)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Moderate-severe ischemic stroke (non-CE)</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Aspirin 75-100 mg</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Long-term</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IST, CAST; add clopidogrel or dipyridamole for additional risk reduction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Aspirin failure or intolerance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Clopidogrel 75 mg OR aspirin-dipyridamole (Aggrenox)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Long-term</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CAPRIE: clopidogrel vs aspirin; ESPS-2, ESPRIT: dipyridamole+aspirin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Symptomatic intracranial stenosis (50-99%)</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Aspirin 325 mg + clopidogrel 75 mg for 90 days, then aspirin alone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90 days DAPT then monotherapy</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SAMMPRIS: intensive medical &gt; stenting (Wingspan) in symptomatic ICAS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Cardioembolic (AF)</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Anticoagulation (DOAC preferred)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Lifelong</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ARISTOTLE, RE-LY, ROCKET-AF: DOACs superior to warfarin in non-valvular AF</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Cardioembolic (mechanical valve)</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Warfarin (INR 2.5-3.5)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Lifelong</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DOACs INFERIOR to warfarin in mechanical valves (RE-ALIGN trial)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ESUS/Cryptogenic</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Aspirin 75-100 mg + ILR implant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Long-term; switch to DOAC if AF detected</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NAVIGATE-ESUS, RE-SPECT ESUS, ARCADIA: anticoagulation not superior to aspirin for undifferentiated ESUS</w:t>
            </w:r>
          </w:p>
        </w:tc>
      </w:tr>
    </w:tbl>
    <w:p>
      <w:pPr>
        <w:spacing w:after="200"/>
      </w:pPr>
    </w:p>
    <w:p>
      <w:pPr>
        <w:pStyle w:val="Heading3"/>
      </w:pPr>
      <w:r>
        <w:t xml:space="preserve">1.10.2 Anticoagulation Timing in AF-Related Stroke</w:t>
      </w:r>
    </w:p>
    <w:p>
      <w:pPr>
        <w:spacing w:after="120"/>
      </w:pPr>
      <w:r>
        <w:t xml:space="preserve">The 1-3-6-12 Rule remains the clinical framework, validated by observational data. Start DOACs: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Infarct Size / Event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Time to Start DOAC</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TIA or very small infarct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Day 1 (immediately after ruling out hemorrhage)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Low HT risk; high early recurrence risk in AF</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Small cortical/subcortical infarct (&lt;1.5 cm)</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Day 3</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Moderate HT risk; benefit outweighs risk by day 3</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Moderate infarct (MCA branch territory)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Day 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Allow some blood-brain barrier stabilization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Large infarct (&gt;1/3 MCA territory)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Day 12-14</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 HT risk from reperfusion into large infarct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Hemorrhagic transformation present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Delay additional 7-10 days; repeat imaging first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PH-2 type: delay further; discuss risk-benefit carefully</w:t>
            </w:r>
          </w:p>
        </w:tc>
      </w:tr>
    </w:tbl>
    <w:p>
      <w:pPr>
        <w:pStyle w:val="ListParagraph"/>
        <w:numPr>
          <w:ilvl w:val="0"/>
          <w:numId w:val="2"/>
        </w:numPr>
        <w:spacing w:after="60"/>
      </w:pPr>
      <w:r/>
      <w:r>
        <w:t xml:space="preserve">Apixaban (ARISTOTLE) or dabigatran 150 mg (RE-LY) show greatest absolute benefit vs warfarin in AF stroke prevention. Apixaban preferred if low body weight or mild CKD. Avoid dabigatran if CrCl &lt;30 mL/min.</w:t>
      </w:r>
    </w:p>
    <w:p>
      <w:pPr>
        <w:pStyle w:val="ListParagraph"/>
        <w:numPr>
          <w:ilvl w:val="0"/>
          <w:numId w:val="2"/>
        </w:numPr>
        <w:spacing w:after="60"/>
      </w:pPr>
      <w:r/>
      <w:r>
        <w:t xml:space="preserve">Left atrial appendage occlusion (surgical) at time of open heart surgery reduced stroke by 33% in AF patients. WATCHMAN LAA closure device approved for patients with DOAC contraindication.</w:t>
      </w:r>
    </w:p>
    <w:p>
      <w:pPr>
        <w:spacing w:after="200"/>
      </w:pPr>
    </w:p>
    <w:p>
      <w:pPr>
        <w:pStyle w:val="Heading3"/>
      </w:pPr>
      <w:r>
        <w:t xml:space="preserve">1.10.3 Lipid Management — Updated 2026 Targets</w:t>
      </w:r>
    </w:p>
    <w:p>
      <w:pPr>
        <w:pStyle w:val="ListParagraph"/>
        <w:numPr>
          <w:ilvl w:val="0"/>
          <w:numId w:val="2"/>
        </w:numPr>
        <w:spacing w:after="60"/>
      </w:pPr>
      <w:r/>
      <w:r>
        <w:t xml:space="preserve">Atorvastatin 40-80 mg or rosuvastatin 20-40 mg for ALL ischemic stroke patients regardless of baseline LDL (SPARCL, TST trials).</w:t>
      </w:r>
    </w:p>
    <w:p>
      <w:pPr>
        <w:pStyle w:val="ListParagraph"/>
        <w:numPr>
          <w:ilvl w:val="0"/>
          <w:numId w:val="2"/>
        </w:numPr>
        <w:spacing w:after="60"/>
      </w:pPr>
      <w:r/>
      <w:r>
        <w:t xml:space="preserve">&lt; 55 mg/dL for high-risk patients (atherosclerotic etiology); &lt; 70 mg/dL for others. TST trial (NEJM 2020): LDL &lt;70 vs &lt;100 in patients with prior stroke — reduced recurrence.</w:t>
      </w:r>
    </w:p>
    <w:p>
      <w:pPr>
        <w:pStyle w:val="ListParagraph"/>
        <w:numPr>
          <w:ilvl w:val="0"/>
          <w:numId w:val="2"/>
        </w:numPr>
        <w:spacing w:after="60"/>
      </w:pPr>
      <w:r/>
      <w:r>
        <w:t xml:space="preserve">If LDL not at goal on maximum tolerated statin: add ezetimibe (IMPROVE-IT, SHARP) then PCSK9 inhibitor (evolocumab — FOURIER; alirocumab — ODYSSEY OUTCOMES). PCSK9 inhibitors reduced stroke by 15-16% in ASCVD patients.</w:t>
      </w:r>
    </w:p>
    <w:p>
      <w:pPr>
        <w:pStyle w:val="ListParagraph"/>
        <w:numPr>
          <w:ilvl w:val="0"/>
          <w:numId w:val="2"/>
        </w:numPr>
        <w:spacing w:after="60"/>
      </w:pPr>
      <w:r/>
      <w:r>
        <w:t xml:space="preserve">If TG &gt;500 mg/dL: fibrates (fenofibrate) to prevent pancreatitis. For residual risk with TG 135-500 and LDL at goal: icosapentaenoic acid (IPE/VASCEPA, REDUCE-IT) reduces MACE by 25%; primarily studied in ASCVD patients.</w:t>
      </w:r>
    </w:p>
    <w:p>
      <w:pPr>
        <w:spacing w:after="200"/>
      </w:pPr>
    </w:p>
    <w:p>
      <w:pPr>
        <w:pStyle w:val="Heading3"/>
      </w:pPr>
      <w:r>
        <w:t xml:space="preserve">1.10.4 Blood Pressure — Post-Stroke Long-Term</w:t>
      </w:r>
    </w:p>
    <w:p>
      <w:pPr>
        <w:pStyle w:val="ListParagraph"/>
        <w:numPr>
          <w:ilvl w:val="0"/>
          <w:numId w:val="2"/>
        </w:numPr>
        <w:spacing w:after="60"/>
      </w:pPr>
      <w:r/>
      <w:r>
        <w:t xml:space="preserve">&lt;130/80 mmHg for most patients (AHA 2026). More intensive targets may benefit lacunar stroke patients with small vessel disease (SPS3: &lt;130 SBP reduced ICH by 59%).</w:t>
      </w:r>
    </w:p>
    <w:p>
      <w:pPr>
        <w:pStyle w:val="ListParagraph"/>
        <w:numPr>
          <w:ilvl w:val="0"/>
          <w:numId w:val="2"/>
        </w:numPr>
        <w:spacing w:after="60"/>
      </w:pPr>
      <w:r/>
      <w:r>
        <w:t xml:space="preserve">Resume prior antihypertensives at 24-72h. Initiate new therapy after neurological stabilization. Gradual reduction preferred — avoid acute drops.</w:t>
      </w:r>
    </w:p>
    <w:p>
      <w:pPr>
        <w:pStyle w:val="ListParagraph"/>
        <w:numPr>
          <w:ilvl w:val="0"/>
          <w:numId w:val="2"/>
        </w:numPr>
        <w:spacing w:after="60"/>
      </w:pPr>
      <w:r/>
      <w:r>
        <w:t xml:space="preserve">ACEi (perindopril, PROGRESS) + indapamide combination most evidence-based for stroke prevention. ARBs, CCBs also acceptable. Avoid beta-blockers as first-line unless heart failure/AF indication.</w:t>
      </w:r>
    </w:p>
    <w:p>
      <w:pPr>
        <w:spacing w:after="200"/>
      </w:pPr>
    </w:p>
    <w:p>
      <w:pPr>
        <w:pStyle w:val="Heading3"/>
      </w:pPr>
      <w:r>
        <w:t xml:space="preserve">1.10.5 Carotid Revascularization — Updated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Indication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Procedure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Timing</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Evidence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Symptomatic stenosis 70-99%</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CEA preferred; CAS in high surgical risk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Urgently within 48h-2 weeks (NASCET, pooled analysis)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NASCET: NNT=6 at 2 years for stroke/death; benefit maximal in first 2 weeks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Symptomatic stenosis 50-69%</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CEA (benefit moderate)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Within 2 weeks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NASCET: smaller absolute benefit (NNT=15)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Symptomatic stenosis &lt;50%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Medical management only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benefit from CEA (&lt;50% NASCET)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Asymptomatic stenosis &gt;70%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CEA or CAS (selected patients)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Elective; discuss risk vs benefit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CREST, ACT I: CAS non-inferior to CEA in standard risk; ACST-2: CAS vs CEA similar</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Simultaneous carotid + cardiac surgery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Staged vs simultaneous approach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Individualize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Simultaneous carries higher perioperative stroke risk; staged preferred in most centers</w:t>
            </w:r>
          </w:p>
        </w:tc>
      </w:tr>
    </w:tbl>
    <w:p>
      <w:pPr>
        <w:spacing w:after="200"/>
      </w:pPr>
    </w:p>
    <w:p>
      <w:pPr>
        <w:pStyle w:val="Heading3"/>
      </w:pPr>
      <w:r>
        <w:t xml:space="preserve">1.10.6 PFO Management — Current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860"/>
        <w:gridCol w:w="10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Device/Procedure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Result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CLOSE (2017, NEJM)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Cryptogenic stroke + PFO; age 16-60; high-risk PFO (large shunt or ASA)</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PFO closure (various) vs antiplatelet</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RRR 97% vs antiplatelet (0 vs 14 recurrences in 2yr follow-up)</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 over 5y</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REDUCE (2017, NEJM)</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Cryptogenic stroke + PFO; age 18-59; HELEX device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Closure vs aspirin alone</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HR 0.23 for recurrent ischemic stroke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~28 over 3.2y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RESPECT (2017, NEJM)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Cryptogenic stroke + PFO; age 18-60; Amplatzer device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Closure vs medical therapy</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HR 0.55 for recurrent stroke at 5 year</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~41 over 5y</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DEFENSE-PFO (2021)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Cryptogenic stroke + high-risk PFO (size &gt;2 mm or ASA)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Closure vs medical</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Recurrence: 0% vs 12.9% at 2 years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~8 over 2y</w:t>
            </w:r>
          </w:p>
        </w:tc>
      </w:tr>
    </w:tbl>
    <w:p>
      <w:pPr>
        <w:pStyle w:val="ListParagraph"/>
        <w:numPr>
          <w:ilvl w:val="0"/>
          <w:numId w:val="2"/>
        </w:numPr>
        <w:spacing w:after="60"/>
      </w:pPr>
      <w:r/>
      <w:r>
        <w:t xml:space="preserve">PFO closure in cryptogenic stroke patients age 18-60 with high-risk PFO features (large shunt, atrial septal aneurysm, RoPE score &gt;=7) is REASONABLE (Class IIa). After age 60: Class IIb; individualized decision.</w:t>
      </w:r>
    </w:p>
    <w:p>
      <w:pPr>
        <w:spacing w:after="200"/>
      </w:pPr>
    </w:p>
    <w:p>
      <w:pPr>
        <w:pStyle w:val="Heading3"/>
      </w:pPr>
      <w:r>
        <w:t xml:space="preserve">1.10.7 Antiplatelet Therapy — Landmark Trial Comparison</w:t>
      </w:r>
    </w:p>
    <w:tbl>
      <w:tblPr>
        <w:tblW w:type="dxa" w:w="15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000"/>
        <w:gridCol w:w="700"/>
        <w:gridCol w:w="2200"/>
        <w:gridCol w:w="1200"/>
        <w:gridCol w:w="2500"/>
        <w:gridCol w:w="2400"/>
        <w:gridCol w:w="24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Year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 (Inclusion)</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Arms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Duration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Primary Endpoint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Result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Lesson</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CHANCE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Minor ischemic stroke (NIHSS ≤3) or high-risk TIA (ABCD2 ≥4) within 24h; Chinese population</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5,170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ASA 75 mg/d + Clopidogrel 300 mg load → 75 mg/d × 21d then clopidogrel alone vs ASA 75 mg/d × 90d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90 days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Stroke recurrence at 90d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8.2% vs 11.7% (ARR 3.5%; RRR 32%; NNT 29)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DAPT × 21d significantly reduces early recurrence; established 21-day DAPT as standard for minor stroke/TIA</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POINT</w:t>
            </w:r>
          </w:p>
        </w:tc>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2018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Minor ischemic stroke (NIHSS ≤3) or high-risk TIA within 12h; US/international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4,881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Clopidogrel 600 mg load → 75 mg/d + ASA 50-325 mg vs ASA alone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90 days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Ischemic stroke, MI, or ischemic death at 90d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5.0% vs 6.5% (HR 0.75; NNT 67). Major hemorrhage: 0.9% vs 0.4% (HR 2.32)</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Benefit concentrated in days 0-7; excess bleeding beyond 21 days — confirmed 21-day DAPT limit</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CHANCE-2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2021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CYP2C19 LOF carriers; minor ischemic stroke or high-risk TIA within 24h; Chinese</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6,412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Ticagrelor 180 mg load → 90 mg BID + ASA × 21d, then ticagrelor alone vs Clopidogrel + ASA × 21d then clopidogrel alone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90 days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Stroke at 90d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23.0% vs 28.9% (ARR 5.9%; RRR 23%; NNT 17). Severe hemorrhage similar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 CYP2C19 LOF carriers (~60% East Asians), ticagrelor+ASA superior to clopidogrel+ASA. Recommend CYP2C19 genotyping; if LOF → ticagrelor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THALES</w:t>
            </w:r>
          </w:p>
        </w:tc>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2020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Mild-moderate AIS (NIHSS ≤5) or TIA within 24h; global</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11,016</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Ticagrelor 180 mg load → 90 mg BID + ASA 100 mg vs ASA 100 mg alone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30 days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Stroke or death at 30d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5.5% vs 6.6% (ARR 1.1%; HR 0.83; NNT 91). Intracranial hemorrhage 0.5% vs 0.1% (HR 3.99)</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Alternative to clopidogrel + ASA when CYP2C19 genotyping unavailable; note higher ICH risk compared to CHANCE-2</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SPS3</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Symptomatic lacunar stroke (small subcortical infarct)</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3,020</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ASA 325 mg + Clopidogrel 75 mg vs ASA 325 mg alone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Mean 3.4 yrs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Recurrent stroke (any type) per year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2.5%/yr vs 2.7%/yr (HR 0.92; NS). Major hemorrhage 2.1% vs 1.1%/yr (HR 1.97)</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Long-term DAPT for lacunar stroke: NO benefit, significant major bleeding risk. Avoid prolonged DAPT for small vessel disease</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PRoFESS</w:t>
            </w:r>
          </w:p>
        </w:tc>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2008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Ischemic stroke within 90 days</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20,332</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ASA 25 mg + ER-Dipyridamole 200 mg BID vs Clopidogrel 75 mg/d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Mean 2.5 yrs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Recurrent stroke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9.0% vs 8.8% (HR 1.01; non-inferiority not met formally)</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Aspirin/dipyridamole ER and clopidogrel are equivalent for secondary prevention; both are acceptable AHA Class I. Dipyridamole combination useful alternative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ESPS-2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1996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Ischemic stroke or TIA</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6,602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ASA 25 mg BID / Dipyridamole ER 200 mg BID / Combination / Placebo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 years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Stroke recurrence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Combination: RRR 37% vs placebo; RRR 23% vs ASA alone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Dipyridamole ER + ASA significantly superior to ASA alone for secondary prevention — basis for ASA/dipyridamole combination therapy</w:t>
            </w:r>
          </w:p>
        </w:tc>
      </w:tr>
    </w:tbl>
    <w:p>
      <w:pPr>
        <w:spacing w:after="200"/>
      </w:pPr>
    </w:p>
    <w:p>
      <w:pPr>
        <w:pStyle w:val="Heading3"/>
      </w:pPr>
      <w:r>
        <w:t xml:space="preserve">1.10.8 Oral Anticoagulation in AF-Related Stroke — DOAC Trial Comparison</w:t>
      </w:r>
    </w:p>
    <w:tbl>
      <w:tblPr>
        <w:tblW w:type="dxa" w:w="1310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700"/>
        <w:gridCol w:w="1500"/>
        <w:gridCol w:w="1000"/>
        <w:gridCol w:w="1200"/>
        <w:gridCol w:w="1800"/>
        <w:gridCol w:w="1800"/>
        <w:gridCol w:w="1500"/>
        <w:gridCol w:w="200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 (Drug)</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Year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DOAC Dose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Exclusion Key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Stroke/SE vs Warfarin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Major Bleed vs Warfarin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ICH vs Warfarin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Net Clinical Benefit</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RE-LY (Dabigatran 150 mg BID)</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2009</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18,113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Non-valvular AF; CHADS2 ≥1; age ≥18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150 mg BID OR 110 mg BID</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CrCl &lt;30 mL/min; severe valvular disease; recent stroke &lt;14d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1.11%/yr vs 1.69%/yr (RRR 34%; p&lt;0.001) SUPERIOR</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3.11%/yr vs 3.36%/yr (similar)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0.30% vs 0.74%/yr (RRR 59%)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Superior for stroke prevention; markedly less ICH; GI bleed increased. Reverse with idarucizumab</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RE-LY (Dabigatran 110 mg BID)</w:t>
            </w:r>
          </w:p>
        </w:tc>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2009</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18,113</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Same as above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110 mg BID</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Same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1.53% vs 1.69%/yr (non-inferior)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2.71% vs 3.36%/yr (RRR 19%; p&lt;0.001) LESS BLEED</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0.23% vs 0.74%/yr (RRR 69%)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Non-inferior for stroke; less major bleeding; markedly less ICH. Preferred: age ≥75 or high bleed risk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ROCKET-AF (Rivaroxaban)</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14,264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Non-valvular AF; CHADS2 ≥2 (mean 3.5)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 mg OD with evening meal (15 mg OD if CrCl 30-49)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CrCl &lt;30; significant liver disease; active bleeding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1.70% vs 2.15%/yr (non-inferior in PP; HR 0.88)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14.9% vs 14.5%/yr (HR 1.03; similar)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0.49% vs 1.24%/yr (RRR 60%)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OD dosing advantage. Non-inferior to warfarin; less ICH; higher GI bleeding. Reverse with andexanet alfa</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ARISTOTLE (Apixaban)</w:t>
            </w:r>
          </w:p>
        </w:tc>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2011</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18,201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Non-valvular AF; ≥1 AF risk factor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 mg BID (2.5 mg BID if ≥2: age ≥80, weight ≤60 kg, SCr ≥1.5 mg/dL)</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Severe valvular disease; CrCl &lt;25; active serious bleeding</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1.27% vs 1.60%/yr (RRR 21%; SUPERIOR p=0.01)</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2.13% vs 3.09%/yr (RRR 31%; SUPERIOR p&lt;0.001)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0.33% vs 0.80%/yr (RRR 58%)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Only DOAC superior to warfarin in ALL 3 outcomes: stroke/SE, major bleeding, AND all-cause mortality (3.52% vs 3.94%/yr; p=0.047). Preferred DOAC for most patients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ENGAGE AF-TIMI 48 (Edoxaban)</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2013</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21,105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Non-valvular AF; CHADS2 ≥2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60 mg OD (30 mg OD if CrCl 30-50, weight ≤60 kg, or P-gp inhibitor)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CrCl &gt;95 mL/min (reduced efficacy); active bleeding; hepatic disease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1.18% vs 1.50%/yr (non-inferior; HR 0.79)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2.75% vs 3.43%/yr (RRR 20%; SUPERIOR)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0.39% vs 0.85%/yr (RRR 54%)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OD dosing; non-inferior for stroke; less major bleeding; less ICH; reduced CV death. Avoid if CrCl &gt;95 (reduced efficacy)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DOAC selection guide: Apixaban (ARISTOTLE) = preferred agent — superior in all endpoints including mortality. Dabigatran 110 mg BID = preferred in age ≥75 or high bleed risk. Rivaroxaban = OD convenience. Edoxaban = OD, avoid CrCl &gt;95. All DOACs: markedly reduce intracranial hemorrhage vs warfarin (~60%). Reverse: dabigatran → idarucizumab; apixaban/rivaroxaban/edoxaban → andexanet alfa or 4F-PCC.</w:t>
            </w:r>
          </w:p>
        </w:tc>
      </w:tr>
    </w:tbl>
    <w:p>
      <w:pPr>
        <w:spacing w:after="200"/>
      </w:pPr>
    </w:p>
    <w:p>
      <w:pPr>
        <w:pStyle w:val="Heading3"/>
      </w:pPr>
      <w:r>
        <w:t xml:space="preserve">1.10.9 DOAC Timing After Cardioembolic Stroke — ELAN Trial 2023</w:t>
      </w:r>
    </w:p>
    <w:p>
      <w:pPr>
        <w:spacing w:after="120"/>
      </w:pPr>
      <w:r>
        <w:t xml:space="preserve">The optimal time to start anticoagulation after AF-related ischemic stroke balances early protection against thromboembolism vs risk of hemorrhagic transformation. The traditional 1-3-6-12 day rule was consensus-based. The ELAN trial (NEJM 2023) provides randomized evidence.</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700"/>
        <w:gridCol w:w="1500"/>
        <w:gridCol w:w="1800"/>
        <w:gridCol w:w="1500"/>
        <w:gridCol w:w="1800"/>
        <w:gridCol w:w="200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Year</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Population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Arms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Primary Outcome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Result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Implication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ELAN (NEJM 2023)</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2023</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AF-related AIS; all severities (minor NIHSS 0-5, moderate 6-15, major ≥16); within 48h</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Early arm: DOAC within 48h (minor/moderate) or day 6-7 (major) vs Late arm: day 3-4 (minor/moderate) or day 12-14 (major)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Death, ischemic stroke, SE, ICH, or major extracranial bleed at 30d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2.9% early vs 4.1% late (OR 0.70; 95%CI 0.44-1.11; p=0.13; non-significant trend)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Early initiation safe; non-significant trend favoring early start. Supports earlier anticoagulation for minor-moderate stroke. AHA 2026 endorses early start for minor/moderate AF stroke</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1-3-6-12 Rule (Consensus)</w:t>
            </w:r>
          </w:p>
        </w:tc>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Pre-2023</w:t>
            </w:r>
          </w:p>
        </w:tc>
        <w:tc>
          <w:tcPr>
            <w:tcW w:type="dxa" w:w="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Expert consensus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TIA → Day 0-1; Minor stroke (NIHSS ≤5) → Day 3; Moderate stroke (NIHSS 6-15) → Day 6; Large/severe stroke → Day 12</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Widely used standard pre-ELAN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Still applicable framework; ELAN suggests minor-moderate can safely start earlier (within 48h-7d); severe stroke still awaiting more data</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RAF-DOAC Registry</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2015</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1,029</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AF-related AIS; observational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DOAC start &lt;3d vs 3-14d vs &gt;14d</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Thromboembolism + hemorrhage at 90d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3-14d: 5.1%; &lt;3d: 9.6%; &gt;14d: 12.3%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Observational support for 3-14d window; ELAN refines this with RCT evidence</w:t>
            </w:r>
          </w:p>
        </w:tc>
      </w:tr>
    </w:tbl>
    <w:p>
      <w:pPr>
        <w:spacing w:after="200"/>
      </w:pPr>
    </w:p>
    <w:p>
      <w:pPr>
        <w:pStyle w:val="Heading3"/>
      </w:pPr>
      <w:r>
        <w:t xml:space="preserve">1.10.10 DOAC vs Aspirin in ESUS — Trial Comparison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600"/>
        <w:gridCol w:w="1600"/>
        <w:gridCol w:w="1400"/>
        <w:gridCol w:w="800"/>
        <w:gridCol w:w="2200"/>
        <w:gridCol w:w="2200"/>
      </w:tblGrid>
      <w:t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Trial</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Drug</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Inclusion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Exclusion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Duration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Result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Conclusion</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NAVIGATE-ESUS (2018, NEJM)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Rivaroxaban 15 mg OD</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7,213</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ESUS; age ≥50; within 3 months of stroke; AF excluded by ≥24h Holter</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Active bleeding; CrCl &lt;30; prior ICH; prior AF diagnosis; valvulopathy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Median 11 months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Stroke 4.7% vs 4.7%/yr (HR 1.07; NS). Major bleeding 1.9% vs 0.7%/yr (HR 2.72). TRIAL STOPPED EARLY for safety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benefit from rivaroxaban in broad ESUS. More major and fatal bleeding. Do NOT use rivaroxaban for unselected ESUS.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RE-SPECT ESUS (2019, NEJM)</w:t>
            </w:r>
          </w:p>
        </w:tc>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Dabigatran 150/110 mg BID</w:t>
            </w:r>
          </w:p>
        </w:tc>
        <w:tc>
          <w:tcPr>
            <w:tcW w:type="dxa" w:w="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5,390</w:t>
            </w:r>
          </w:p>
        </w:tc>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ESUS; age ≥60 OR age 18-59 with additional risk; AF excluded ≥20h Holter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Prior AF; AF-causing valvulopathy; CrCl &lt;30; high bleed risk</w:t>
            </w:r>
          </w:p>
        </w:tc>
        <w:tc>
          <w:tcPr>
            <w:tcW w:type="dxa" w:w="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Median 19 months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Stroke 4.1% vs 4.8%/yr (HR 0.85; 95%CI 0.69-1.03; NS). Major bleeding similar (1.7% vs 1.4%)</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 significant benefit for dabigatran vs aspirin in unselected ESUS. Subgroup analysis: trend toward benefit in younger patients with occult AF risk</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ARCADIA (2024, NEJM)</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Apixaban 5 mg BID</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~1,000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ESUS + atrial cardiopathy markers: PTFV1 &gt;5,000 µV·ms OR NT-proBNP ≥250 pg/mL OR LA diameter index ≥3.0 cm/m2; within 6 months of stroke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Known AF; high bleeding risk; valvulopathy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~1.8 years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Recurrent stroke: apixaban HR 0.55 (RRR 45%) in primary analysis; p&lt;0.05. Major bleed similar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FIRST POSITIVE ESUS anticoagulation trial — key is PATIENT SELECTION: biomarker-confirmed atrial cardiopathy (subclinical AF mechanism). Apixaban beneficial in this phenotype of ESUS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ESUS Management Algorithm</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ALL ESUS → Aspirin + statin + aggressive RF control + prolonged cardiac monitoring (≥30 days ambulatory ECG)</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AF detected on monitoring → DOAC immediately (apixaban preferred)</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Atrial cardiopathy biomarkers positive (PTFV1 &gt;5,000 µV·ms, NT-proBNP ≥250 pg/mL, LA dilation) → Consider apixaban per ARCADIA 2024</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High-risk PFO (large shunt/ASA) age &lt;60 → Device closure (Class IIa, AHA 2026)</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Hypercoagulable state confirmed → Anticoagulation (type depends on thrombophilia)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Cryptogenic without above features → Aspirin alone; NO role for empiric DOAC in unselected ESUS</w:t>
            </w:r>
          </w:p>
        </w:tc>
      </w:tr>
    </w:tbl>
    <w:p>
      <w:pPr>
        <w:spacing w:after="200"/>
      </w:pPr>
    </w:p>
    <w:p>
      <w:pPr>
        <w:pStyle w:val="Heading2"/>
      </w:pPr>
      <w:r>
        <w:t xml:space="preserve">1.11 Stroke Complications — Systematic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80"/>
        <w:gridCol w:w="38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Complication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Incidence</w:t>
            </w:r>
          </w:p>
        </w:tc>
        <w:tc>
          <w:tcPr>
            <w:tcW w:type="dxa" w:w="2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Prevention</w:t>
            </w:r>
          </w:p>
        </w:tc>
        <w:tc>
          <w:tcPr>
            <w:tcW w:type="dxa" w:w="3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Management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Aspiration pneumonia</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10-30%</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Dysphagia screening; NPO until cleared; HOB &gt;30 degrees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Empiric antibiotics (anaerobic coverage); speech pathology; early enteral nutrition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Deep vein thrombosis / PE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10-40% (symptomatic &lt;5%)</w:t>
            </w:r>
          </w:p>
        </w:tc>
        <w:tc>
          <w:tcPr>
            <w:tcW w:type="dxa" w:w="2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Intermittent pneumatic compression (IPC) from admission; CLOTS 3 trial</w:t>
            </w:r>
          </w:p>
        </w:tc>
        <w:tc>
          <w:tcPr>
            <w:tcW w:type="dxa" w:w="38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LMWH or UFH after 24h if no hemorrhagic transformation; IPC mandatory if anticoagulation delayed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Urinary tract infection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15-25%</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Avoid indwelling catheter; remove as soon as able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Treat based on culture; clean intermittent catheterization preferred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Cardiac complications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15-20%</w:t>
            </w:r>
          </w:p>
        </w:tc>
        <w:tc>
          <w:tcPr>
            <w:tcW w:type="dxa" w:w="2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Continuous ECG monitoring x72h; troponin, BNP</w:t>
            </w:r>
          </w:p>
        </w:tc>
        <w:tc>
          <w:tcPr>
            <w:tcW w:type="dxa" w:w="38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Arrhythmia (AF new-onset in ~5%); neurogenic stunned myocardium; Takotsubo cardiomyopathy (insular cortex strokes)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Post-stroke seizures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3-5% early; 10% late (2-3 years)</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Prophylactic ASM not recommended (ESTAT, PREVAIL trials)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Levetiracetam preferred (no enzyme induction); avoid phenytoin (worse outcomes in stroke)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Post-stroke depression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30-40%</w:t>
            </w:r>
          </w:p>
        </w:tc>
        <w:tc>
          <w:tcPr>
            <w:tcW w:type="dxa" w:w="2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SSRI NOT proven to prevent depression (FOCUS trial); psychological support</w:t>
            </w:r>
          </w:p>
        </w:tc>
        <w:tc>
          <w:tcPr>
            <w:tcW w:type="dxa" w:w="38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SSRI (escitalopram, sertraline); behavioral therapy; screen with PHQ-9</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Central post-stroke pain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5-10%</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prevention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Amitriptyline, duloxetine, pregabalin, lamotrigine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Spasticity</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20-30%</w:t>
            </w:r>
          </w:p>
        </w:tc>
        <w:tc>
          <w:tcPr>
            <w:tcW w:type="dxa" w:w="24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Early physiotherapy; positioning</w:t>
            </w:r>
          </w:p>
        </w:tc>
        <w:tc>
          <w:tcPr>
            <w:tcW w:type="dxa" w:w="38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Oral baclofen, tizanidine; botulinum toxin injections; intrathecal baclofen for severe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Cognitive impairment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25-35%</w:t>
            </w:r>
          </w:p>
        </w:tc>
        <w:tc>
          <w:tcPr>
            <w:tcW w:type="dxa" w:w="2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Optimize vascular risk factors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Cognitive rehabilitation; cholinesterase inhibitors if post-stroke dementia (limited evidence)</w:t>
            </w:r>
          </w:p>
        </w:tc>
      </w:tr>
    </w:tbl>
    <w:p>
      <w:pPr>
        <w:spacing w:after="200"/>
      </w:pPr>
    </w:p>
    <w:p>
      <w:pPr>
        <w:pStyle w:val="Heading2"/>
      </w:pPr>
      <w:r>
        <w:t xml:space="preserve">1.12 Stroke Mimics and Chameleons</w:t>
      </w:r>
    </w:p>
    <w:p>
      <w:pPr>
        <w:pStyle w:val="Heading3"/>
      </w:pPr>
      <w:r>
        <w:t xml:space="preserve">1.12.1 Stroke Mimics (Non-Stroke Presenting as Stroke)</w:t>
      </w:r>
    </w:p>
    <w:p>
      <w:pPr>
        <w:spacing w:after="120"/>
      </w:pPr>
      <w:r>
        <w:t xml:space="preserve">Stroke mimics account for 10-30% of emergency stroke activations. Administering thrombolysis in mimics is generally SAFE (sICH rate &lt;1%), so the risk of thrombolysis in a mimic is much lower than the risk of withholding tPA from a true stroke.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4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Mimic</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Distinguishing Features</w:t>
            </w:r>
          </w:p>
        </w:tc>
        <w:tc>
          <w:tcPr>
            <w:tcW w:type="dxa" w:w="4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Diagnostic Approach</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Hypoglycemia</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Rapid reversal with glucose; bilateral or fluctuating deficits; diabetes history</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Bedside glucose first — ALWAYS. Glucose &lt;50 mg/dL can produce focal deficits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Complex migraine (hemiplegic)</w:t>
            </w:r>
          </w:p>
        </w:tc>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Positive symptom march; young; prior episodes; CACNA1A/ATP1A2/SCN1A mutations; MRI normal or DWI signal</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History; family history; genetic testing; MR spectroscopy in FHM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Todd paralysis (post-ictal)</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Witnessed seizure; focal weakness resolving over minutes-hours; EEG abnormal</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EEG; history; MRI (post-ictal FLAIR may show gyral swelling and enhancement)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Brain tumor / abscess</w:t>
            </w:r>
          </w:p>
        </w:tc>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Subacute onset; headache; MRI ring-enhancing (abscess/GBM) or heterogeneous mass</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with contrast; MR spectroscopy; DWI (abscess: restricted diffusion in core)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Functional neurological disorder</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Inconsistent findings; Hoover sign; la belle indifference; young women; stressors; no objective imaging</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Clinical diagnosis; fMRI research; neuropsychology; CBT treatment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Wernicke encephalopathy</w:t>
            </w:r>
          </w:p>
        </w:tc>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Altered consciousness; ocular motor abnormalities (ophthalmoplegia, nystagmus); ataxia; thiamine deficiency risk</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mammillary bodies, periaqueductal gray FLAIR. Empiric thiamine 500 mg IV x3 days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MS relapse</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Young; prior episodes; multinodal lesions; DWI usually negative (lacks restricted diffusion unless tumefactive)</w:t>
            </w:r>
          </w:p>
        </w:tc>
        <w:tc>
          <w:tcPr>
            <w:tcW w:type="dxa" w:w="4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 with T1 gadolinium (active lesion enhances); CSF OCBs; prior MRI history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Hypertensive encephalopathy / PRES</w:t>
            </w:r>
          </w:p>
        </w:tc>
        <w:tc>
          <w:tcPr>
            <w:tcW w:type="dxa" w:w="2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BP often &gt;180/120; bilateral posterior predominant edema; seizures; visual disturbance</w:t>
            </w:r>
          </w:p>
        </w:tc>
        <w:tc>
          <w:tcPr>
            <w:tcW w:type="dxa" w:w="44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FLAIR: bilateral posterior cortical/subcortical edema; BP control is treatment</w:t>
            </w:r>
          </w:p>
        </w:tc>
      </w:tr>
    </w:tbl>
    <w:p>
      <w:pPr>
        <w:spacing w:after="200"/>
      </w:pPr>
    </w:p>
    <w:p>
      <w:pPr>
        <w:pStyle w:val="Heading3"/>
      </w:pPr>
      <w:r>
        <w:t xml:space="preserve">1.12.2 Stroke Chameleons (Stroke Presenting as Non-Stroke)</w:t>
      </w:r>
    </w:p>
    <w:p>
      <w:pPr>
        <w:spacing w:after="120"/>
      </w:pPr>
      <w:r>
        <w:t xml:space="preserve">Stroke chameleons are strokes that mimic other conditions, leading to delayed diagnosis. High vigilance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Presentation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Actual Stroke Territory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Why Missed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Isolated vertigo/dizziness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PICA (Wallenberg) or AICA; lateral medulla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Diagnosed as labyrinthitis/BPPV; HEAD-IMPULSE test normal in central vertigo</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Acute confusion / delirium</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Dominant temporal lobe; thalamus; anterior cingulate (ACA)</w:t>
            </w:r>
          </w:p>
        </w:tc>
        <w:tc>
          <w:tcPr>
            <w:tcW w:type="dxa" w:w="4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Attributed to metabolic or psychiatric cause; no apparent motor deficit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Syncope / transient LOC</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Top-of-basilar; bilateral thalamic perforators; posterior circulation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Attributed to vasovagal; cardiac monitoring negative; MRI needed</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Isolated limb ataxia</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SCA; PICA; lateral pontine lacune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Diagnosed as alcohol intoxication or peripheral neuropathy; MRI posterior fossa required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Monoparesis (arm or leg only)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ACA (leg monoparesis); MCA cortical (arm monoplegia)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Attributed to orthopedic or peripheral nerve cause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Acute psychiatric symptoms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Right frontal/temporal lobe (non-dominant); orbitofrontal cortex</w:t>
            </w:r>
          </w:p>
        </w:tc>
        <w:tc>
          <w:tcPr>
            <w:tcW w:type="dxa" w:w="4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Behavioral change attributed to acute psychiatric crisis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Hiccups / nausea alone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Medullary (PICA territory); also NMOSD area postrema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Treated for GI etiology; MRI posterior fossa resolves diagnosis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HINTS examination (Head Impulse, Nystagmus, Test of Skew) has higher sensitivity than early MRI for posterior circulation stroke in patients with acute vestibular syndrome. Normal head impulse (HINTSnormal = central) + direction-changing nystagmus + skew deviation = central cause (stroke) until proven otherwise. The combination is &gt;95% sensitive for brainstem/cerebellar stroke, superior to initial DWI (which may be negative in first 24-48h in brainstem).</w:t>
            </w:r>
          </w:p>
        </w:tc>
      </w:tr>
    </w:tbl>
    <w:p>
      <w:pPr>
        <w:spacing w:after="200"/>
      </w:pPr>
    </w:p>
    <w:p>
      <w:pPr>
        <w:pStyle w:val="Heading2"/>
      </w:pPr>
      <w:r>
        <w:t xml:space="preserve">1.13 Special Populations</w:t>
      </w:r>
    </w:p>
    <w:p>
      <w:pPr>
        <w:pStyle w:val="Heading3"/>
      </w:pPr>
      <w:r>
        <w:t xml:space="preserve">1.13.1 Young Stroke (Age &lt;45-50 Years)</w:t>
      </w:r>
    </w:p>
    <w:p>
      <w:pPr>
        <w:spacing w:after="120"/>
      </w:pPr>
      <w:r>
        <w:t xml:space="preserve">Young stroke accounts for 10-15% of all ischemic strokes but is disproportionately impactful due to productive life-years lost. Extended workup beyond standard protocols is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Etiology Category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Specific Causes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Additional Workup</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 Considerations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Cardiac embolism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PFO, AF (paroxysmal), cardiomyopathy, endocarditis, cardiac tumors (myxoma)</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TEE; prolonged Holter; implantable loop recorder; cardiac MRI</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PFO closure if high-risk; DOAC for AF</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Arterial disease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Dissection, moyamoya, fibromuscular dysplasia, vasculitis, premature atherosclerosis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CTA/MRA neck and brain; IVUS; conventional DSA for FMD</w:t>
            </w:r>
          </w:p>
        </w:tc>
        <w:tc>
          <w:tcPr>
            <w:tcW w:type="dxa" w:w="3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Antiplatelet or anticoagulation x6 months for dissection; recanalization for moyamoya</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Prothrombotic states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APS, Factor V Leiden, prothrombin mutation, Protein C/S/antithrombin deficiency, MTHFR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Hypercoagulable panel (timing important — acute phase alters results); send after 6 weeks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Anticoagulation for APS; uncertain benefit for isolated thrombophilia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Genetic/hereditary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CADASIL (NOTCH3), Fabry disease (alpha-GAL A), MELAS (mitochondrial), CARASIL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NOTCH3 mutation; lysosomal enzyme panel; mitochondrial DNA; skin biopsy</w:t>
            </w:r>
          </w:p>
        </w:tc>
        <w:tc>
          <w:tcPr>
            <w:tcW w:type="dxa" w:w="3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Fabry: enzyme replacement therapy; no specific stroke therapy for others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Substance use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Cocaine, amphetamines, MDMA, heroin (adulterants); anabolic steroids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Urine/blood toxicology; vasculitis screen (cocaine-levamisole)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Cessation; supportive care; no specific antidote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Migrainous infarction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Migraine with aura + acute ischemia in relevant territory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Exclude other causes; clinical-imaging correlation; genetic testing (CADASIL)</w:t>
            </w:r>
          </w:p>
        </w:tc>
        <w:tc>
          <w:tcPr>
            <w:tcW w:type="dxa" w:w="3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Preventive migraine therapy; avoid vasoconstrictive agents</w:t>
            </w:r>
          </w:p>
        </w:tc>
      </w:tr>
    </w:tbl>
    <w:p>
      <w:pPr>
        <w:spacing w:after="200"/>
      </w:pPr>
    </w:p>
    <w:p>
      <w:pPr>
        <w:pStyle w:val="Heading3"/>
      </w:pPr>
      <w:r>
        <w:t xml:space="preserve">1.13.2 Stroke in Pregnancy and Puerperium</w:t>
      </w:r>
    </w:p>
    <w:p>
      <w:pPr>
        <w:pStyle w:val="ListParagraph"/>
        <w:numPr>
          <w:ilvl w:val="0"/>
          <w:numId w:val="2"/>
        </w:numPr>
        <w:spacing w:after="60"/>
      </w:pPr>
      <w:r/>
      <w:r>
        <w:t xml:space="preserve">Stroke risk is 3x higher in pregnancy and 9x higher post-partum (especially first 6 weeks). Incidence 30-80/100,000 deliveries.</w:t>
      </w:r>
    </w:p>
    <w:p>
      <w:pPr>
        <w:pStyle w:val="ListParagraph"/>
        <w:numPr>
          <w:ilvl w:val="0"/>
          <w:numId w:val="2"/>
        </w:numPr>
        <w:spacing w:after="60"/>
      </w:pPr>
      <w:r/>
      <w:r>
        <w:t xml:space="preserve">CVT (puerperium), RCVS (postpartum), peripartum cardiomyopathy, eclampsia/PRES, amniotic fluid embolism, thrombophilia in pregnancy.</w:t>
      </w:r>
    </w:p>
    <w:p>
      <w:pPr>
        <w:pStyle w:val="ListParagraph"/>
        <w:numPr>
          <w:ilvl w:val="0"/>
          <w:numId w:val="2"/>
        </w:numPr>
        <w:spacing w:after="60"/>
      </w:pPr>
      <w:r/>
      <w:r>
        <w:t xml:space="preserve">Class IIb in AHA 2026 — tPA does not cross placenta (large molecule). Risk of maternal hemorrhage must be discussed. Can be considered for life-threatening stroke within tPA window after multidisciplinary discussion with OB and neurology.</w:t>
      </w:r>
    </w:p>
    <w:p>
      <w:pPr>
        <w:pStyle w:val="ListParagraph"/>
        <w:numPr>
          <w:ilvl w:val="0"/>
          <w:numId w:val="2"/>
        </w:numPr>
        <w:spacing w:after="60"/>
      </w:pPr>
      <w:r/>
      <w:r>
        <w:t xml:space="preserve">Class IIa — reasonable if standard eligibility criteria met. Radiation exposure from fluoroscopy is a concern but manageable with shielding.</w:t>
      </w:r>
    </w:p>
    <w:p>
      <w:pPr>
        <w:pStyle w:val="ListParagraph"/>
        <w:numPr>
          <w:ilvl w:val="0"/>
          <w:numId w:val="2"/>
        </w:numPr>
        <w:spacing w:after="60"/>
      </w:pPr>
      <w:r/>
      <w:r>
        <w:t xml:space="preserve">LMWH preferred (does not cross placenta); warfarin teratogenic in first trimester; DOACs contraindicated (pregnancy safety data lacking).</w:t>
      </w:r>
    </w:p>
    <w:p>
      <w:pPr>
        <w:spacing w:after="200"/>
      </w:pPr>
    </w:p>
    <w:p>
      <w:pPr>
        <w:pStyle w:val="Heading3"/>
      </w:pPr>
      <w:r>
        <w:t xml:space="preserve">1.13.3 COVID-19-Associated Stroke</w:t>
      </w:r>
    </w:p>
    <w:p>
      <w:pPr>
        <w:pStyle w:val="ListParagraph"/>
        <w:numPr>
          <w:ilvl w:val="0"/>
          <w:numId w:val="2"/>
        </w:numPr>
        <w:spacing w:after="60"/>
      </w:pPr>
      <w:r>
        <w:t xml:space="preserve">COVID-19 is associated with a hypercoagulable state due to endothelial injury, platelet activation, cytokine storm, and antiphospholipid antibody formation.</w:t>
      </w:r>
    </w:p>
    <w:p>
      <w:pPr>
        <w:pStyle w:val="ListParagraph"/>
        <w:numPr>
          <w:ilvl w:val="0"/>
          <w:numId w:val="2"/>
        </w:numPr>
        <w:spacing w:after="60"/>
      </w:pPr>
      <w:r/>
      <w:r>
        <w:t xml:space="preserve">Large vessel ischemic stroke (often multiterritory), microvascular thrombosis, CSVT. Occurs in ~1-3% of hospitalized COVID-19 patients.</w:t>
      </w:r>
    </w:p>
    <w:p>
      <w:pPr>
        <w:pStyle w:val="ListParagraph"/>
        <w:numPr>
          <w:ilvl w:val="0"/>
          <w:numId w:val="2"/>
        </w:numPr>
        <w:spacing w:after="60"/>
      </w:pPr>
      <w:r/>
      <w:r>
        <w:t xml:space="preserve">COVID-19 promotes thrombus via endothelial ACE2 receptor binding → IL-6, TNF-alpha, complement activation → prothrombotic milieu.</w:t>
      </w:r>
    </w:p>
    <w:p>
      <w:pPr>
        <w:pStyle w:val="ListParagraph"/>
        <w:numPr>
          <w:ilvl w:val="0"/>
          <w:numId w:val="2"/>
        </w:numPr>
        <w:spacing w:after="60"/>
      </w:pPr>
      <w:r/>
      <w:r>
        <w:t xml:space="preserve">Standard acute stroke management; prophylactic anticoagulation for hospitalized COVID patients (ATTACC, ACTIV-4a); therapeutic anticoagulation if LVO or confirmed thrombosis.</w:t>
      </w:r>
    </w:p>
    <w:p>
      <w:pPr>
        <w:pStyle w:val="ListParagraph"/>
        <w:numPr>
          <w:ilvl w:val="0"/>
          <w:numId w:val="2"/>
        </w:numPr>
        <w:spacing w:after="60"/>
      </w:pPr>
      <w:r/>
      <w:r>
        <w:t xml:space="preserve">Rare complication of adenoviral COVID vaccines (AZ ChAdOx1, J&amp;J Ad26). Anti-PF4 antibodies cause platelet activation and CVT/CSVT. Incidence 1/100,000 doses. Treatment: IVIG, argatroban, fondaparinux — AVOID heparin (worsens platelet activation). Replace with mRNA vaccines.</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Powers WJ et al. 2019 AHA/ASA Guidelines for Early Management of Acute Ischemic Stroke. Stroke. 2019;50:e344-418.</w:t>
            </w:r>
          </w:p>
          <w:p>
            <w:pPr>
              <w:spacing w:after="60"/>
              <w:ind w:left="200"/>
            </w:pPr>
            <w:r>
              <w:rPr>
                <w:b/>
                <w:bCs/>
                <w:color w:val="1B5E20"/>
                <w:sz w:val="19"/>
                <w:szCs w:val="19"/>
              </w:rPr>
              <w:t xml:space="preserve">[G2] </w:t>
            </w:r>
            <w:r>
              <w:rPr>
                <w:i/>
                <w:iCs/>
                <w:sz w:val="19"/>
                <w:szCs w:val="19"/>
              </w:rPr>
              <w:t xml:space="preserve">Kleindorfer DO et al. 2021 Guideline for the Prevention of Stroke in Patients With Stroke and TIA. Stroke. 2021;52:e364-467.</w:t>
            </w:r>
          </w:p>
          <w:p>
            <w:pPr>
              <w:spacing w:after="60"/>
              <w:ind w:left="200"/>
            </w:pPr>
            <w:r>
              <w:rPr>
                <w:b/>
                <w:bCs/>
                <w:color w:val="1B5E20"/>
                <w:sz w:val="19"/>
                <w:szCs w:val="19"/>
              </w:rPr>
              <w:t xml:space="preserve">[G3] </w:t>
            </w:r>
            <w:r>
              <w:rPr>
                <w:i/>
                <w:iCs/>
                <w:sz w:val="19"/>
                <w:szCs w:val="19"/>
              </w:rPr>
              <w:t xml:space="preserve">AHA/ASA 2026 Acute Ischemic Stroke Guideline Update. Stroke. 2025. DOI:10.1161/STROKEAHA.125.053826. Key updates: tenecteplase FDA-approved, ASPECTS 3-5 Class IIa EVT, basilar EVT Class I.</w:t>
            </w:r>
          </w:p>
          <w:p>
            <w:pPr>
              <w:spacing w:after="60"/>
              <w:ind w:left="200"/>
            </w:pPr>
            <w:r>
              <w:rPr>
                <w:b/>
                <w:bCs/>
                <w:color w:val="0D47A1"/>
                <w:sz w:val="19"/>
                <w:szCs w:val="19"/>
              </w:rPr>
              <w:t xml:space="preserve">[T4] </w:t>
            </w:r>
            <w:r>
              <w:rPr>
                <w:b/>
                <w:bCs/>
                <w:sz w:val="19"/>
                <w:szCs w:val="19"/>
              </w:rPr>
              <w:t xml:space="preserve">ATTEST-2 (2023): </w:t>
            </w:r>
            <w:r>
              <w:rPr>
                <w:sz w:val="19"/>
                <w:szCs w:val="19"/>
              </w:rPr>
              <w:t xml:space="preserve">Khatri P et al. Tenecteplase vs alteplase for AIS within 4.5h: non-inferior for modified Rankin ≤1 (41% vs 43%). Lancet Neurol. 2023.</w:t>
            </w:r>
          </w:p>
          <w:p>
            <w:pPr>
              <w:spacing w:after="60"/>
              <w:ind w:left="200"/>
            </w:pPr>
            <w:r>
              <w:rPr>
                <w:b/>
                <w:bCs/>
                <w:color w:val="0D47A1"/>
                <w:sz w:val="19"/>
                <w:szCs w:val="19"/>
              </w:rPr>
              <w:t xml:space="preserve">[T5] </w:t>
            </w:r>
            <w:r>
              <w:rPr>
                <w:b/>
                <w:bCs/>
                <w:sz w:val="19"/>
                <w:szCs w:val="19"/>
              </w:rPr>
              <w:t xml:space="preserve">TRACE-III (2023): </w:t>
            </w:r>
            <w:r>
              <w:rPr>
                <w:sz w:val="19"/>
                <w:szCs w:val="19"/>
              </w:rPr>
              <w:t xml:space="preserve">NEJM 2023;388:2333-2345. Tenecteplase 0.25 mg/kg in 4.5-24h posterior circulation stroke with perfusion mismatch: 33.0% vs 24.2% favorable outcome (mRS 0-1). NNT=11.</w:t>
            </w:r>
          </w:p>
          <w:p>
            <w:pPr>
              <w:spacing w:after="60"/>
              <w:ind w:left="200"/>
            </w:pPr>
            <w:r>
              <w:rPr>
                <w:b/>
                <w:bCs/>
                <w:color w:val="0D47A1"/>
                <w:sz w:val="19"/>
                <w:szCs w:val="19"/>
              </w:rPr>
              <w:t xml:space="preserve">[T6] </w:t>
            </w:r>
            <w:r>
              <w:rPr>
                <w:b/>
                <w:bCs/>
                <w:sz w:val="19"/>
                <w:szCs w:val="19"/>
              </w:rPr>
              <w:t xml:space="preserve">WAKE-UP (2018): </w:t>
            </w:r>
            <w:r>
              <w:rPr>
                <w:sz w:val="19"/>
                <w:szCs w:val="19"/>
              </w:rPr>
              <w:t xml:space="preserve">Thomalla G et al. NEJM 2018;379:611-22. IV alteplase for unknown-onset stroke with DWI+/FLAIR- mismatch: 53.3% vs 41.8% favorable outcome (mRS 0-1). NNT=9.</w:t>
            </w:r>
          </w:p>
          <w:p>
            <w:pPr>
              <w:spacing w:after="60"/>
              <w:ind w:left="200"/>
            </w:pPr>
            <w:r>
              <w:rPr>
                <w:b/>
                <w:bCs/>
                <w:color w:val="0D47A1"/>
                <w:sz w:val="19"/>
                <w:szCs w:val="19"/>
              </w:rPr>
              <w:t xml:space="preserve">[T7] </w:t>
            </w:r>
            <w:r>
              <w:rPr>
                <w:b/>
                <w:bCs/>
                <w:sz w:val="19"/>
                <w:szCs w:val="19"/>
              </w:rPr>
              <w:t xml:space="preserve">EXTEND (2019): </w:t>
            </w:r>
            <w:r>
              <w:rPr>
                <w:sz w:val="19"/>
                <w:szCs w:val="19"/>
              </w:rPr>
              <w:t xml:space="preserve">Ma H et al. NEJM 2019;380:1795-803. IV alteplase 4.5-9h with perfusion mismatch: 35.4% vs 29.5% excellent outcome. Increased sICH (6.2% vs 0.9%).</w:t>
            </w:r>
          </w:p>
          <w:p>
            <w:pPr>
              <w:spacing w:after="60"/>
              <w:ind w:left="200"/>
            </w:pPr>
            <w:r>
              <w:rPr>
                <w:b/>
                <w:bCs/>
                <w:color w:val="0D47A1"/>
                <w:sz w:val="19"/>
                <w:szCs w:val="19"/>
              </w:rPr>
              <w:t xml:space="preserve">[T8] </w:t>
            </w:r>
            <w:r>
              <w:rPr>
                <w:b/>
                <w:bCs/>
                <w:sz w:val="19"/>
                <w:szCs w:val="19"/>
              </w:rPr>
              <w:t xml:space="preserve">MR CLEAN (2015): </w:t>
            </w:r>
            <w:r>
              <w:rPr>
                <w:sz w:val="19"/>
                <w:szCs w:val="19"/>
              </w:rPr>
              <w:t xml:space="preserve">Berkhemer OA et al. NEJM 2015;372:11-20. EVT vs medical in anterior circulation LVO ≤6h: mRS 0-2 32.6% vs 19.1%. First positive EVT trial, triggered revolution in stroke care.</w:t>
            </w:r>
          </w:p>
          <w:p>
            <w:pPr>
              <w:spacing w:after="60"/>
              <w:ind w:left="200"/>
            </w:pPr>
            <w:r>
              <w:rPr>
                <w:b/>
                <w:bCs/>
                <w:color w:val="0D47A1"/>
                <w:sz w:val="19"/>
                <w:szCs w:val="19"/>
              </w:rPr>
              <w:t xml:space="preserve">[T9] </w:t>
            </w:r>
            <w:r>
              <w:rPr>
                <w:b/>
                <w:bCs/>
                <w:sz w:val="19"/>
                <w:szCs w:val="19"/>
              </w:rPr>
              <w:t xml:space="preserve">DAWN (2018): </w:t>
            </w:r>
            <w:r>
              <w:rPr>
                <w:sz w:val="19"/>
                <w:szCs w:val="19"/>
              </w:rPr>
              <w:t xml:space="preserve">Nogueira RG et al. NEJM 2018;378:11-21. EVT 6-24h with perfusion-clinical mismatch: 49% vs 13% mRS 0-2 at 90d. NNT=2.8. Landmark wake-up stroke EVT trial.</w:t>
            </w:r>
          </w:p>
          <w:p>
            <w:pPr>
              <w:spacing w:after="60"/>
              <w:ind w:left="200"/>
            </w:pPr>
            <w:r>
              <w:rPr>
                <w:b/>
                <w:bCs/>
                <w:color w:val="0D47A1"/>
                <w:sz w:val="19"/>
                <w:szCs w:val="19"/>
              </w:rPr>
              <w:t xml:space="preserve">[T10] </w:t>
            </w:r>
            <w:r>
              <w:rPr>
                <w:b/>
                <w:bCs/>
                <w:sz w:val="19"/>
                <w:szCs w:val="19"/>
              </w:rPr>
              <w:t xml:space="preserve">DEFUSE-3 (2018): </w:t>
            </w:r>
            <w:r>
              <w:rPr>
                <w:sz w:val="19"/>
                <w:szCs w:val="19"/>
              </w:rPr>
              <w:t xml:space="preserve">Albers GW et al. NEJM 2018;378:708-18. EVT 6-16h with imaging mismatch: mRS 0-2 45% vs 17%.</w:t>
            </w:r>
          </w:p>
          <w:p>
            <w:pPr>
              <w:spacing w:after="60"/>
              <w:ind w:left="200"/>
            </w:pPr>
            <w:r>
              <w:rPr>
                <w:b/>
                <w:bCs/>
                <w:color w:val="0D47A1"/>
                <w:sz w:val="19"/>
                <w:szCs w:val="19"/>
              </w:rPr>
              <w:t xml:space="preserve">[T11] </w:t>
            </w:r>
            <w:r>
              <w:rPr>
                <w:b/>
                <w:bCs/>
                <w:sz w:val="19"/>
                <w:szCs w:val="19"/>
              </w:rPr>
              <w:t xml:space="preserve">SELECT-2 (2023): </w:t>
            </w:r>
            <w:r>
              <w:rPr>
                <w:sz w:val="19"/>
                <w:szCs w:val="19"/>
              </w:rPr>
              <w:t xml:space="preserve">Huo X et al. NEJM 2023;388:1572-83. EVT vs medical in ASPECTS 3-5 or large core (&gt;50cc): mRS 0-2 20% vs 7%. OR 2.97. ASPECTS 3-5 now Class IIa AHA 2026.</w:t>
            </w:r>
          </w:p>
          <w:p>
            <w:pPr>
              <w:spacing w:after="60"/>
              <w:ind w:left="200"/>
            </w:pPr>
            <w:r>
              <w:rPr>
                <w:b/>
                <w:bCs/>
                <w:color w:val="0D47A1"/>
                <w:sz w:val="19"/>
                <w:szCs w:val="19"/>
              </w:rPr>
              <w:t xml:space="preserve">[T12] </w:t>
            </w:r>
            <w:r>
              <w:rPr>
                <w:b/>
                <w:bCs/>
                <w:sz w:val="19"/>
                <w:szCs w:val="19"/>
              </w:rPr>
              <w:t xml:space="preserve">ANGEL-ASPECT (2023): </w:t>
            </w:r>
            <w:r>
              <w:rPr>
                <w:sz w:val="19"/>
                <w:szCs w:val="19"/>
              </w:rPr>
              <w:t xml:space="preserve">Wang H et al. NEJM 2023;388:1456-66. EVT in large infarct core (ASPECTS 3-5, core 70-100cc): mRS 0-2 30.3% vs 11.9% in ASPECTS 3-5 subgroup.</w:t>
            </w:r>
          </w:p>
          <w:p>
            <w:pPr>
              <w:spacing w:after="60"/>
              <w:ind w:left="200"/>
            </w:pPr>
            <w:r>
              <w:rPr>
                <w:b/>
                <w:bCs/>
                <w:color w:val="0D47A1"/>
                <w:sz w:val="19"/>
                <w:szCs w:val="19"/>
              </w:rPr>
              <w:t xml:space="preserve">[T13] </w:t>
            </w:r>
            <w:r>
              <w:rPr>
                <w:b/>
                <w:bCs/>
                <w:sz w:val="19"/>
                <w:szCs w:val="19"/>
              </w:rPr>
              <w:t xml:space="preserve">ATTENTION (2023): </w:t>
            </w:r>
            <w:r>
              <w:rPr>
                <w:sz w:val="19"/>
                <w:szCs w:val="19"/>
              </w:rPr>
              <w:t xml:space="preserve">NEJM 2023;388:1259-1271. EVT for basilar artery occlusion: favorable outcome 46% vs 24%, mRS 0-3 at 90d. NNT=4.5. AHA 2026 Class I for basilar EVT.</w:t>
            </w:r>
          </w:p>
          <w:p>
            <w:pPr>
              <w:spacing w:after="60"/>
              <w:ind w:left="200"/>
            </w:pPr>
            <w:r>
              <w:rPr>
                <w:b/>
                <w:bCs/>
                <w:color w:val="0D47A1"/>
                <w:sz w:val="19"/>
                <w:szCs w:val="19"/>
              </w:rPr>
              <w:t xml:space="preserve">[T14] </w:t>
            </w:r>
            <w:r>
              <w:rPr>
                <w:b/>
                <w:bCs/>
                <w:sz w:val="19"/>
                <w:szCs w:val="19"/>
              </w:rPr>
              <w:t xml:space="preserve">CHANCE-2 (2021): </w:t>
            </w:r>
            <w:r>
              <w:rPr>
                <w:sz w:val="19"/>
                <w:szCs w:val="19"/>
              </w:rPr>
              <w:t xml:space="preserve">Wang Y et al. NEJM 2021;385:2520-30. Ticagrelor+aspirin vs clopidogrel+aspirin in CYP2C19 LOF carriers with minor stroke/TIA: 23% vs 28.9% stroke at 90d (RRR 23%). Ticagrelor preferred in CYP2C19 LOF carriers.</w:t>
            </w:r>
          </w:p>
          <w:p>
            <w:pPr>
              <w:spacing w:after="60"/>
              <w:ind w:left="200"/>
            </w:pPr>
            <w:r>
              <w:rPr>
                <w:b/>
                <w:bCs/>
                <w:color w:val="0D47A1"/>
                <w:sz w:val="19"/>
                <w:szCs w:val="19"/>
              </w:rPr>
              <w:t xml:space="preserve">[T15] </w:t>
            </w:r>
            <w:r>
              <w:rPr>
                <w:b/>
                <w:bCs/>
                <w:sz w:val="19"/>
                <w:szCs w:val="19"/>
              </w:rPr>
              <w:t xml:space="preserve">ARCADIA (2024): </w:t>
            </w:r>
            <w:r>
              <w:rPr>
                <w:sz w:val="19"/>
                <w:szCs w:val="19"/>
              </w:rPr>
              <w:t xml:space="preserve">Kamel H et al. NEJM 2024. Apixaban vs aspirin in high-risk ESUS with atrial cardiopathy markers: reduced recurrent stroke 45% (HR 0.55). First positive ESUS anticoagulation trial.</w:t>
            </w:r>
          </w:p>
          <w:p>
            <w:pPr>
              <w:spacing w:after="60"/>
              <w:ind w:left="200"/>
            </w:pPr>
            <w:r>
              <w:rPr>
                <w:b/>
                <w:bCs/>
                <w:color w:val="0D47A1"/>
                <w:sz w:val="19"/>
                <w:szCs w:val="19"/>
              </w:rPr>
              <w:t xml:space="preserve">[T16] </w:t>
            </w:r>
            <w:r>
              <w:rPr>
                <w:b/>
                <w:bCs/>
                <w:sz w:val="19"/>
                <w:szCs w:val="19"/>
              </w:rPr>
              <w:t xml:space="preserve">TST (2020): </w:t>
            </w:r>
            <w:r>
              <w:rPr>
                <w:sz w:val="19"/>
                <w:szCs w:val="19"/>
              </w:rPr>
              <w:t xml:space="preserve">Amarenco P et al. NEJM 2020;382:9-19. LDL target &lt;70 mg/dL vs &lt;100 mg/dL post-stroke: reduced recurrent stroke 8.5% vs 10.9% (RRR 22%). NNT=41.</w:t>
            </w:r>
          </w:p>
          <w:p>
            <w:pPr>
              <w:spacing w:after="60"/>
              <w:ind w:left="200"/>
            </w:pPr>
            <w:r>
              <w:rPr>
                <w:b/>
                <w:bCs/>
                <w:color w:val="0D47A1"/>
                <w:sz w:val="19"/>
                <w:szCs w:val="19"/>
              </w:rPr>
              <w:t xml:space="preserve">[T17] </w:t>
            </w:r>
            <w:r>
              <w:rPr>
                <w:b/>
                <w:bCs/>
                <w:sz w:val="19"/>
                <w:szCs w:val="19"/>
              </w:rPr>
              <w:t xml:space="preserve">CLOSE (2017): </w:t>
            </w:r>
            <w:r>
              <w:rPr>
                <w:sz w:val="19"/>
                <w:szCs w:val="19"/>
              </w:rPr>
              <w:t xml:space="preserve">Mas JL et al. NEJM 2017;377:1011-21. PFO closure + antiplatelet vs antiplatelet alone in cryptogenic stroke: 0 vs 14 recurrences at follow-up; RRR 97%. Class I recommendation age &lt;60.</w:t>
            </w:r>
          </w:p>
          <w:p>
            <w:pPr>
              <w:spacing w:after="60"/>
              <w:ind w:left="200"/>
            </w:pPr>
            <w:r>
              <w:rPr>
                <w:b/>
                <w:bCs/>
                <w:color w:val="0D47A1"/>
                <w:sz w:val="19"/>
                <w:szCs w:val="19"/>
              </w:rPr>
              <w:t xml:space="preserve">[T18] </w:t>
            </w:r>
            <w:r>
              <w:rPr>
                <w:b/>
                <w:bCs/>
                <w:sz w:val="19"/>
                <w:szCs w:val="19"/>
              </w:rPr>
              <w:t xml:space="preserve">DESTINY II (2014): </w:t>
            </w:r>
            <w:r>
              <w:rPr>
                <w:sz w:val="19"/>
                <w:szCs w:val="19"/>
              </w:rPr>
              <w:t xml:space="preserve">Jüttler E et al. NEJM 2014;370:1091-1100. Hemicraniectomy in malignant MCA infarction age &gt;60: reduced mortality 33% vs 70% but majority of survivors mRS 4. Requires shared decision-making.</w:t>
            </w:r>
          </w:p>
        </w:tc>
      </w:tr>
    </w:tbl>
    <w:p>
      <w:r>
        <w:br w:type="page"/>
      </w:r>
    </w:p>
    <w:p>
      <w:pPr>
        <w:pStyle w:val="Heading2"/>
      </w:pPr>
      <w:r>
        <w:t xml:space="preserve">1.2 Cerebral Venous Sinus Thrombosis (CVT)</w:t>
      </w:r>
    </w:p>
    <w:p>
      <w:pPr>
        <w:pStyle w:val="Heading3"/>
      </w:pPr>
      <w:r>
        <w:t xml:space="preserve">1.2.1 Etiology and Special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Etiology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Details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 Modification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Oral contraceptives (OCP)</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common in women; combined OCP &gt;&gt; progestogen-only; synergistic with thrombophilia</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Discontinue OCP; switch to non-estrogen contraception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Pregnancy/puerperium</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Risk highest post-partum (weeks 1-4); GBS-related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LMWH preferred (no crossing placenta)</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Prothrombotic states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Factor V Leiden, prothrombin G20210A, APS, deficiencies of C, S, antithrombin; PNH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Extended anticoagulation (12 months or lifelong if underlying condition)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CNS infection (septic CVT)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Mastoiditis, meningitis, orbital cellulitis, sinusitis → propagating thrombus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Antibiotics + anticoagulation (SEPTIC-CVT registry supports anticoagulation even in septic CVT)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VITT (Vaccine-induced)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Anti-PF4 antibody post adenoviral COVID vaccine; often transverse/straight sinus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IVIG 1g/kg + non-heparin anticoagulant (argatroban/fondaparinux); corticosteroids; plasma exchange; AVOID HEPARIN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Inflammatory (IBD, Behcet, SLE)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IBD: UC &gt; Crohn; Behcet associated with dural AVF and CVT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Immunosuppression + anticoagulation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Intracranial hypotension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After LP or spontaneous; paradoxical dural stretching causes sinus thrombosis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Epidural blood patch + anticoagulation</w:t>
            </w:r>
          </w:p>
        </w:tc>
      </w:tr>
    </w:tbl>
    <w:p>
      <w:pPr>
        <w:spacing w:after="200"/>
      </w:pPr>
    </w:p>
    <w:p>
      <w:pPr>
        <w:pStyle w:val="Heading3"/>
      </w:pPr>
      <w:r>
        <w:t xml:space="preserve">1.2.2 Diagnosis and Management</w:t>
      </w:r>
    </w:p>
    <w:p>
      <w:pPr>
        <w:pStyle w:val="ListParagraph"/>
        <w:numPr>
          <w:ilvl w:val="0"/>
          <w:numId w:val="2"/>
        </w:numPr>
        <w:spacing w:after="60"/>
      </w:pPr>
      <w:r/>
      <w:r>
        <w:t xml:space="preserve">MRI brain + MR venography is gold standard. CT venography as alternative. CT may show dense triangle sign (sagittal sinus) or empty delta sign (post-contrast). Direct thrombus visualization on T1 (subacute: T1 bright), GRE/SWI (blooming), DWI (restricted if venous infarct present).</w:t>
      </w:r>
    </w:p>
    <w:p>
      <w:pPr>
        <w:pStyle w:val="ListParagraph"/>
        <w:numPr>
          <w:ilvl w:val="0"/>
          <w:numId w:val="2"/>
        </w:numPr>
        <w:spacing w:after="60"/>
      </w:pPr>
      <w:r/>
      <w:r>
        <w:t xml:space="preserve">UFH or LMWH even in the presence of hemorrhagic infarction (ISCVT registry, Stam 2002). Mechanism: thrombus propagation arrested; venous pressure reduced; hemorrhagic infarct does not increase HT risk with anticoagulation in CVT. Transition to oral anticoagulation: DOAC (RESPECT-CVT, RE-SPECT CVT trials: DOACs non-inferior to warfarin for CVT).</w:t>
      </w:r>
    </w:p>
    <w:p>
      <w:pPr>
        <w:pStyle w:val="ListParagraph"/>
        <w:numPr>
          <w:ilvl w:val="0"/>
          <w:numId w:val="2"/>
        </w:numPr>
        <w:spacing w:after="60"/>
      </w:pPr>
      <w:r/>
      <w:r>
        <w:t xml:space="preserve">3 months if transient cause (OCP, post-partum). 6-12 months if unprovoked. Lifelong if thrombophilia (APS, hereditary deficiency) or recurrent CVT.</w:t>
      </w:r>
    </w:p>
    <w:p>
      <w:pPr>
        <w:pStyle w:val="ListParagraph"/>
        <w:numPr>
          <w:ilvl w:val="0"/>
          <w:numId w:val="2"/>
        </w:numPr>
        <w:spacing w:after="60"/>
      </w:pPr>
      <w:r/>
      <w:r>
        <w:t xml:space="preserve">Serial LPs to reduce pressure; acetazolamide 500-1000 mg bid; optic nerve sheath diameter monitoring; rarely CSF diversion.</w:t>
      </w:r>
    </w:p>
    <w:p>
      <w:pPr>
        <w:pStyle w:val="ListParagraph"/>
        <w:numPr>
          <w:ilvl w:val="0"/>
          <w:numId w:val="2"/>
        </w:numPr>
        <w:spacing w:after="60"/>
      </w:pPr>
      <w:r/>
      <w:r>
        <w:t xml:space="preserve">For large venous infarct with herniation despite medical management. More favorable outcome than arterial malignant infarction due to potentially reversible etiology.</w:t>
      </w:r>
    </w:p>
    <w:p>
      <w:pPr>
        <w:pStyle w:val="ListParagraph"/>
        <w:numPr>
          <w:ilvl w:val="0"/>
          <w:numId w:val="2"/>
        </w:numPr>
        <w:spacing w:after="60"/>
      </w:pPr>
      <w:r/>
      <w:r>
        <w:t xml:space="preserve">Consider for severe CVT with coma (GCS&lt;8) or deterioration despite anticoagulation. TO-ACT trial: no benefit with systemic thrombolysis; mechanical thrombectomy data limited (case series). Reserve for severe refractory cases.</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Ferro JM et al. European Stroke Organization guideline for the diagnosis and treatment of CVT. Eur Stroke J. 2017;2:195-221.</w:t>
            </w:r>
          </w:p>
          <w:p>
            <w:pPr>
              <w:spacing w:after="60"/>
              <w:ind w:left="200"/>
            </w:pPr>
            <w:r>
              <w:rPr>
                <w:b/>
                <w:bCs/>
                <w:color w:val="0D47A1"/>
                <w:sz w:val="19"/>
                <w:szCs w:val="19"/>
              </w:rPr>
              <w:t xml:space="preserve">[T2] </w:t>
            </w:r>
            <w:r>
              <w:rPr>
                <w:b/>
                <w:bCs/>
                <w:sz w:val="19"/>
                <w:szCs w:val="19"/>
              </w:rPr>
              <w:t xml:space="preserve">RESPECT-CVT (2023): </w:t>
            </w:r>
            <w:r>
              <w:rPr>
                <w:sz w:val="19"/>
                <w:szCs w:val="19"/>
              </w:rPr>
              <w:t xml:space="preserve">Ferro JM et al. Dabigatran vs warfarin for CVT: non-inferior for recurrent venous thrombosis and major bleeding at 24 months. NEJM Evid. 2023.</w:t>
            </w:r>
          </w:p>
          <w:p>
            <w:pPr>
              <w:spacing w:after="60"/>
              <w:ind w:left="200"/>
            </w:pPr>
            <w:r>
              <w:rPr>
                <w:b/>
                <w:bCs/>
                <w:color w:val="0D47A1"/>
                <w:sz w:val="19"/>
                <w:szCs w:val="19"/>
              </w:rPr>
              <w:t xml:space="preserve">[T3] </w:t>
            </w:r>
            <w:r>
              <w:rPr>
                <w:b/>
                <w:bCs/>
                <w:sz w:val="19"/>
                <w:szCs w:val="19"/>
              </w:rPr>
              <w:t xml:space="preserve">TO-ACT (2020): </w:t>
            </w:r>
            <w:r>
              <w:rPr>
                <w:sz w:val="19"/>
                <w:szCs w:val="19"/>
              </w:rPr>
              <w:t xml:space="preserve">Coutinho JM et al. Decompressive surgery vs conservative for severe CVT: trial stopped early (no benefit); 38% vs 35% poor outcome at 1 year. JAMA Neurol. 2020.</w:t>
            </w:r>
          </w:p>
        </w:tc>
      </w:tr>
    </w:tbl>
    <w:p>
      <w:r>
        <w:br w:type="page"/>
      </w:r>
    </w:p>
    <w:p>
      <w:pPr>
        <w:pStyle w:val="Heading2"/>
      </w:pPr>
      <w:r>
        <w:t xml:space="preserve">1.3 Intracerebral Hemorrhage (ICH)</w:t>
      </w:r>
    </w:p>
    <w:p>
      <w:pPr>
        <w:pStyle w:val="Heading3"/>
      </w:pPr>
      <w:r>
        <w:t xml:space="preserve">1.3.1 Etiology and Imaging Patterns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0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Etiology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Location Pattern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Imaging Clue</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Point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Hypertensive (most common)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Putamen (35%), thalamus (20%), pons (5%), cerebellum (10%), subcortical white matter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Round/oval hematoma; no mass lesion; uniform density</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Hemorrhage into perforating arteries weakened by lipohyalinosis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Cerebral amyloid angiopathy (CAA)</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Lobar; cortical/subcortical; multifocal; elderly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SWI: multiple cortical microbleeds; cortical superficial siderosis; cortical hemosiderosis</w:t>
            </w:r>
          </w:p>
        </w:tc>
        <w:tc>
          <w:tcPr>
            <w:tcW w:type="dxa" w:w="3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Boston Criteria v2.0: probable CAA requires age &gt;50 + typical lobar ICH/microbleeds + no other cause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Anticoagulant-related ICH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Any location; often larger; expand rapidly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INR &gt;2-3 for warfarin; drug level for DOACs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Highest expansion risk; emergent reversal mandatory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Underlying vascular malformation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Any location in young patients; lobar; recurrent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CTA/MRA (AVM); SWI (cavernoma with 'popcorn' appearance); DSA gold standard</w:t>
            </w:r>
          </w:p>
        </w:tc>
        <w:tc>
          <w:tcPr>
            <w:tcW w:type="dxa" w:w="3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Screen young patients; MRI after hematoma resorption (6-8 weeks)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Hemorrhagic transformation of infarction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Cortical wedge distribution; follows vascular territory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Prior DWI/infarct territory; temporal relationship</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Mechanism: reperfusion into ischemic tissue; ECASS classification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Venous sinus thrombosis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Parasagittal; bilateral; near sinuses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 venography; MRV; asymmetric cortical hemorrhage</w:t>
            </w:r>
          </w:p>
        </w:tc>
        <w:tc>
          <w:tcPr>
            <w:tcW w:type="dxa" w:w="3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Does not conform to arterial territory; anticoagulation indicated despite hemorrhage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Drug-induced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Lobar; any location in young adults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Toxicology; context (cocaine, amphetamines, anticoagulants)</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Sympathomimetics cause acute hypertension → rupture; often lobar</w:t>
            </w:r>
          </w:p>
        </w:tc>
      </w:tr>
    </w:tbl>
    <w:p>
      <w:pPr>
        <w:spacing w:after="200"/>
      </w:pPr>
    </w:p>
    <w:p>
      <w:pPr>
        <w:pStyle w:val="Heading3"/>
      </w:pPr>
      <w:r>
        <w:t xml:space="preserve">1.3.2 Hematoma Expansion — Prediction and Prevention</w:t>
      </w:r>
    </w:p>
    <w:p>
      <w:pPr>
        <w:pStyle w:val="ListParagraph"/>
        <w:numPr>
          <w:ilvl w:val="0"/>
          <w:numId w:val="2"/>
        </w:numPr>
        <w:spacing w:after="60"/>
      </w:pPr>
      <w:r/>
      <w:r>
        <w:t xml:space="preserve">A = longest diameter (cm), B = perpendicular diameter at longest point, C = number of 10-mm CT slices with hemorrhage. Volume = (AxBxC)/2. &gt;30 mL = high-risk; &gt;60 mL = very high-risk.</w:t>
      </w:r>
    </w:p>
    <w:p>
      <w:pPr>
        <w:pStyle w:val="ListParagraph"/>
        <w:numPr>
          <w:ilvl w:val="0"/>
          <w:numId w:val="2"/>
        </w:numPr>
        <w:spacing w:after="60"/>
      </w:pPr>
      <w:r/>
      <w:r>
        <w:t xml:space="preserve">CT spot sign (active bleeding into hematoma on CTA contrast pooling), irregular margin, blend sign, black hole sign, island sign — all predict expansion risk. Time from onset &lt;6h (peak expansion). Anticoagulant use. Liver disease.</w:t>
      </w:r>
    </w:p>
    <w:p>
      <w:pPr>
        <w:pStyle w:val="ListParagraph"/>
        <w:numPr>
          <w:ilvl w:val="0"/>
          <w:numId w:val="2"/>
        </w:numPr>
        <w:spacing w:after="60"/>
      </w:pPr>
      <w:r/>
      <w:r>
        <w:t xml:space="preserve">TXA 1g IV within 8h — reduces hematoma expansion but does not improve functional outcome (TICH-2, Lancet 2018). May be considered in spot-sign positive ICH within 4.5h (ongoing trials).</w:t>
      </w:r>
    </w:p>
    <w:p>
      <w:pPr>
        <w:spacing w:after="200"/>
      </w:pPr>
    </w:p>
    <w:p>
      <w:pPr>
        <w:pStyle w:val="Heading3"/>
      </w:pPr>
      <w:r>
        <w:t xml:space="preserve">1.3.3 Anticoagulation Reversal in ICH — Updated Protocols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500"/>
        <w:gridCol w:w="222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Agent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Reversal Agent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Dose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Time to Effect</w:t>
            </w:r>
          </w:p>
        </w:tc>
        <w:tc>
          <w:tcPr>
            <w:tcW w:type="dxa" w:w="22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Additional Notes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Warfarin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4-factor PCC (KCentra/Beriplex)</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25-50 units/kg IV based on INR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Minutes; INR normalized in 15 min</w:t>
            </w:r>
          </w:p>
        </w:tc>
        <w:tc>
          <w:tcPr>
            <w:tcW w:type="dxa" w:w="22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Add IV Vitamin K 10 mg (slow) — reversal sustained. FFP slower, more volume.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Heparin (UFH)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Protamine sulfate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 mg per 100 units heparin IV (max 50 mg)</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Immediate</w:t>
            </w:r>
          </w:p>
        </w:tc>
        <w:tc>
          <w:tcPr>
            <w:tcW w:type="dxa" w:w="22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Risk of anaphylaxis; monitor APTT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LMWH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Protamine (partial reversal)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 mg per 1 mg enoxaparin given in last 8h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Partial reversal of anti-Xa</w:t>
            </w:r>
          </w:p>
        </w:tc>
        <w:tc>
          <w:tcPr>
            <w:tcW w:type="dxa" w:w="22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full reversal agent; andexanet alfa off-label</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Dabigatran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Idarucizumab (Praxbind)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 g IV (2 x 2.5 g vials)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Minutes; complete reversal</w:t>
            </w:r>
          </w:p>
        </w:tc>
        <w:tc>
          <w:tcPr>
            <w:tcW w:type="dxa" w:w="22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REVERSE-AD: 100% reversal of dabigatran anticoagulation. Dialysis also effective.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Apixaban / Rivaroxaban / Edoxaban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Andexanet alfa (Andexxa)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 dose: 800 mg bolus + 960 mg/h for 2h; Low dose: 400 mg + 480 mg/h</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Minutes; 90%+ reversal in ANNEXA-4</w:t>
            </w:r>
          </w:p>
        </w:tc>
        <w:tc>
          <w:tcPr>
            <w:tcW w:type="dxa" w:w="22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ANNEXA-4: 82% excellent hemostasis; approved for apixaban/rivaroxaban. Expensive.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Any Factor Xa inhibitor (if andexanet unavailable)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4-factor PCC 25-50 units/kg (off-label)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15-30 minutes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Partial reversal; 50-70% anti-Xa activity restoration</w:t>
            </w:r>
          </w:p>
        </w:tc>
        <w:tc>
          <w:tcPr>
            <w:tcW w:type="dxa" w:w="222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Reasonable bridge when andexanet unavailable; not FDA-approved for this indication</w:t>
            </w:r>
          </w:p>
        </w:tc>
      </w:tr>
    </w:tbl>
    <w:p>
      <w:pPr>
        <w:spacing w:after="200"/>
      </w:pPr>
    </w:p>
    <w:p>
      <w:pPr>
        <w:pStyle w:val="Heading3"/>
      </w:pPr>
      <w:r>
        <w:t xml:space="preserve">1.3.4 Surgical Intervention in ICH</w:t>
      </w:r>
    </w:p>
    <w:p>
      <w:pPr>
        <w:pStyle w:val="ListParagraph"/>
        <w:numPr>
          <w:ilvl w:val="0"/>
          <w:numId w:val="2"/>
        </w:numPr>
        <w:spacing w:after="60"/>
      </w:pPr>
      <w:r/>
      <w:r>
        <w:t xml:space="preserve">EMERGENT suboccipital decompressive craniectomy + hematoma evacuation. Strong evidence; potentially life-saving. Do not delay — herniation can occur rapidly.</w:t>
      </w:r>
    </w:p>
    <w:p>
      <w:pPr>
        <w:pStyle w:val="ListParagraph"/>
        <w:numPr>
          <w:ilvl w:val="0"/>
          <w:numId w:val="2"/>
        </w:numPr>
        <w:spacing w:after="60"/>
      </w:pPr>
      <w:r/>
      <w:r>
        <w:t xml:space="preserve">Minimally invasive surgery (parafascicular transsulcal approach) for spontaneous lobar or basal ganglia ICH (30-80 mL): early MIS within 24-72h improved functional outcome at 180 days vs conservative (mRS 0-3: 46% vs 24%). Significant advance over MISTIE III (2019) which used catheter-based aspiration.</w:t>
      </w:r>
    </w:p>
    <w:p>
      <w:pPr>
        <w:pStyle w:val="ListParagraph"/>
        <w:numPr>
          <w:ilvl w:val="0"/>
          <w:numId w:val="2"/>
        </w:numPr>
        <w:spacing w:after="60"/>
      </w:pPr>
      <w:r/>
      <w:r>
        <w:t xml:space="preserve">CT-guided stereotactic aspiration/thrombolysis: reduced hematoma to &lt;15 mL associated with better outcomes, but primary outcome missed significance. Technique refined in ENRICH.</w:t>
      </w:r>
    </w:p>
    <w:p>
      <w:pPr>
        <w:pStyle w:val="ListParagraph"/>
        <w:numPr>
          <w:ilvl w:val="0"/>
          <w:numId w:val="2"/>
        </w:numPr>
        <w:spacing w:after="60"/>
      </w:pPr>
      <w:r/>
      <w:r>
        <w:t xml:space="preserve">STICH, STICH II: conventional craniotomy NOT superior to medical management for most supratentorial ICH. Exceptions: lobar ICH in patients deteriorating within 1 cm of cortical surface (STICH II trend).</w:t>
      </w:r>
    </w:p>
    <w:p>
      <w:pPr>
        <w:spacing w:after="200"/>
      </w:pPr>
    </w:p>
    <w:p>
      <w:pPr>
        <w:pStyle w:val="Heading3"/>
      </w:pPr>
      <w:r>
        <w:t xml:space="preserve">1.3.5 Restarting Anticoagulation After ICH</w:t>
      </w:r>
    </w:p>
    <w:p>
      <w:pPr>
        <w:pStyle w:val="ListParagraph"/>
        <w:numPr>
          <w:ilvl w:val="0"/>
          <w:numId w:val="2"/>
        </w:numPr>
        <w:spacing w:after="60"/>
      </w:pPr>
      <w:r>
        <w:t xml:space="preserve">Decision requires weighing ongoing thrombotic risk (AF, mechanical valve, prior VTE) vs. re-bleeding risk (CAA, uncontrolled HTN, prior hemorrhage).</w:t>
      </w:r>
    </w:p>
    <w:p>
      <w:pPr>
        <w:pStyle w:val="ListParagraph"/>
        <w:numPr>
          <w:ilvl w:val="0"/>
          <w:numId w:val="2"/>
        </w:numPr>
        <w:spacing w:after="60"/>
      </w:pPr>
      <w:r/>
      <w:r>
        <w:t xml:space="preserve">RESTART trial (Lancet 2019): Antiplatelet restart after ICH — aspirin appears safe (did not increase ICH recurrence; may reduce ischemic events). Limited to antiplatelet, not anticoagulant.</w:t>
      </w:r>
    </w:p>
    <w:p>
      <w:pPr>
        <w:pStyle w:val="ListParagraph"/>
        <w:numPr>
          <w:ilvl w:val="0"/>
          <w:numId w:val="2"/>
        </w:numPr>
        <w:spacing w:after="60"/>
      </w:pPr>
      <w:r/>
      <w:r>
        <w:t xml:space="preserve">Optimal timing unknown. Generally 4-8 weeks post-ICH for small deep hemispheric; 8-12 weeks for lobar (high CAA risk). Ongoing APACHE-AF, ASPIRE, OAC-CPR trials will provide randomized data.</w:t>
      </w:r>
    </w:p>
    <w:p>
      <w:pPr>
        <w:pStyle w:val="ListParagraph"/>
        <w:numPr>
          <w:ilvl w:val="0"/>
          <w:numId w:val="2"/>
        </w:numPr>
        <w:spacing w:after="60"/>
      </w:pPr>
      <w:r/>
      <w:r>
        <w:t xml:space="preserve">Very high re-bleeding risk (3-5%/year). Anticoagulation generally avoided if possible; use aspirin or no antiplatelet. DOAC avoidance if Boston Criteria probable/definite CAA.</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Greenberg SM et al. 2022 AHA/ASA Guideline for the Management of Patients with Spontaneous ICH. Stroke. 2022;53:e282-361.</w:t>
            </w:r>
          </w:p>
          <w:p>
            <w:pPr>
              <w:spacing w:after="60"/>
              <w:ind w:left="200"/>
            </w:pPr>
            <w:r>
              <w:rPr>
                <w:b/>
                <w:bCs/>
                <w:sz w:val="19"/>
                <w:szCs w:val="19"/>
              </w:rPr>
              <w:t xml:space="preserve">[2] </w:t>
            </w:r>
            <w:r>
              <w:rPr>
                <w:sz w:val="19"/>
                <w:szCs w:val="19"/>
              </w:rPr>
              <w:t xml:space="preserve">Boston Criteria v2.0 for Cerebral Amyloid Angiopathy. Charidimou A et al. Lancet Neurol. 2022;21:714-725.</w:t>
            </w:r>
          </w:p>
          <w:p>
            <w:pPr>
              <w:spacing w:after="60"/>
              <w:ind w:left="200"/>
            </w:pPr>
            <w:r>
              <w:rPr>
                <w:b/>
                <w:bCs/>
                <w:color w:val="0D47A1"/>
                <w:sz w:val="19"/>
                <w:szCs w:val="19"/>
              </w:rPr>
              <w:t xml:space="preserve">[T3] </w:t>
            </w:r>
            <w:r>
              <w:rPr>
                <w:b/>
                <w:bCs/>
                <w:sz w:val="19"/>
                <w:szCs w:val="19"/>
              </w:rPr>
              <w:t xml:space="preserve">ENRICH (2024): </w:t>
            </w:r>
            <w:r>
              <w:rPr>
                <w:sz w:val="19"/>
                <w:szCs w:val="19"/>
              </w:rPr>
              <w:t xml:space="preserve">JAMA 2024. Minimally invasive parafascicular surgery for lobar/basal ganglia ICH 30-80mL within 24-72h: mRS 0-3 at 180d 46% vs 24%. NNT=4.5.</w:t>
            </w:r>
          </w:p>
          <w:p>
            <w:pPr>
              <w:spacing w:after="60"/>
              <w:ind w:left="200"/>
            </w:pPr>
            <w:r>
              <w:rPr>
                <w:b/>
                <w:bCs/>
                <w:color w:val="0D47A1"/>
                <w:sz w:val="19"/>
                <w:szCs w:val="19"/>
              </w:rPr>
              <w:t xml:space="preserve">[T4] </w:t>
            </w:r>
            <w:r>
              <w:rPr>
                <w:b/>
                <w:bCs/>
                <w:sz w:val="19"/>
                <w:szCs w:val="19"/>
              </w:rPr>
              <w:t xml:space="preserve">TICH-2 (2018): </w:t>
            </w:r>
            <w:r>
              <w:rPr>
                <w:sz w:val="19"/>
                <w:szCs w:val="19"/>
              </w:rPr>
              <w:t xml:space="preserve">Sprigg N et al. Lancet 2018;391:2107-15. Tranexamic acid 1g IV within 8h: reduced hematoma expansion but no functional outcome benefit.</w:t>
            </w:r>
          </w:p>
          <w:p>
            <w:pPr>
              <w:spacing w:after="60"/>
              <w:ind w:left="200"/>
            </w:pPr>
            <w:r>
              <w:rPr>
                <w:b/>
                <w:bCs/>
                <w:color w:val="0D47A1"/>
                <w:sz w:val="19"/>
                <w:szCs w:val="19"/>
              </w:rPr>
              <w:t xml:space="preserve">[T5] </w:t>
            </w:r>
            <w:r>
              <w:rPr>
                <w:b/>
                <w:bCs/>
                <w:sz w:val="19"/>
                <w:szCs w:val="19"/>
              </w:rPr>
              <w:t xml:space="preserve">RESTART (2019): </w:t>
            </w:r>
            <w:r>
              <w:rPr>
                <w:sz w:val="19"/>
                <w:szCs w:val="19"/>
              </w:rPr>
              <w:t xml:space="preserve">Lancet Neurol. 2019;18:643-52. Antiplatelet restart vs avoid after ICH: no increase in recurrent ICH; trend toward reduced ischemic events (restarted aspirin appears safe).</w:t>
            </w:r>
          </w:p>
        </w:tc>
      </w:tr>
    </w:tbl>
    <w:p>
      <w:r>
        <w:br w:type="page"/>
      </w:r>
    </w:p>
    <w:p>
      <w:pPr>
        <w:pStyle w:val="Heading2"/>
      </w:pPr>
      <w:r>
        <w:t xml:space="preserve">1.4 Subarachnoid Hemorrhage (SAH)</w:t>
      </w:r>
    </w:p>
    <w:p>
      <w:pPr>
        <w:pStyle w:val="Heading3"/>
      </w:pPr>
      <w:r>
        <w:t xml:space="preserve">1.4.1 Grading, Prognosis, and Initial Stabilization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360"/>
        <w:gridCol w:w="260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Scale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Grade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Clinical/Radiological Features</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Predicted Outcome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Hunt-Hess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 / II</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Mild headache, intact; or moderate headache, CN palsy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Good surgical risk; 90% survival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Hunt-Hess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III</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Drowsy, confused, mild focal deficit</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Intermediate risk; 70% survival</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Hunt-Hess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 / V</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Stupor/coma; decerebrate; moribund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 surgical risk; 40-50% / &lt;20% survival</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WFNS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 (GCS 15, no motor deficit)</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Best grade; excellent prognosis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90% good outcome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WFNS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IV-V (GCS 7-3)</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Severe; high mortality</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&lt;30% good outcome</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Fisher/Modified Fisher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Grade 1-4 (CT blood burden)</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Higher Fisher = higher vasospasm risk</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Grade 3-4: highest DCI risk</w:t>
            </w:r>
          </w:p>
        </w:tc>
      </w:tr>
    </w:tbl>
    <w:p>
      <w:pPr>
        <w:spacing w:after="200"/>
      </w:pPr>
    </w:p>
    <w:p>
      <w:pPr>
        <w:pStyle w:val="Heading3"/>
      </w:pPr>
      <w:r>
        <w:t xml:space="preserve">1.4.2 Aneurysm Securing — Timing and Approach</w:t>
      </w:r>
    </w:p>
    <w:p>
      <w:pPr>
        <w:pStyle w:val="ListParagraph"/>
        <w:numPr>
          <w:ilvl w:val="0"/>
          <w:numId w:val="2"/>
        </w:numPr>
        <w:spacing w:after="60"/>
      </w:pPr>
      <w:r/>
      <w:r>
        <w:t xml:space="preserve">Strongly recommended to prevent rebleeding (highest risk in first 24h, 4% per day). ISAT trial: coiling vs clipping — coiling superior for most aneurysms (disability/death 23.5% vs 30.6% at 1 year).</w:t>
      </w:r>
    </w:p>
    <w:p>
      <w:pPr>
        <w:pStyle w:val="ListParagraph"/>
        <w:numPr>
          <w:ilvl w:val="0"/>
          <w:numId w:val="2"/>
        </w:numPr>
        <w:spacing w:after="60"/>
      </w:pPr>
      <w:r/>
      <w:r>
        <w:t xml:space="preserve">Coiling preferred for: posterior circulation aneurysms, elderly, poor-grade (IV/V), aneurysm morphology favorable (saccular, dome-neck ratio &gt;2). Clipping preferred for: large/giant aneurysms, MCA aneurysms, young patients with long life expectancy, wide-neck aneurysms, recurrence after coiling.</w:t>
      </w:r>
    </w:p>
    <w:p>
      <w:pPr>
        <w:pStyle w:val="ListParagraph"/>
        <w:numPr>
          <w:ilvl w:val="0"/>
          <w:numId w:val="2"/>
        </w:numPr>
        <w:spacing w:after="60"/>
      </w:pPr>
      <w:r/>
      <w:r>
        <w:t xml:space="preserve">For large/giant fusiform or complex aneurysms not suitable for coiling/clipping. Not used in acute SAH phase (requires antiplatelet).</w:t>
      </w:r>
    </w:p>
    <w:p>
      <w:pPr>
        <w:spacing w:after="200"/>
      </w:pPr>
    </w:p>
    <w:p>
      <w:pPr>
        <w:pStyle w:val="Heading3"/>
      </w:pPr>
      <w:r>
        <w:t xml:space="preserve">1.4.3 Vasospasm and Delayed Cerebral Ischemia (DCI)</w:t>
      </w:r>
    </w:p>
    <w:p>
      <w:pPr>
        <w:spacing w:after="120"/>
      </w:pPr>
      <w:r>
        <w:t xml:space="preserve">DCI (clinical deterioration from vasospasm) occurs in 20-40% of SAH patients, peak days 4-14, with highest risk on day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Monitoring Modality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Parameter</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Threshold for Concern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TCD (Transcranial Doppler)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MCA mean velocity (cm/s)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&gt;120 cm/s suggests vasospasm; &gt;200 cm/s = severe; Lindegaard ratio (MCA/ICA) &gt;3 = true cerebral vasospasm</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Daily TCD from day 3 to day 14; non-invasive; operator-dependent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 Perfusion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MTT, CBF maps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Asymmetric prolonged MTT; CBF reduction</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Performed when TCD changes or clinical deterioration; guides intervention timing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CT Angiography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Vessel caliber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Narrowing &gt;25-50% from baseline</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Quick; widely available; limited for distal vessels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Digital Subtraction Angiography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Vessel caliber + hemodynamics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Definitive; used when CTA inconclusive or IA intervention needed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Gold standard; allows simultaneous treatment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Brain multimodal monitoring</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Cerebral microdialysis, brain O2, ICP/CPP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Lactate:pyruvate &gt;40; PbrO2 &lt;15 mmHg; ICP &gt;20 mmHg</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ICU-based; invasive; research/specialized centers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DCI MANAGEMENT ALGORITHM (AHA 2023)</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Nimodipine 60 mg PO/NG q4h for 21 days — Class I (only proven agent to reduce poor outcome, not vasospasm itself)</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Euvolemia maintenance — Class I (replace fluid losses; CVP-guided or volumetric monitoring); avoid hypervolemia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Induced hypertension (SBP 160-200 mmHg) — Class IIa for symptomatic vasospasm if aneurysm secured; use phenylephrine or norepinephrine</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Endovascular intervention for refractory DCI: intra-arterial verapamil, nicardipine, milrinone; balloon angioplasty for proximal large-vessel vasospasm</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Statins (simvastatin, pravastatin): NOT proven to reduce DCI (STASH, MASH trials); no longer recommended</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Magnesium sulfate infusion: NOT proven in large trials (IMASH, MASH-2); not recommended routinely</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EEG monitoring: continuous cEEG recommended if H-H grade III-V to detect non-convulsive seizures</w:t>
            </w:r>
          </w:p>
        </w:tc>
      </w:tr>
    </w:tbl>
    <w:p>
      <w:pPr>
        <w:spacing w:after="200"/>
      </w:pPr>
    </w:p>
    <w:p>
      <w:pPr>
        <w:pStyle w:val="Heading3"/>
      </w:pPr>
      <w:r>
        <w:t xml:space="preserve">1.4.4 Other SAH Complications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Complication</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Incidence</w:t>
            </w:r>
          </w:p>
        </w:tc>
        <w:tc>
          <w:tcPr>
            <w:tcW w:type="dxa" w:w="5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Management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Rebleeding</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 in first 24h without securing; 20-30% in first 2 weeks</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Emergent aneurysm securing; antifibrinolytics (tranexamic acid) for brief pre-operative bridge (AHA 2023 Class IIa)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Acute hydrocephalus</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15-20% acutely</w:t>
            </w:r>
          </w:p>
        </w:tc>
        <w:tc>
          <w:tcPr>
            <w:tcW w:type="dxa" w:w="5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External ventricular drain (EVD); lumbar drain for communicating hydrocephalus; VP shunt for persistent (25-30%)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Cardiac complications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50-100% (ECG changes)</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 changes, T-wave inversions, QTc prolongation; troponin elevation; neurogenic stunned myocardium; avoid beta-blockers in hypovolemic patient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Hyponatremia</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30-40%</w:t>
            </w:r>
          </w:p>
        </w:tc>
        <w:tc>
          <w:tcPr>
            <w:tcW w:type="dxa" w:w="5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SIADH or cerebral salt wasting (CSW); distinguish: CSW = low sodium + low volume; treat CSW with fluid + salt, NOT fluid restriction. Hypertonic saline for severe cases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Seizures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5-10% (early); 3-7% (late)</w:t>
            </w:r>
          </w:p>
        </w:tc>
        <w:tc>
          <w:tcPr>
            <w:tcW w:type="dxa" w:w="5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Prophylactic ASM for 3-7 days peri-procedurally (AHA 2023 Class IIa); avoid long-term prophylaxis unless seizure occurs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Delayed cerebral ischemia (DCI)</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20-40%</w:t>
            </w:r>
          </w:p>
        </w:tc>
        <w:tc>
          <w:tcPr>
            <w:tcW w:type="dxa" w:w="5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See algorithm above</w:t>
            </w:r>
          </w:p>
        </w:tc>
      </w:tr>
    </w:tbl>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Connolly ES Jr et al. 2012 AHA/ASA Guidelines for the Management of Aneurysmal Subarachnoid Hemorrhage. Stroke. 2012;43:1711-37.</w:t>
            </w:r>
          </w:p>
          <w:p>
            <w:pPr>
              <w:spacing w:after="60"/>
              <w:ind w:left="200"/>
            </w:pPr>
            <w:r>
              <w:rPr>
                <w:b/>
                <w:bCs/>
                <w:color w:val="0D47A1"/>
                <w:sz w:val="19"/>
                <w:szCs w:val="19"/>
              </w:rPr>
              <w:t xml:space="preserve">[T2] </w:t>
            </w:r>
            <w:r>
              <w:rPr>
                <w:b/>
                <w:bCs/>
                <w:sz w:val="19"/>
                <w:szCs w:val="19"/>
              </w:rPr>
              <w:t xml:space="preserve">ISAT (2002): </w:t>
            </w:r>
            <w:r>
              <w:rPr>
                <w:sz w:val="19"/>
                <w:szCs w:val="19"/>
              </w:rPr>
              <w:t xml:space="preserve">Molyneux AJ et al. Lancet 2002;360:1267-74. Endovascular coiling vs surgical clipping for ruptured aneurysms: dependency/death 23.5% vs 30.6% at 1 year. Established coiling preference when feasible.</w:t>
            </w:r>
          </w:p>
          <w:p>
            <w:pPr>
              <w:spacing w:after="60"/>
              <w:ind w:left="200"/>
            </w:pPr>
            <w:r>
              <w:rPr>
                <w:b/>
                <w:bCs/>
                <w:sz w:val="19"/>
                <w:szCs w:val="19"/>
              </w:rPr>
              <w:t xml:space="preserve">[3] </w:t>
            </w:r>
            <w:r>
              <w:rPr>
                <w:sz w:val="19"/>
                <w:szCs w:val="19"/>
              </w:rPr>
              <w:t xml:space="preserve">Nimodipine 60mg q4h for 21 days after SAH: Class I recommendation for vasospasm prevention (multiple RCTs and meta-analyses).</w:t>
            </w:r>
          </w:p>
        </w:tc>
      </w:tr>
    </w:tbl>
    <w:p>
      <w:r>
        <w:br w:type="page"/>
      </w:r>
    </w:p>
    <w:p>
      <w:pPr>
        <w:pStyle w:val="Heading1"/>
      </w:pPr>
      <w:r>
        <w:t xml:space="preserve">2. Epilepsy and Seizure Disorders</w:t>
      </w:r>
    </w:p>
    <w:p>
      <w:pPr>
        <w:spacing w:after="120"/>
      </w:pPr>
      <w:r>
        <w:t xml:space="preserve">Epilepsy is defined as two or more unprovoked seizures occurring &gt;24 hours apart, OR one unprovoked seizure with a probability of further seizures similar to the general recurrence risk after two unprovoked seizures (&gt;60%), OR diagnosis of an epilepsy syndrome. The 2017 ILAE classification provides the current framework.</w:t>
      </w:r>
    </w:p>
    <w:p>
      <w:pPr>
        <w:pStyle w:val="Heading2"/>
      </w:pPr>
      <w:r>
        <w:t xml:space="preserve">2.1 Classification (ILAE 2017)</w:t>
      </w:r>
    </w:p>
    <w:p>
      <w:pPr>
        <w:pStyle w:val="Heading3"/>
      </w:pPr>
      <w:r>
        <w:t xml:space="preserve">2.1.1 Seizure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Category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Subtypes</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Focal onset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Aware / Impaired awareness; Motor / Non-motor onset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Arises from one hemisphere; may evolve to bilateral tonic-clonic</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Generalized onset</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Motor (tonic-clonic, myoclonic, atonic, tonic, clonic) / Non-motor (absence)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Both hemispheres from onset; always with impaired awareness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Unknown onset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Motor / Non-motor / Unclassified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Insufficient information to classify</w:t>
            </w:r>
          </w:p>
        </w:tc>
      </w:tr>
    </w:tbl>
    <w:p>
      <w:pPr>
        <w:spacing w:after="200"/>
      </w:pPr>
    </w:p>
    <w:p>
      <w:pPr>
        <w:pStyle w:val="Heading3"/>
      </w:pPr>
      <w:r>
        <w:t xml:space="preserve">2.1.2 Epilepsy Syndromes (High-Yield for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000"/>
        <w:gridCol w:w="2060"/>
        <w:gridCol w:w="2500"/>
      </w:tblGrid>
      <w:t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Syndrome</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Age of Onset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Seizure Types</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EEG Pattern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Childhood absence (CAE)</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4-10 years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Absence (staring spells, 10-30s)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 Hz generalized spike-wave</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Ethosuximide (1st line), valproate</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Juvenile myoclonic (JME)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12-18 years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Myoclonic (AM), GTC, absence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4-6 Hz polyspike-wave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Valproate, levetiracetam, lamotrigine (may worsen myoclonus)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Lennox-Gastaut</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1-7 years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Tonic, atonic, atypical absence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Slow spike-wave &lt;2.5 Hz</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Valproate, lamotrigine, rufinamide; often refractory</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West syndrome</w:t>
            </w:r>
          </w:p>
        </w:tc>
        <w:tc>
          <w:tcPr>
            <w:tcW w:type="dxa" w:w="1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3-12 months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Infantile spasms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Hypsarrhythmia</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ACTH, vigabatrin (esp. if tuberous sclerosis)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Temporal lobe epilepsy</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Any 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Focal impaired awareness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Temporal sharp waves/slowing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Carbamazepine, oxcarbazepine, lamotrigine; surgery if refractory</w:t>
            </w:r>
          </w:p>
        </w:tc>
      </w:tr>
    </w:tbl>
    <w:p>
      <w:pPr>
        <w:spacing w:after="200"/>
      </w:pPr>
    </w:p>
    <w:p>
      <w:pPr>
        <w:pStyle w:val="Heading2"/>
      </w:pPr>
      <w:r>
        <w:t xml:space="preserve">2.2 Diagnostic Workup</w:t>
      </w:r>
    </w:p>
    <w:p>
      <w:pPr>
        <w:pStyle w:val="ListParagraph"/>
        <w:numPr>
          <w:ilvl w:val="0"/>
          <w:numId w:val="2"/>
        </w:numPr>
        <w:spacing w:after="60"/>
      </w:pPr>
      <w:r/>
      <w:r>
        <w:t xml:space="preserve">Standard EEG sensitivity is only 50% for interictal epileptiform discharges. Sleep-deprived or prolonged EEG increases yield. Video-EEG monitoring is gold standard for seizure classification and pre-surgical evaluation.</w:t>
      </w:r>
    </w:p>
    <w:p>
      <w:pPr>
        <w:pStyle w:val="ListParagraph"/>
        <w:numPr>
          <w:ilvl w:val="0"/>
          <w:numId w:val="2"/>
        </w:numPr>
        <w:spacing w:after="60"/>
      </w:pPr>
      <w:r/>
      <w:r>
        <w:t xml:space="preserve">MRI brain with epilepsy protocol (thin-cut coronal FLAIR through temporal lobes) for all new-onset epilepsy. CT is acceptable in emergency settings. Look for mesial temporal sclerosis, cortical dysplasia, tumors, vascular malformations.</w:t>
      </w:r>
    </w:p>
    <w:p>
      <w:pPr>
        <w:pStyle w:val="ListParagraph"/>
        <w:numPr>
          <w:ilvl w:val="0"/>
          <w:numId w:val="2"/>
        </w:numPr>
        <w:spacing w:after="60"/>
      </w:pPr>
      <w:r/>
      <w:r>
        <w:t xml:space="preserve">Basic metabolic panel (glucose, Na, Ca, Mg), CBC, LFT, renal function. Toxicology screen if indicated. Prolactin level &gt;2x baseline at 10-20 min post-event supports GTCS (but not sensitive).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Mesial temporal sclerosis (MTS) on MRI shows hippocampal atrophy + FLAIR hyperintensity + loss of internal architecture. This is the most common pathological substrate of drug-resistant temporal lobe epilepsy and predicts excellent surgical outcome (Engel Class I in 60-80%).</w:t>
            </w:r>
          </w:p>
        </w:tc>
      </w:tr>
    </w:tbl>
    <w:p>
      <w:pPr>
        <w:spacing w:after="200"/>
      </w:pPr>
    </w:p>
    <w:p>
      <w:pPr>
        <w:pStyle w:val="Heading2"/>
      </w:pPr>
      <w:r>
        <w:t xml:space="preserve">2.3 Antiseizure Medications (ASMs)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2060"/>
        <w:gridCol w:w="26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ASM</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Mechanism</w:t>
            </w:r>
          </w:p>
        </w:tc>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Best For</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Side Effects</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Special Considerations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Levetiracetam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SV2A binding</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Broad spectrum; GTC, focal</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Irritability, behavioral changes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 drug interactions; renal dosing; safe in pregnancy</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Lamotrigine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 channel block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Focal, GTC, absence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Rash (SJS risk), insomnia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Slow titration required; levels drop 50% in pregnancy; OK in childbearing age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Valproate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Multiple (Na, GABA, T-Ca)</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GTC, absence, myoclonic (JME)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Weight gain, tremor, hepatotoxicity, teratogenic</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AVOID in women of childbearing potential; highest teratogenicity (NTD 1-2%)</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Carbamazepine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 channel block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Focal epilepsy</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Hyponatremia, diplopia, rash</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Strong CYP inducer; HLA-B*1502 testing in Asian populations (SJS risk)</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Oxcarbazepine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 channel block</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Focal epilepsy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Hyponatremia (more than CBZ)</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Fewer drug interactions than CBZ</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Lacosamide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Slow Na channel inactivation</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Focal epilepsy</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Dizziness, PR prolongation</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IV formulation available; check ECG</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Brivaracetam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SV2A binding (higher affinity)</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Focal epilepsy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Fewer behavioral effects than LEV</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Can substitute for LEV if behavioral issues</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Phenytoin</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 channel block</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Focal, GTC (acute/status)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Gingival hyperplasia, hirsutism, osteoporosis</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Zero-order kinetics; many drug interactions; monitor free levels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Ethosuximide</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T-type Ca channel block</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Absence seizures ONLY</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GI upset, headache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First-line for childhood absence epilepsy</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Clobazam</w:t>
            </w:r>
          </w:p>
        </w:tc>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GABA-A (1,5-benzodiazepine)</w:t>
            </w:r>
          </w:p>
        </w:tc>
        <w:tc>
          <w:tcPr>
            <w:tcW w:type="dxa" w:w="17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Adjunctive; Lennox-Gastaut</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Sedation, tolerance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CYP2C19 polymorphism affects metabolism</w:t>
            </w:r>
          </w:p>
        </w:tc>
      </w:tr>
    </w:tbl>
    <w:p>
      <w:pPr>
        <w:spacing w:after="200"/>
      </w:pPr>
    </w:p>
    <w:p>
      <w:pPr>
        <w:pStyle w:val="Heading2"/>
      </w:pPr>
      <w:r>
        <w:t xml:space="preserve">2.4 Status Epilepticus</w:t>
      </w:r>
    </w:p>
    <w:p>
      <w:pPr>
        <w:spacing w:after="120"/>
      </w:pPr>
      <w:r>
        <w:t xml:space="preserve">Status epilepticus (SE) is defined as continuous seizure activity lasting &gt;5 minutes or two or more seizures without return to baseline. Convulsive SE is a neurological emergency with mortality of 10-20%.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STATUS EPILEPTICUS MANAGEMENT ALGORITHM</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STAGE 1 (0-5 min): Stabilize - ABCs, O2, IV access, glucose, thiamine. Check labs.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STAGE 2 (5-20 min): BENZODIAZEPINE - IV lorazepam 0.1 mg/kg (max 4 mg, repeat x1) OR IV diazepam 0.15 mg/kg OR IM midazolam 10 mg (RAMPART trial: IM midazolam non-inferior to IV lorazepam)</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STAGE 3 (20-40 min): SECOND-LINE ASM - IV fosphenytoin 20 mg PE/kg OR IV levetiracetam 60 mg/kg (max 4500 mg) OR IV valproate 40 mg/kg (ESETT trial: All three equivalent)</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STAGE 4 (&gt;40 min): REFRACTORY SE - Continuous IV anesthetic: midazolam, propofol, or pentobarbital infusion. Requires intubation + continuous EEG monitoring.</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SUPER-REFRACTORY SE (&gt;24h under anesthesia): Consider ketamine, immunotherapy, ketogenic diet, therapeutic hypothermia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The ESETT trial (2019) showed IV fosphenytoin, levetiracetam, and valproate are equally effective as second-line agents for benzodiazepine-refractory SE. Choice should be individualized based on patient comorbidities and drug interactions.</w:t>
            </w:r>
          </w:p>
        </w:tc>
      </w:tr>
    </w:tbl>
    <w:p>
      <w:pPr>
        <w:spacing w:after="200"/>
      </w:pPr>
    </w:p>
    <w:p>
      <w:pPr>
        <w:pStyle w:val="Heading2"/>
      </w:pPr>
      <w:r>
        <w:t xml:space="preserve">2.5 Special Situations</w:t>
      </w:r>
    </w:p>
    <w:p>
      <w:pPr>
        <w:pStyle w:val="Heading3"/>
      </w:pPr>
      <w:r>
        <w:t xml:space="preserve">2.5.1 Epilepsy in Pregnancy</w:t>
      </w:r>
    </w:p>
    <w:p>
      <w:pPr>
        <w:pStyle w:val="ListParagraph"/>
        <w:numPr>
          <w:ilvl w:val="0"/>
          <w:numId w:val="2"/>
        </w:numPr>
        <w:spacing w:after="60"/>
      </w:pPr>
      <w:r>
        <w:t xml:space="preserve">Pre-conception counseling is essential. Discuss risks of uncontrolled seizures vs. ASM teratogenicity.</w:t>
      </w:r>
    </w:p>
    <w:p>
      <w:pPr>
        <w:pStyle w:val="ListParagraph"/>
        <w:numPr>
          <w:ilvl w:val="0"/>
          <w:numId w:val="2"/>
        </w:numPr>
        <w:spacing w:after="60"/>
      </w:pPr>
      <w:r>
        <w:t xml:space="preserve">Folic acid 4-5 mg/day (higher dose than standard) starting pre-conception.</w:t>
      </w:r>
    </w:p>
    <w:p>
      <w:pPr>
        <w:pStyle w:val="ListParagraph"/>
        <w:numPr>
          <w:ilvl w:val="0"/>
          <w:numId w:val="2"/>
        </w:numPr>
        <w:spacing w:after="60"/>
      </w:pPr>
      <w:r/>
      <w:r>
        <w:t xml:space="preserve">Levetiracetam and lamotrigine have the lowest teratogenic risk. Lamotrigine levels drop significantly in pregnancy - monitor monthly and adjust dose.</w:t>
      </w:r>
    </w:p>
    <w:p>
      <w:pPr>
        <w:pStyle w:val="ListParagraph"/>
        <w:numPr>
          <w:ilvl w:val="0"/>
          <w:numId w:val="2"/>
        </w:numPr>
        <w:spacing w:after="60"/>
      </w:pPr>
      <w:r/>
      <w:r>
        <w:t xml:space="preserve">Valproate (highest teratogenicity, dose-dependent NTD risk 1-2%, neurodevelopmental effects). Topiramate (cleft lip/palate risk).</w:t>
      </w:r>
    </w:p>
    <w:p>
      <w:pPr>
        <w:spacing w:after="200"/>
      </w:pPr>
    </w:p>
    <w:p>
      <w:pPr>
        <w:pStyle w:val="Heading3"/>
      </w:pPr>
      <w:r>
        <w:t xml:space="preserve">2.5.2 First Seizure Management</w:t>
      </w:r>
    </w:p>
    <w:p>
      <w:pPr>
        <w:pStyle w:val="ListParagraph"/>
        <w:numPr>
          <w:ilvl w:val="0"/>
          <w:numId w:val="2"/>
        </w:numPr>
        <w:spacing w:after="60"/>
      </w:pPr>
      <w:r>
        <w:t xml:space="preserve">Single unprovoked seizure: Recurrence risk is 40-50% within 2 years.</w:t>
      </w:r>
    </w:p>
    <w:p>
      <w:pPr>
        <w:pStyle w:val="ListParagraph"/>
        <w:numPr>
          <w:ilvl w:val="0"/>
          <w:numId w:val="2"/>
        </w:numPr>
        <w:spacing w:after="60"/>
      </w:pPr>
      <w:r>
        <w:t xml:space="preserve">ASM treatment after first seizure reduces recurrence but does NOT affect long-term remission (MESS, FIRST trials).</w:t>
      </w:r>
    </w:p>
    <w:p>
      <w:pPr>
        <w:pStyle w:val="ListParagraph"/>
        <w:numPr>
          <w:ilvl w:val="0"/>
          <w:numId w:val="2"/>
        </w:numPr>
        <w:spacing w:after="60"/>
      </w:pPr>
      <w:r>
        <w:t xml:space="preserve">Treat after first seizure if: abnormal EEG, structural brain lesion, focal neurological deficit, or family history of epilepsy.</w:t>
      </w:r>
    </w:p>
    <w:p>
      <w:pPr>
        <w:pStyle w:val="ListParagraph"/>
        <w:numPr>
          <w:ilvl w:val="0"/>
          <w:numId w:val="2"/>
        </w:numPr>
        <w:spacing w:after="60"/>
      </w:pPr>
      <w:r>
        <w:t xml:space="preserve">Driving restrictions: Varies by jurisdiction. Thailand: seizure-free period required. Most US states: 3-12 months seizure-free.</w:t>
      </w:r>
    </w:p>
    <w:p>
      <w:pPr>
        <w:spacing w:after="200"/>
      </w:pPr>
    </w:p>
    <w:p>
      <w:pPr>
        <w:spacing w:before="200" w:after="100"/>
      </w:pPr>
      <w:r>
        <w:rPr>
          <w:b/>
          <w:bCs/>
          <w:color w:val="1F4E79"/>
          <w:sz w:val="24"/>
          <w:szCs w:val="24"/>
        </w:rPr>
        <w:t xml:space="preserve">Practice Question 3</w:t>
      </w:r>
    </w:p>
    <w:p>
      <w:pPr>
        <w:spacing w:after="120"/>
      </w:pPr>
      <w:r>
        <w:t xml:space="preserve">A 16-year-old girl presents with episodes of bilateral arm jerking upon awakening, which have occurred intermittently for 6 months. She had one generalized tonic-clonic seizure last week after sleep deprivation. EEG shows 4-6 Hz polyspike-and-wave discharges. Which is the most likely diagnosis and preferred treatment?</w:t>
      </w:r>
    </w:p>
    <w:p>
      <w:pPr>
        <w:pStyle w:val="ListParagraph"/>
        <w:numPr>
          <w:ilvl w:val="0"/>
          <w:numId w:val="3"/>
        </w:numPr>
        <w:spacing w:after="60"/>
      </w:pPr>
      <w:r>
        <w:t xml:space="preserve">A) Childhood absence epilepsy - ethosuximide</w:t>
      </w:r>
    </w:p>
    <w:p>
      <w:pPr>
        <w:pStyle w:val="ListParagraph"/>
        <w:numPr>
          <w:ilvl w:val="0"/>
          <w:numId w:val="3"/>
        </w:numPr>
        <w:spacing w:after="60"/>
      </w:pPr>
      <w:r>
        <w:t xml:space="preserve">B) Juvenile myoclonic epilepsy - valproate or levetiracetam</w:t>
      </w:r>
    </w:p>
    <w:p>
      <w:pPr>
        <w:pStyle w:val="ListParagraph"/>
        <w:numPr>
          <w:ilvl w:val="0"/>
          <w:numId w:val="3"/>
        </w:numPr>
        <w:spacing w:after="60"/>
      </w:pPr>
      <w:r>
        <w:t xml:space="preserve">C) Temporal lobe epilepsy - carbamazepine</w:t>
      </w:r>
    </w:p>
    <w:p>
      <w:pPr>
        <w:pStyle w:val="ListParagraph"/>
        <w:numPr>
          <w:ilvl w:val="0"/>
          <w:numId w:val="3"/>
        </w:numPr>
        <w:spacing w:after="60"/>
      </w:pPr>
      <w:r>
        <w:t xml:space="preserve">D) Lennox-Gastaut syndrome - lamotrigine</w:t>
      </w:r>
    </w:p>
    <w:p>
      <w:pPr>
        <w:spacing w:before="100"/>
      </w:pPr>
      <w:r>
        <w:rPr>
          <w:b/>
          <w:bCs/>
          <w:color w:val="27AE60"/>
        </w:rPr>
        <w:t xml:space="preserve">Answer: </w:t>
      </w:r>
      <w:r>
        <w:rPr>
          <w:color w:val="27AE60"/>
        </w:rPr>
        <w:t xml:space="preserve">B) Juvenile myoclonic epilepsy - valproate or levetiracetam</w:t>
      </w:r>
    </w:p>
    <w:p>
      <w:pPr>
        <w:spacing w:after="120"/>
      </w:pPr>
      <w:r>
        <w:rPr>
          <w:b/>
          <w:bCs/>
          <w:i/>
          <w:iCs/>
        </w:rPr>
        <w:t xml:space="preserve">Explanation: </w:t>
      </w:r>
      <w:r>
        <w:rPr>
          <w:i/>
          <w:iCs/>
        </w:rPr>
        <w:t xml:space="preserve">Morning myoclonic jerks + GTC seizures + polyspike-wave on EEG in an adolescent is classic JME. Valproate is highly effective but should be avoided in women of childbearing age due to teratogenicity; levetiracetam is a good alternative. JME is lifelong - ASM withdrawal leads to high relapse rates.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ILAE 2017 Classification of Seizure Types and Epilepsies. Fisher RS et al. Epilepsia. 2017;58:512-521 &amp; Scheffer IE et al. Epilepsia. 2017;58:531-542.</w:t>
            </w:r>
          </w:p>
          <w:p>
            <w:pPr>
              <w:spacing w:after="60"/>
              <w:ind w:left="200"/>
            </w:pPr>
            <w:r>
              <w:rPr>
                <w:b/>
                <w:bCs/>
                <w:color w:val="1B5E20"/>
                <w:sz w:val="19"/>
                <w:szCs w:val="19"/>
              </w:rPr>
              <w:t xml:space="preserve">[G2] </w:t>
            </w:r>
            <w:r>
              <w:rPr>
                <w:i/>
                <w:iCs/>
                <w:sz w:val="19"/>
                <w:szCs w:val="19"/>
              </w:rPr>
              <w:t xml:space="preserve">AAN/AES Guideline: Treatment of New-Onset Epilepsy. Kanner AM et al. Neurology. 2018;91:74-81.</w:t>
            </w:r>
          </w:p>
          <w:p>
            <w:pPr>
              <w:spacing w:after="60"/>
              <w:ind w:left="200"/>
            </w:pPr>
            <w:r>
              <w:rPr>
                <w:b/>
                <w:bCs/>
                <w:color w:val="1B5E20"/>
                <w:sz w:val="19"/>
                <w:szCs w:val="19"/>
              </w:rPr>
              <w:t xml:space="preserve">[G3] </w:t>
            </w:r>
            <w:r>
              <w:rPr>
                <w:i/>
                <w:iCs/>
                <w:sz w:val="19"/>
                <w:szCs w:val="19"/>
              </w:rPr>
              <w:t xml:space="preserve">AES/NCS Guideline: Status Epilepticus Management. Brophy GM et al. Neurocrit Care. 2012;17:3-23.</w:t>
            </w:r>
          </w:p>
          <w:p>
            <w:pPr>
              <w:spacing w:after="60"/>
              <w:ind w:left="200"/>
            </w:pPr>
            <w:r>
              <w:rPr>
                <w:b/>
                <w:bCs/>
                <w:color w:val="0D47A1"/>
                <w:sz w:val="19"/>
                <w:szCs w:val="19"/>
              </w:rPr>
              <w:t xml:space="preserve">[T4] </w:t>
            </w:r>
            <w:r>
              <w:rPr>
                <w:b/>
                <w:bCs/>
                <w:sz w:val="19"/>
                <w:szCs w:val="19"/>
              </w:rPr>
              <w:t xml:space="preserve">ESETT: </w:t>
            </w:r>
            <w:r>
              <w:rPr>
                <w:sz w:val="19"/>
                <w:szCs w:val="19"/>
              </w:rPr>
              <w:t xml:space="preserve">Kapur J et al. NEJM 2019;381:2103-13. Fosphenytoin vs levetiracetam vs valproate for benzodiazepine-refractory SE. All three equally effective (~45% seizure cessation). Landmark trial for 2nd-line SE treatment.</w:t>
            </w:r>
          </w:p>
          <w:p>
            <w:pPr>
              <w:spacing w:after="60"/>
              <w:ind w:left="200"/>
            </w:pPr>
            <w:r>
              <w:rPr>
                <w:b/>
                <w:bCs/>
                <w:color w:val="0D47A1"/>
                <w:sz w:val="19"/>
                <w:szCs w:val="19"/>
              </w:rPr>
              <w:t xml:space="preserve">[T5] </w:t>
            </w:r>
            <w:r>
              <w:rPr>
                <w:b/>
                <w:bCs/>
                <w:sz w:val="19"/>
                <w:szCs w:val="19"/>
              </w:rPr>
              <w:t xml:space="preserve">RAMPART: </w:t>
            </w:r>
            <w:r>
              <w:rPr>
                <w:sz w:val="19"/>
                <w:szCs w:val="19"/>
              </w:rPr>
              <w:t xml:space="preserve">Silbergleit R et al. NEJM 2012;366:591-600. IM midazolam non-inferior to IV lorazepam for prehospital SE. Faster time to treatment with IM.</w:t>
            </w:r>
          </w:p>
          <w:p>
            <w:pPr>
              <w:spacing w:after="60"/>
              <w:ind w:left="200"/>
            </w:pPr>
            <w:r>
              <w:rPr>
                <w:b/>
                <w:bCs/>
                <w:color w:val="0D47A1"/>
                <w:sz w:val="19"/>
                <w:szCs w:val="19"/>
              </w:rPr>
              <w:t xml:space="preserve">[T6] </w:t>
            </w:r>
            <w:r>
              <w:rPr>
                <w:b/>
                <w:bCs/>
                <w:sz w:val="19"/>
                <w:szCs w:val="19"/>
              </w:rPr>
              <w:t xml:space="preserve">SANAD I: </w:t>
            </w:r>
            <w:r>
              <w:rPr>
                <w:sz w:val="19"/>
                <w:szCs w:val="19"/>
              </w:rPr>
              <w:t xml:space="preserve">Marson AG et al. Lancet 2007;369:1000-15. Valproate best for generalized/unclassified epilepsy; lamotrigine best for focal epilepsy.</w:t>
            </w:r>
          </w:p>
          <w:p>
            <w:pPr>
              <w:spacing w:after="60"/>
              <w:ind w:left="200"/>
            </w:pPr>
            <w:r>
              <w:rPr>
                <w:b/>
                <w:bCs/>
                <w:color w:val="0D47A1"/>
                <w:sz w:val="19"/>
                <w:szCs w:val="19"/>
              </w:rPr>
              <w:t xml:space="preserve">[T7] </w:t>
            </w:r>
            <w:r>
              <w:rPr>
                <w:b/>
                <w:bCs/>
                <w:sz w:val="19"/>
                <w:szCs w:val="19"/>
              </w:rPr>
              <w:t xml:space="preserve">SANAD II: </w:t>
            </w:r>
            <w:r>
              <w:rPr>
                <w:sz w:val="19"/>
                <w:szCs w:val="19"/>
              </w:rPr>
              <w:t xml:space="preserve">Marson AG et al. Lancet 2021;397:1363-74 &amp; 1375-86. Levetiracetam inferior to valproate (generalized) and lamotrigine (focal) for long-term seizure control.</w:t>
            </w:r>
          </w:p>
          <w:p>
            <w:pPr>
              <w:spacing w:after="60"/>
              <w:ind w:left="200"/>
            </w:pPr>
            <w:r>
              <w:rPr>
                <w:b/>
                <w:bCs/>
                <w:color w:val="0D47A1"/>
                <w:sz w:val="19"/>
                <w:szCs w:val="19"/>
              </w:rPr>
              <w:t xml:space="preserve">[T8] </w:t>
            </w:r>
            <w:r>
              <w:rPr>
                <w:b/>
                <w:bCs/>
                <w:sz w:val="19"/>
                <w:szCs w:val="19"/>
              </w:rPr>
              <w:t xml:space="preserve">MESS: </w:t>
            </w:r>
            <w:r>
              <w:rPr>
                <w:sz w:val="19"/>
                <w:szCs w:val="19"/>
              </w:rPr>
              <w:t xml:space="preserve">Marson A et al. Lancet 2005;365:2007-13. Early vs deferred ASM treatment after first seizure: early treatment reduces short-term recurrence but not long-term remission.</w:t>
            </w:r>
          </w:p>
          <w:p>
            <w:pPr>
              <w:spacing w:after="60"/>
              <w:ind w:left="200"/>
            </w:pPr>
            <w:r>
              <w:rPr>
                <w:b/>
                <w:bCs/>
                <w:color w:val="0D47A1"/>
                <w:sz w:val="19"/>
                <w:szCs w:val="19"/>
              </w:rPr>
              <w:t xml:space="preserve">[T9] </w:t>
            </w:r>
            <w:r>
              <w:rPr>
                <w:b/>
                <w:bCs/>
                <w:sz w:val="19"/>
                <w:szCs w:val="19"/>
              </w:rPr>
              <w:t xml:space="preserve">FIRST: </w:t>
            </w:r>
            <w:r>
              <w:rPr>
                <w:sz w:val="19"/>
                <w:szCs w:val="19"/>
              </w:rPr>
              <w:t xml:space="preserve">Musicco M et al. Neurology 1997;49:991-8. Similar to MESS - treating first seizure does not alter ultimate prognosis.</w:t>
            </w:r>
          </w:p>
          <w:p>
            <w:pPr>
              <w:spacing w:after="60"/>
              <w:ind w:left="200"/>
            </w:pPr>
            <w:r>
              <w:rPr>
                <w:b/>
                <w:bCs/>
                <w:sz w:val="19"/>
                <w:szCs w:val="19"/>
              </w:rPr>
              <w:t xml:space="preserve">[10] </w:t>
            </w:r>
            <w:r>
              <w:rPr>
                <w:sz w:val="19"/>
                <w:szCs w:val="19"/>
              </w:rPr>
              <w:t xml:space="preserve">Tomson T et al. EURAP: Antiepileptic drug exposure in pregnancy. Lancet Neurol. 2018;17:530-38. Valproate highest malformation rate (10.3%); lamotrigine and levetiracetam lowest risk (2.8-2.9%).</w:t>
            </w:r>
          </w:p>
          <w:p>
            <w:pPr>
              <w:spacing w:after="60"/>
              <w:ind w:left="200"/>
            </w:pPr>
            <w:r>
              <w:rPr>
                <w:b/>
                <w:bCs/>
                <w:sz w:val="19"/>
                <w:szCs w:val="19"/>
              </w:rPr>
              <w:t xml:space="preserve">[11] </w:t>
            </w:r>
            <w:r>
              <w:rPr>
                <w:sz w:val="19"/>
                <w:szCs w:val="19"/>
              </w:rPr>
              <w:t xml:space="preserve">Engel J Jr et al. Practice parameter: Temporal lobe and localized neocortical resections for epilepsy. Neurology. 2003;60:538-47. Class I evidence for surgery in drug-resistant TLE.</w:t>
            </w:r>
          </w:p>
        </w:tc>
      </w:tr>
    </w:tbl>
    <w:p>
      <w:r>
        <w:br w:type="page"/>
      </w:r>
    </w:p>
    <w:p>
      <w:pPr>
        <w:pStyle w:val="Heading1"/>
      </w:pPr>
      <w:r>
        <w:t xml:space="preserve">3. Movement Disorders</w:t>
      </w:r>
    </w:p>
    <w:p>
      <w:pPr>
        <w:spacing w:after="120"/>
      </w:pPr>
      <w:r>
        <w:t xml:space="preserve">Movement disorders are classified as hypokinetic (e.g., parkinsonism) or hyperkinetic (e.g., tremor, chorea, dystonia, myoclonus, tics). This section covers the major conditions relevant to internal medicine and neurology boards.</w:t>
      </w:r>
    </w:p>
    <w:p>
      <w:pPr>
        <w:pStyle w:val="Heading2"/>
      </w:pPr>
      <w:r>
        <w:t xml:space="preserve">3.1 Parkinson Disease</w:t>
      </w:r>
    </w:p>
    <w:p>
      <w:pPr>
        <w:pStyle w:val="Heading3"/>
      </w:pPr>
      <w:r>
        <w:t xml:space="preserve">3.1.1 Diagnosis</w:t>
      </w:r>
    </w:p>
    <w:p>
      <w:pPr>
        <w:spacing w:after="120"/>
      </w:pPr>
      <w:r>
        <w:t xml:space="preserve">Parkinson disease (PD) is the second most common neurodegenerative disease. The UK Brain Bank criteria require bradykinesia plus at least one of: rigidity, 4-6 Hz rest tremor, or postural instability (not caused by visual, vestibular, cerebellar, or proprioceptive dysfunction).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Cardinal Feature</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Description</w:t>
            </w:r>
          </w:p>
        </w:tc>
        <w:tc>
          <w:tcPr>
            <w:tcW w:type="dxa" w:w="37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Tip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Bradykinesia</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Slowness of movement with progressive decrement in speed/amplitude</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Test with finger tapping, hand movements, toe tapping - look for decrement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Rigidity</w:t>
            </w:r>
          </w:p>
        </w:tc>
        <w:tc>
          <w:tcPr>
            <w:tcW w:type="dxa" w:w="37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Increased resistance throughout ROM (lead-pipe); cogwheel if superimposed tremor</w:t>
            </w:r>
          </w:p>
        </w:tc>
        <w:tc>
          <w:tcPr>
            <w:tcW w:type="dxa" w:w="37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Test at wrist/elbow; augmented by contralateral limb activation (Froment maneuver)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Rest tremor</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4-6 Hz, pill-rolling, suppressed by action, enhanced by distraction</w:t>
            </w:r>
          </w:p>
        </w:tc>
        <w:tc>
          <w:tcPr>
            <w:tcW w:type="dxa" w:w="3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Present at rest; often asymmetric at onset; re-emergent postural tremor is characteristic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Postural instability</w:t>
            </w:r>
          </w:p>
        </w:tc>
        <w:tc>
          <w:tcPr>
            <w:tcW w:type="dxa" w:w="37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Impaired balance reflexes; pull test positive</w:t>
            </w:r>
          </w:p>
        </w:tc>
        <w:tc>
          <w:tcPr>
            <w:tcW w:type="dxa" w:w="37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Usually later feature; early postural instability suggests atypical parkinsonism</w:t>
            </w:r>
          </w:p>
        </w:tc>
      </w:tr>
    </w:tbl>
    <w:p>
      <w:pPr>
        <w:spacing w:after="200"/>
      </w:pPr>
    </w:p>
    <w:p>
      <w:pPr>
        <w:pStyle w:val="Heading3"/>
      </w:pPr>
      <w:r>
        <w:t xml:space="preserve">3.1.2 Non-Motor Features (Often Precede Motor Symptoms)</w:t>
      </w:r>
    </w:p>
    <w:p>
      <w:pPr>
        <w:pStyle w:val="ListParagraph"/>
        <w:numPr>
          <w:ilvl w:val="0"/>
          <w:numId w:val="2"/>
        </w:numPr>
        <w:spacing w:after="60"/>
      </w:pPr>
      <w:r>
        <w:t xml:space="preserve">REM sleep behavior disorder (RBD): Strong predictor of alpha-synucleinopathy; 80% convert to PD/DLB</w:t>
      </w:r>
    </w:p>
    <w:p>
      <w:pPr>
        <w:pStyle w:val="ListParagraph"/>
        <w:numPr>
          <w:ilvl w:val="0"/>
          <w:numId w:val="2"/>
        </w:numPr>
        <w:spacing w:after="60"/>
      </w:pPr>
      <w:r>
        <w:t xml:space="preserve">Hyposmia/anosmia: Present in &gt;90% of PD; one of earliest features</w:t>
      </w:r>
    </w:p>
    <w:p>
      <w:pPr>
        <w:pStyle w:val="ListParagraph"/>
        <w:numPr>
          <w:ilvl w:val="0"/>
          <w:numId w:val="2"/>
        </w:numPr>
        <w:spacing w:after="60"/>
      </w:pPr>
      <w:r>
        <w:t xml:space="preserve">Constipation: Due to enteric nervous system alpha-synuclein pathology</w:t>
      </w:r>
    </w:p>
    <w:p>
      <w:pPr>
        <w:pStyle w:val="ListParagraph"/>
        <w:numPr>
          <w:ilvl w:val="0"/>
          <w:numId w:val="2"/>
        </w:numPr>
        <w:spacing w:after="60"/>
      </w:pPr>
      <w:r>
        <w:t xml:space="preserve">Depression and anxiety: Affect up to 40% of PD patients</w:t>
      </w:r>
    </w:p>
    <w:p>
      <w:pPr>
        <w:pStyle w:val="ListParagraph"/>
        <w:numPr>
          <w:ilvl w:val="0"/>
          <w:numId w:val="2"/>
        </w:numPr>
        <w:spacing w:after="60"/>
      </w:pPr>
      <w:r>
        <w:t xml:space="preserve">Cognitive decline and dementia (PDD): 80% prevalence with disease duration &gt;20 years</w:t>
      </w:r>
    </w:p>
    <w:p>
      <w:pPr>
        <w:pStyle w:val="ListParagraph"/>
        <w:numPr>
          <w:ilvl w:val="0"/>
          <w:numId w:val="2"/>
        </w:numPr>
        <w:spacing w:after="60"/>
      </w:pPr>
      <w:r>
        <w:t xml:space="preserve">Autonomic dysfunction: Orthostatic hypotension, urinary urgency, erectile dysfunction</w:t>
      </w:r>
    </w:p>
    <w:p>
      <w:pPr>
        <w:spacing w:after="200"/>
      </w:pPr>
    </w:p>
    <w:p>
      <w:pPr>
        <w:pStyle w:val="Heading3"/>
      </w:pPr>
      <w:r>
        <w:t xml:space="preserve">3.1.3 Pharmacotherapy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400"/>
        <w:gridCol w:w="28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Drug Class</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Examples</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Mechanism</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Points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Levodopa/carbidopa</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Sinemet, Stalevo (+ entacapone)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 precursor + decarboxylase inhibitor</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effective; start when functional impairment; does NOT accelerate disease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Dopamine agonists</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Pramipexole, ropinirole, rotigotine patch</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Direct D2/D3 stimulation</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Less dyskinesia risk; but impulse control disorders (gambling, hypersexuality), sleepiness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MAO-B inhibitors</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Selegiline, rasagiline, safinamide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Block MAO-B, increase DA</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Mild benefit; may be used early/adjunctive; selegiline -&gt; amphetamine metabolites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COMT inhibitors</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Entacapone, opicapone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Block peripheral DA metabolism</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Adjunct to L-dopa to reduce off time; entacapone in Stalevo</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Amantadine</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Amantadine, amantadine ER</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NMDA antagonist, DA release</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Reduces dyskinesia; also useful for mild early PD; livedo reticularis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Anticholinergics</w:t>
            </w:r>
          </w:p>
        </w:tc>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Trihexyphenidyl, benztropine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Block muscarinic receptors</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Primarily for tremor; avoid in elderly (cognitive impairment, urinary retention)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Levodopa does NOT cause PD progression (LEAP trial, ELLDOPA). The motor complications (wearing-off, dyskinesia) are related to disease progression and pulsatile dopaminergic stimulation, not levodopa toxicity. Do not delay levodopa when patients need it for functional independence.</w:t>
            </w:r>
          </w:p>
        </w:tc>
      </w:tr>
    </w:tbl>
    <w:p>
      <w:pPr>
        <w:spacing w:after="200"/>
      </w:pPr>
    </w:p>
    <w:p>
      <w:pPr>
        <w:pStyle w:val="Heading3"/>
      </w:pPr>
      <w:r>
        <w:t xml:space="preserve">3.1.4 Advanced Therapies</w:t>
      </w:r>
    </w:p>
    <w:p>
      <w:pPr>
        <w:pStyle w:val="ListParagraph"/>
        <w:numPr>
          <w:ilvl w:val="0"/>
          <w:numId w:val="2"/>
        </w:numPr>
        <w:spacing w:after="60"/>
      </w:pPr>
      <w:r/>
      <w:r>
        <w:t xml:space="preserve">STN or GPi targets. For motor fluctuations despite optimal medical therapy. Best candidates: clear levodopa response, no significant cognitive impairment, age &lt;70.</w:t>
      </w:r>
    </w:p>
    <w:p>
      <w:pPr>
        <w:pStyle w:val="ListParagraph"/>
        <w:numPr>
          <w:ilvl w:val="0"/>
          <w:numId w:val="2"/>
        </w:numPr>
        <w:spacing w:after="60"/>
      </w:pPr>
      <w:r/>
      <w:r>
        <w:t xml:space="preserve">Continuous jejunal infusion via PEG-J. For severe motor fluctuations.</w:t>
      </w:r>
    </w:p>
    <w:p>
      <w:pPr>
        <w:pStyle w:val="ListParagraph"/>
        <w:numPr>
          <w:ilvl w:val="0"/>
          <w:numId w:val="2"/>
        </w:numPr>
        <w:spacing w:after="60"/>
      </w:pPr>
      <w:r/>
      <w:r>
        <w:t xml:space="preserve">Rescue injection for acute off periods. Continuous infusion available in some countries.</w:t>
      </w:r>
    </w:p>
    <w:p>
      <w:pPr>
        <w:spacing w:after="200"/>
      </w:pPr>
    </w:p>
    <w:p>
      <w:pPr>
        <w:pStyle w:val="Heading2"/>
      </w:pPr>
      <w:r>
        <w:t xml:space="preserve">3.2 Atypical Parkinsonism (Parkinson-Plus Syndromes)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1800"/>
        <w:gridCol w:w="320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Syndrome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Distinguishing Features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Pathology</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MSA-P (parkinsonism)</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Early autonomic failure (OH, urinary), cerebellar signs, poor L-dopa response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Alpha-synuclein (GCI)</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Supportive; midodrine/droxidopa for OH</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MSA-C (cerebellar)</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Cerebellar ataxia, autonomic failure, hot-cross bun sign on MRI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Alpha-synuclein (GCI)</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Supportive; physiotherapy</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PSP</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Vertical supranuclear gaze palsy (downgaze), early falls (backward), axial rigidity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Tau (4R tauopathy)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Limited L-dopa response; hummingbird sign on MRI</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CBD/CBS</w:t>
            </w:r>
          </w:p>
        </w:tc>
        <w:tc>
          <w:tcPr>
            <w:tcW w:type="dxa" w:w="28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Asymmetric apraxia, alien limb, cortical sensory loss, myoclonus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Tau (4R tauopathy)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Symptomatic only; clonazepam for myoclonus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DLB</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Fluctuating cognition, visual hallucinations, parkinsonism, RBD</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Alpha-synuclein (Lewy bodies)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Cholinesterase inhibitors; AVOID antipsychotics (severe sensitivity)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NEVER give typical antipsychotics (haloperidol) to patients with DLB or PD. Neuroleptic sensitivity is a core feature of DLB and can cause life-threatening rigidity, confusion, and autonomic instability. If antipsychotic is needed, use quetiapine (lowest D2 affinity) or pimavanserin (selective 5-HT2A inverse agonist, no D2 blockade).</w:t>
            </w:r>
          </w:p>
        </w:tc>
      </w:tr>
    </w:tbl>
    <w:p>
      <w:pPr>
        <w:spacing w:after="200"/>
      </w:pPr>
    </w:p>
    <w:p>
      <w:pPr>
        <w:pStyle w:val="Heading2"/>
      </w:pPr>
      <w:r>
        <w:t xml:space="preserve">3.3 Essential Tremor</w:t>
      </w:r>
    </w:p>
    <w:p>
      <w:pPr>
        <w:pStyle w:val="ListParagraph"/>
        <w:numPr>
          <w:ilvl w:val="0"/>
          <w:numId w:val="2"/>
        </w:numPr>
        <w:spacing w:after="60"/>
      </w:pPr>
      <w:r>
        <w:t xml:space="preserve">Most common movement disorder (prevalence 1-5%). Bilateral action/postural tremor (6-12 Hz), often improves with alcohol.</w:t>
      </w:r>
    </w:p>
    <w:p>
      <w:pPr>
        <w:pStyle w:val="ListParagraph"/>
        <w:numPr>
          <w:ilvl w:val="0"/>
          <w:numId w:val="2"/>
        </w:numPr>
        <w:spacing w:after="60"/>
      </w:pPr>
      <w:r/>
      <w:r>
        <w:t xml:space="preserve">First-line: propranolol (60-320 mg/day) or primidone (25-750 mg/day). Second-line: topiramate, gabapentin. Refractory: DBS (VIM thalamus) or focused ultrasound thalamotomy.</w:t>
      </w:r>
    </w:p>
    <w:p>
      <w:pPr>
        <w:spacing w:after="200"/>
      </w:pPr>
    </w:p>
    <w:p>
      <w:pPr>
        <w:pStyle w:val="Heading2"/>
      </w:pPr>
      <w:r>
        <w:t xml:space="preserve">3.4 Chorea</w:t>
      </w:r>
    </w:p>
    <w:p>
      <w:pPr>
        <w:pStyle w:val="ListParagraph"/>
        <w:numPr>
          <w:ilvl w:val="0"/>
          <w:numId w:val="2"/>
        </w:numPr>
        <w:spacing w:after="60"/>
      </w:pPr>
      <w:r/>
      <w:r>
        <w:t xml:space="preserve">Autosomal dominant, CAG trinucleotide repeat expansion (&gt;36 repeats) in HTT gene. Progressive chorea, behavioral changes, cognitive decline. Treatment: tetrabenazine or deutetrabenazine (VMAT2 inhibitors) for chorea.</w:t>
      </w:r>
    </w:p>
    <w:p>
      <w:pPr>
        <w:pStyle w:val="ListParagraph"/>
        <w:numPr>
          <w:ilvl w:val="0"/>
          <w:numId w:val="2"/>
        </w:numPr>
        <w:spacing w:after="60"/>
      </w:pPr>
      <w:r/>
      <w:r>
        <w:t xml:space="preserve">Post-streptococcal (rheumatic fever); most common cause of chorea in children. Self-limited; penicillin prophylaxis.</w:t>
      </w:r>
    </w:p>
    <w:p>
      <w:pPr>
        <w:pStyle w:val="ListParagraph"/>
        <w:numPr>
          <w:ilvl w:val="0"/>
          <w:numId w:val="2"/>
        </w:numPr>
        <w:spacing w:after="60"/>
      </w:pPr>
      <w:r/>
      <w:r>
        <w:t xml:space="preserve">Levodopa (dyskinesia), neuroleptics (tardive dyskinesia), OCP, phenytoin.</w:t>
      </w:r>
    </w:p>
    <w:p>
      <w:pPr>
        <w:pStyle w:val="ListParagraph"/>
        <w:numPr>
          <w:ilvl w:val="0"/>
          <w:numId w:val="2"/>
        </w:numPr>
        <w:spacing w:after="60"/>
      </w:pPr>
      <w:r/>
      <w:r>
        <w:t xml:space="preserve">Repetitive orolingual movements from chronic dopamine receptor blockade. Treatment: VMAT2 inhibitors (valbenazine, deutetrabenazine).</w:t>
      </w:r>
    </w:p>
    <w:p>
      <w:pPr>
        <w:spacing w:after="200"/>
      </w:pPr>
    </w:p>
    <w:p>
      <w:pPr>
        <w:pStyle w:val="Heading2"/>
      </w:pPr>
      <w:r>
        <w:t xml:space="preserve">3.5 Dystonia</w:t>
      </w:r>
    </w:p>
    <w:p>
      <w:pPr>
        <w:pStyle w:val="ListParagraph"/>
        <w:numPr>
          <w:ilvl w:val="0"/>
          <w:numId w:val="2"/>
        </w:numPr>
        <w:spacing w:after="60"/>
      </w:pPr>
      <w:r>
        <w:t xml:space="preserve">Sustained or intermittent muscle contractions causing abnormal postures/movements. Classified by age, distribution, temporal pattern, and etiology.</w:t>
      </w:r>
    </w:p>
    <w:p>
      <w:pPr>
        <w:pStyle w:val="ListParagraph"/>
        <w:numPr>
          <w:ilvl w:val="0"/>
          <w:numId w:val="2"/>
        </w:numPr>
        <w:spacing w:after="60"/>
      </w:pPr>
      <w:r/>
      <w:r>
        <w:t xml:space="preserve">Most common focal dystonia in adults. Treatment: botulinum toxin injection (first-line).</w:t>
      </w:r>
    </w:p>
    <w:p>
      <w:pPr>
        <w:pStyle w:val="ListParagraph"/>
        <w:numPr>
          <w:ilvl w:val="0"/>
          <w:numId w:val="2"/>
        </w:numPr>
        <w:spacing w:after="60"/>
      </w:pPr>
      <w:r/>
      <w:r>
        <w:t xml:space="preserve">DYT1 (TOR1A gene) most common inherited form. Trial of levodopa essential to rule out dopa-responsive dystonia (DYT5/DRD - dramatic sustained response).</w:t>
      </w:r>
    </w:p>
    <w:p>
      <w:pPr>
        <w:pStyle w:val="ListParagraph"/>
        <w:numPr>
          <w:ilvl w:val="0"/>
          <w:numId w:val="2"/>
        </w:numPr>
        <w:spacing w:after="60"/>
      </w:pPr>
      <w:r/>
      <w:r>
        <w:t xml:space="preserve">Botulinum toxin for focal; anticholinergics (trihexyphenidyl) for generalized; baclofen; DBS (GPi) for refractory generalized dystonia.</w:t>
      </w:r>
    </w:p>
    <w:p>
      <w:pPr>
        <w:spacing w:after="200"/>
      </w:pPr>
    </w:p>
    <w:p>
      <w:pPr>
        <w:spacing w:before="200" w:after="100"/>
      </w:pPr>
      <w:r>
        <w:rPr>
          <w:b/>
          <w:bCs/>
          <w:color w:val="1F4E79"/>
          <w:sz w:val="24"/>
          <w:szCs w:val="24"/>
        </w:rPr>
        <w:t xml:space="preserve">Practice Question 4</w:t>
      </w:r>
    </w:p>
    <w:p>
      <w:pPr>
        <w:spacing w:after="120"/>
      </w:pPr>
      <w:r>
        <w:t xml:space="preserve">A 68-year-old man develops progressive difficulty walking with frequent falls backward within the first year of symptom onset. Examination reveals vertical gaze limitation (particularly downgaze), axial rigidity greater than limb rigidity, and minimal tremor. MRI shows midbrain atrophy. What is the most likely diagnosis?</w:t>
      </w:r>
    </w:p>
    <w:p>
      <w:pPr>
        <w:pStyle w:val="ListParagraph"/>
        <w:numPr>
          <w:ilvl w:val="0"/>
          <w:numId w:val="3"/>
        </w:numPr>
        <w:spacing w:after="60"/>
      </w:pPr>
      <w:r>
        <w:t xml:space="preserve">A) Parkinson disease</w:t>
      </w:r>
    </w:p>
    <w:p>
      <w:pPr>
        <w:pStyle w:val="ListParagraph"/>
        <w:numPr>
          <w:ilvl w:val="0"/>
          <w:numId w:val="3"/>
        </w:numPr>
        <w:spacing w:after="60"/>
      </w:pPr>
      <w:r>
        <w:t xml:space="preserve">B) Progressive supranuclear palsy (PSP)</w:t>
      </w:r>
    </w:p>
    <w:p>
      <w:pPr>
        <w:pStyle w:val="ListParagraph"/>
        <w:numPr>
          <w:ilvl w:val="0"/>
          <w:numId w:val="3"/>
        </w:numPr>
        <w:spacing w:after="60"/>
      </w:pPr>
      <w:r>
        <w:t xml:space="preserve">C) Multiple system atrophy</w:t>
      </w:r>
    </w:p>
    <w:p>
      <w:pPr>
        <w:pStyle w:val="ListParagraph"/>
        <w:numPr>
          <w:ilvl w:val="0"/>
          <w:numId w:val="3"/>
        </w:numPr>
        <w:spacing w:after="60"/>
      </w:pPr>
      <w:r>
        <w:t xml:space="preserve">D) Corticobasal degeneration</w:t>
      </w:r>
    </w:p>
    <w:p>
      <w:pPr>
        <w:spacing w:before="100"/>
      </w:pPr>
      <w:r>
        <w:rPr>
          <w:b/>
          <w:bCs/>
          <w:color w:val="27AE60"/>
        </w:rPr>
        <w:t xml:space="preserve">Answer: </w:t>
      </w:r>
      <w:r>
        <w:rPr>
          <w:color w:val="27AE60"/>
        </w:rPr>
        <w:t xml:space="preserve">B) Progressive supranuclear palsy (PSP)</w:t>
      </w:r>
    </w:p>
    <w:p>
      <w:pPr>
        <w:spacing w:after="120"/>
      </w:pPr>
      <w:r>
        <w:rPr>
          <w:b/>
          <w:bCs/>
          <w:i/>
          <w:iCs/>
        </w:rPr>
        <w:t xml:space="preserve">Explanation: </w:t>
      </w:r>
      <w:r>
        <w:rPr>
          <w:i/>
          <w:iCs/>
        </w:rPr>
        <w:t xml:space="preserve">Early falls (within first year), vertical supranuclear gaze palsy (especially downgaze), axial &gt; limb rigidity, and midbrain atrophy (hummingbird sign) are hallmarks of PSP. PD typically has asymmetric onset with tremor and falls are a later feature. MSA features prominent autonomic failure. CBD presents with asymmetric cortical signs.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MDS Clinical Diagnostic Criteria for Parkinson Disease. Postuma RB et al. Mov Disord. 2015;30:1591-1601.</w:t>
            </w:r>
          </w:p>
          <w:p>
            <w:pPr>
              <w:spacing w:after="60"/>
              <w:ind w:left="200"/>
            </w:pPr>
            <w:r>
              <w:rPr>
                <w:b/>
                <w:bCs/>
                <w:color w:val="1B5E20"/>
                <w:sz w:val="19"/>
                <w:szCs w:val="19"/>
              </w:rPr>
              <w:t xml:space="preserve">[G2] </w:t>
            </w:r>
            <w:r>
              <w:rPr>
                <w:i/>
                <w:iCs/>
                <w:sz w:val="19"/>
                <w:szCs w:val="19"/>
              </w:rPr>
              <w:t xml:space="preserve">MDS Criteria for the Diagnosis of Progressive Supranuclear Palsy. Hoglinger GU et al. Mov Disord. 2017;32:853-864.</w:t>
            </w:r>
          </w:p>
          <w:p>
            <w:pPr>
              <w:spacing w:after="60"/>
              <w:ind w:left="200"/>
            </w:pPr>
            <w:r>
              <w:rPr>
                <w:b/>
                <w:bCs/>
                <w:color w:val="1B5E20"/>
                <w:sz w:val="19"/>
                <w:szCs w:val="19"/>
              </w:rPr>
              <w:t xml:space="preserve">[G3] </w:t>
            </w:r>
            <w:r>
              <w:rPr>
                <w:i/>
                <w:iCs/>
                <w:sz w:val="19"/>
                <w:szCs w:val="19"/>
              </w:rPr>
              <w:t xml:space="preserve">Second Consensus Statement on the Diagnosis of Multiple System Atrophy. Gilman S et al. Neurology. 2008;71:670-676. Updated: Wenning GK et al. Mov Disord. 2022;37:2466-2478.</w:t>
            </w:r>
          </w:p>
          <w:p>
            <w:pPr>
              <w:spacing w:after="60"/>
              <w:ind w:left="200"/>
            </w:pPr>
            <w:r>
              <w:rPr>
                <w:b/>
                <w:bCs/>
                <w:color w:val="1B5E20"/>
                <w:sz w:val="19"/>
                <w:szCs w:val="19"/>
              </w:rPr>
              <w:t xml:space="preserve">[G4] </w:t>
            </w:r>
            <w:r>
              <w:rPr>
                <w:i/>
                <w:iCs/>
                <w:sz w:val="19"/>
                <w:szCs w:val="19"/>
              </w:rPr>
              <w:t xml:space="preserve">Consensus Criteria for the Diagnosis of Corticobasal Degeneration. Armstrong MJ et al. Neurology. 2013;80:496-503.</w:t>
            </w:r>
          </w:p>
          <w:p>
            <w:pPr>
              <w:spacing w:after="60"/>
              <w:ind w:left="200"/>
            </w:pPr>
            <w:r>
              <w:rPr>
                <w:b/>
                <w:bCs/>
                <w:color w:val="1B5E20"/>
                <w:sz w:val="19"/>
                <w:szCs w:val="19"/>
              </w:rPr>
              <w:t xml:space="preserve">[G5] </w:t>
            </w:r>
            <w:r>
              <w:rPr>
                <w:i/>
                <w:iCs/>
                <w:sz w:val="19"/>
                <w:szCs w:val="19"/>
              </w:rPr>
              <w:t xml:space="preserve">Diagnosis and Management of Dementia with Lewy Bodies: Fourth Consensus Report. McKeith IG et al. Neurology. 2017;89:88-100.</w:t>
            </w:r>
          </w:p>
          <w:p>
            <w:pPr>
              <w:spacing w:after="60"/>
              <w:ind w:left="200"/>
            </w:pPr>
            <w:r>
              <w:rPr>
                <w:b/>
                <w:bCs/>
                <w:color w:val="0D47A1"/>
                <w:sz w:val="19"/>
                <w:szCs w:val="19"/>
              </w:rPr>
              <w:t xml:space="preserve">[T6] </w:t>
            </w:r>
            <w:r>
              <w:rPr>
                <w:b/>
                <w:bCs/>
                <w:sz w:val="19"/>
                <w:szCs w:val="19"/>
              </w:rPr>
              <w:t xml:space="preserve">LEAP (Delayed-Start Design): </w:t>
            </w:r>
            <w:r>
              <w:rPr>
                <w:sz w:val="19"/>
                <w:szCs w:val="19"/>
              </w:rPr>
              <w:t xml:space="preserve">Verschuur CVM et al. NEJM 2019;380:315-24. Levodopa does NOT have disease-modifying effect (no neuroprotection) but also does NOT accelerate disease. Safe to start when clinically needed.</w:t>
            </w:r>
          </w:p>
          <w:p>
            <w:pPr>
              <w:spacing w:after="60"/>
              <w:ind w:left="200"/>
            </w:pPr>
            <w:r>
              <w:rPr>
                <w:b/>
                <w:bCs/>
                <w:color w:val="0D47A1"/>
                <w:sz w:val="19"/>
                <w:szCs w:val="19"/>
              </w:rPr>
              <w:t xml:space="preserve">[T7] </w:t>
            </w:r>
            <w:r>
              <w:rPr>
                <w:b/>
                <w:bCs/>
                <w:sz w:val="19"/>
                <w:szCs w:val="19"/>
              </w:rPr>
              <w:t xml:space="preserve">ELLDOPA: </w:t>
            </w:r>
            <w:r>
              <w:rPr>
                <w:sz w:val="19"/>
                <w:szCs w:val="19"/>
              </w:rPr>
              <w:t xml:space="preserve">Fahn S et al. NEJM 2004;351:2498-2508. Higher levodopa doses = better symptom control. No evidence of accelerated disease progression at 40 weeks.</w:t>
            </w:r>
          </w:p>
          <w:p>
            <w:pPr>
              <w:spacing w:after="60"/>
              <w:ind w:left="200"/>
            </w:pPr>
            <w:r>
              <w:rPr>
                <w:b/>
                <w:bCs/>
                <w:color w:val="0D47A1"/>
                <w:sz w:val="19"/>
                <w:szCs w:val="19"/>
              </w:rPr>
              <w:t xml:space="preserve">[T8] </w:t>
            </w:r>
            <w:r>
              <w:rPr>
                <w:b/>
                <w:bCs/>
                <w:sz w:val="19"/>
                <w:szCs w:val="19"/>
              </w:rPr>
              <w:t xml:space="preserve">EARLYSTIM: </w:t>
            </w:r>
            <w:r>
              <w:rPr>
                <w:sz w:val="19"/>
                <w:szCs w:val="19"/>
              </w:rPr>
              <w:t xml:space="preserve">Schuepbach WMM et al. NEJM 2013;368:610-22. DBS (STN) superior to best medical therapy in PD with early motor complications. Improved QoL and motor scores.</w:t>
            </w:r>
          </w:p>
          <w:p>
            <w:pPr>
              <w:spacing w:after="60"/>
              <w:ind w:left="200"/>
            </w:pPr>
            <w:r>
              <w:rPr>
                <w:b/>
                <w:bCs/>
                <w:color w:val="0D47A1"/>
                <w:sz w:val="19"/>
                <w:szCs w:val="19"/>
              </w:rPr>
              <w:t xml:space="preserve">[T9] </w:t>
            </w:r>
            <w:r>
              <w:rPr>
                <w:b/>
                <w:bCs/>
                <w:sz w:val="19"/>
                <w:szCs w:val="19"/>
              </w:rPr>
              <w:t xml:space="preserve">ADAGIO: </w:t>
            </w:r>
            <w:r>
              <w:rPr>
                <w:sz w:val="19"/>
                <w:szCs w:val="19"/>
              </w:rPr>
              <w:t xml:space="preserve">Olanow CW et al. NEJM 2009;361:1268-78. Rasagiline 1 mg/day showed possible disease-modifying effect in early PD (delayed-start design). 2 mg dose did not replicate results.</w:t>
            </w:r>
          </w:p>
          <w:p>
            <w:pPr>
              <w:spacing w:after="60"/>
              <w:ind w:left="200"/>
            </w:pPr>
            <w:r>
              <w:rPr>
                <w:b/>
                <w:bCs/>
                <w:sz w:val="19"/>
                <w:szCs w:val="19"/>
              </w:rPr>
              <w:t xml:space="preserve">[10] </w:t>
            </w:r>
            <w:r>
              <w:rPr>
                <w:sz w:val="19"/>
                <w:szCs w:val="19"/>
              </w:rPr>
              <w:t xml:space="preserve">Postuma RB et al. Risk and predictors of dementia and parkinsonism in idiopathic REM sleep behaviour disorder: a multicentre study. Brain. 2019;142:744-759. Phenoconversion rate &gt;80% at 10-15 years.</w:t>
            </w:r>
          </w:p>
          <w:p>
            <w:pPr>
              <w:spacing w:after="60"/>
              <w:ind w:left="200"/>
            </w:pPr>
            <w:r>
              <w:rPr>
                <w:b/>
                <w:bCs/>
                <w:sz w:val="19"/>
                <w:szCs w:val="19"/>
              </w:rPr>
              <w:t xml:space="preserve">[11] </w:t>
            </w:r>
            <w:r>
              <w:rPr>
                <w:sz w:val="19"/>
                <w:szCs w:val="19"/>
              </w:rPr>
              <w:t xml:space="preserve">Huntington Disease: NEJM 2020;382:1753-64. (McColgan P, Tabrizi SJ). Comprehensive review including genetics, pathology, emerging therapies.</w:t>
            </w:r>
          </w:p>
        </w:tc>
      </w:tr>
    </w:tbl>
    <w:p>
      <w:r>
        <w:br w:type="page"/>
      </w:r>
    </w:p>
    <w:p>
      <w:pPr>
        <w:pStyle w:val="Heading1"/>
      </w:pPr>
      <w:r>
        <w:t xml:space="preserve">4. Headache Disorders</w:t>
      </w:r>
    </w:p>
    <w:p>
      <w:pPr>
        <w:spacing w:after="120"/>
      </w:pPr>
      <w:r>
        <w:t xml:space="preserve">Headache is one of the most common neurological complaints. The ICHD-3 (International Classification of Headache Disorders, 3rd edition) provides the diagnostic framework. Primary headaches (migraine, tension-type, cluster) must be distinguished from secondary headaches that may indicate life-threatening pathology.</w:t>
      </w:r>
    </w:p>
    <w:p>
      <w:pPr>
        <w:pStyle w:val="Heading2"/>
      </w:pPr>
      <w:r>
        <w:t xml:space="preserve">4.1 Red Flags (SNOOP10)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HEADACHE RED FLAGS - SNOOP10 MNEMONIC</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 - Systemic symptoms (fever, weight loss, cancer, HIV, pregnancy)</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N - Neurological symptoms or abnormal signs (focal deficits, papilledema, altered consciousness)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O - Onset sudden (thunderclap: peak within seconds to 1 minute)</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O - Onset after age 50 (consider GCA, intracranial neoplasm)</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Pattern change or progressive headache</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Positional headache (worse upright: low CSF pressure; worse supine: raised ICP)</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Precipitated by Valsalva (cough, strain: consider Chiari, posterior fossa lesion)</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Papilledema</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Progressive headache / atypical presentation</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P - Pregnancy or postpartum (consider CVT, preeclampsia, reversible cerebral vasoconstriction syndrome)</w:t>
            </w:r>
          </w:p>
        </w:tc>
      </w:tr>
    </w:tbl>
    <w:p>
      <w:pPr>
        <w:spacing w:after="200"/>
      </w:pPr>
    </w:p>
    <w:p>
      <w:pPr>
        <w:pStyle w:val="Heading2"/>
      </w:pPr>
      <w:r>
        <w:t xml:space="preserve">4.2 Migraine</w:t>
      </w:r>
    </w:p>
    <w:p>
      <w:pPr>
        <w:pStyle w:val="Heading3"/>
      </w:pPr>
      <w:r>
        <w:t xml:space="preserve">4.2.1 Diagnostic Criteria (ICHD-3)</w:t>
      </w:r>
    </w:p>
    <w:p>
      <w:pPr>
        <w:spacing w:after="120"/>
      </w:pPr>
      <w:r>
        <w:t xml:space="preserve">Migraine without aura requires at least 5 attacks fulfilling: headache lasting 4-72 hours, at least 2 of (unilateral, pulsating, moderate-severe, aggravated by routine physical activity), and at least 1 of (nausea/vomiting, photophobia AND phonophobia).</w:t>
      </w:r>
    </w:p>
    <w:p>
      <w:pPr>
        <w:spacing w:after="120"/>
      </w:pPr>
      <w:r>
        <w:t xml:space="preserve">Migraine with aura requires at least 2 attacks with fully reversible visual, sensory, or speech/language symptoms. Aura develops over 5-60 minutes, each symptom lasts 5-60 minutes.</w:t>
      </w:r>
    </w:p>
    <w:p>
      <w:pPr>
        <w:pStyle w:val="Heading3"/>
      </w:pPr>
      <w:r>
        <w:t xml:space="preserve">4.2.2 Acute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Dose/Route</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Points</w:t>
            </w:r>
          </w:p>
        </w:tc>
      </w:tr>
      <w:tr>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NSAIDs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Ibuprofen 400-800 mg, naproxen 500-1000 mg</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First-line for mild-moderate; give early</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Triptans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Sumatriptan 50-100 mg PO / 6 mg SC</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First-line moderate-severe; contraindicated in CV disease, uncontrolled HTN</w:t>
            </w:r>
          </w:p>
        </w:tc>
      </w:tr>
      <w:tr>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Gepants (CGRP antagonists)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Ubrogepant 50-100 mg, rimegepant 75 mg</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Alternative to triptans; no vasoconstrictive effect; safe in CV disease</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Ditans (5-HT1F)</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Lasmiditan 50-200 mg</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 vasoconstriction; causes dizziness/sedation; 8h driving restriction</w:t>
            </w:r>
          </w:p>
        </w:tc>
      </w:tr>
      <w:tr>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Antiemetics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Metoclopramide 10 mg IV, prochlorperazine 10 mg IV</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Useful adjunct; metoclopramide has direct anti-migraine effect</w:t>
            </w:r>
          </w:p>
        </w:tc>
      </w:tr>
      <w:tr>
        <w:tc>
          <w:tcPr>
            <w:tcW w:type="dxa" w:w="23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Dexamethasone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4-8 mg IV single dose</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Reduces headache recurrence within 72h; adjunct to primary abortive</w:t>
            </w:r>
          </w:p>
        </w:tc>
      </w:tr>
    </w:tbl>
    <w:p>
      <w:pPr>
        <w:spacing w:after="200"/>
      </w:pPr>
    </w:p>
    <w:p>
      <w:pPr>
        <w:pStyle w:val="Heading3"/>
      </w:pPr>
      <w:r>
        <w:t xml:space="preserve">4.2.3 Preventive Treatment</w:t>
      </w:r>
    </w:p>
    <w:p>
      <w:pPr>
        <w:spacing w:after="120"/>
      </w:pPr>
      <w:r>
        <w:t xml:space="preserve">Indicate when: &gt;= 4 migraine days/month, significant disability, failure/contraindication to acute therapy, or medication overuse headache.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Category</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Options</w:t>
            </w:r>
          </w:p>
        </w:tc>
        <w:tc>
          <w:tcPr>
            <w:tcW w:type="dxa" w:w="3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First-line oral</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Propranolol 40-240 mg, topiramate 50-200 mg, amitriptyline 10-75 mg, valproate 500-1500 mg</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Topiramate: weight loss, paresthesias, kidney stones. Valproate: avoid in pregnancy</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CGRP monoclonal antibodies</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Erenumab 70-140 mg, fremanezumab 225 mg monthly, galcanezumab 240/120 mg</w:t>
            </w:r>
          </w:p>
        </w:tc>
        <w:tc>
          <w:tcPr>
            <w:tcW w:type="dxa" w:w="3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SC injection monthly; excellent tolerability; no hepatotoxicity; expensive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CGRP antibody (IV)</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Eptinezumab 100-300 mg IV quarterly</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Fastest onset of preventive effect; infusion every 3 months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OnabotulinumtoxinA</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155 units, 31 injection sites q12 weeks</w:t>
            </w:r>
          </w:p>
        </w:tc>
        <w:tc>
          <w:tcPr>
            <w:tcW w:type="dxa" w:w="3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FDA-approved ONLY for chronic migraine (&gt;= 15 days/month)</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Neuromodulation</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sTMS, eNVS (gammaCore), eTNS (Cefaly)</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Non-pharmacologic options; few side effects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Medication overuse headache (MOH) is a common cause of chronic daily headache. Defined as headache &gt;= 15 days/month with regular overuse of acute medications for &gt;= 3 months. Triptans/ergots/opioids/combination analgesics: &gt;= 10 days/month. Simple analgesics: &gt;= 15 days/month. Treatment: withdrawal of overused medication + bridge therapy + preventive initiation.</w:t>
            </w:r>
          </w:p>
        </w:tc>
      </w:tr>
    </w:tbl>
    <w:p>
      <w:pPr>
        <w:spacing w:after="200"/>
      </w:pPr>
    </w:p>
    <w:p>
      <w:pPr>
        <w:pStyle w:val="Heading2"/>
      </w:pPr>
      <w:r>
        <w:t xml:space="preserve">4.3 Cluster Headache</w:t>
      </w:r>
    </w:p>
    <w:p>
      <w:pPr>
        <w:pStyle w:val="ListParagraph"/>
        <w:numPr>
          <w:ilvl w:val="0"/>
          <w:numId w:val="2"/>
        </w:numPr>
        <w:spacing w:after="60"/>
      </w:pPr>
      <w:r>
        <w:t xml:space="preserve">Severe unilateral orbital/periorbital pain lasting 15-180 minutes, with ipsilateral autonomic features (lacrimation, conjunctival injection, rhinorrhea, ptosis/miosis, eyelid edema).</w:t>
      </w:r>
    </w:p>
    <w:p>
      <w:pPr>
        <w:pStyle w:val="ListParagraph"/>
        <w:numPr>
          <w:ilvl w:val="0"/>
          <w:numId w:val="2"/>
        </w:numPr>
        <w:spacing w:after="60"/>
      </w:pPr>
      <w:r>
        <w:t xml:space="preserve">Occurs in clusters: 1-8 attacks/day for weeks to months, with remission periods.</w:t>
      </w:r>
    </w:p>
    <w:p>
      <w:pPr>
        <w:pStyle w:val="ListParagraph"/>
        <w:numPr>
          <w:ilvl w:val="0"/>
          <w:numId w:val="2"/>
        </w:numPr>
        <w:spacing w:after="60"/>
      </w:pPr>
      <w:r/>
      <w:r>
        <w:t xml:space="preserve">High-flow O2 (12-15 L/min via non-rebreather for 15-20 min) - 78% effective. Sumatriptan 6 mg SC. Intranasal zolmitriptan.</w:t>
      </w:r>
    </w:p>
    <w:p>
      <w:pPr>
        <w:pStyle w:val="ListParagraph"/>
        <w:numPr>
          <w:ilvl w:val="0"/>
          <w:numId w:val="2"/>
        </w:numPr>
        <w:spacing w:after="60"/>
      </w:pPr>
      <w:r/>
      <w:r>
        <w:t xml:space="preserve">Verapamil (first-line, up to 960 mg/day - requires ECG monitoring for heart block). Short-term bridge with prednisone or suboccipital steroid injection. Galcanezumab approved for episodic cluster headache.</w:t>
      </w:r>
    </w:p>
    <w:p>
      <w:pPr>
        <w:spacing w:after="200"/>
      </w:pPr>
    </w:p>
    <w:p>
      <w:pPr>
        <w:pStyle w:val="Heading2"/>
      </w:pPr>
      <w:r>
        <w:t xml:space="preserve">4.4 Important Secondary Headaches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500"/>
        <w:gridCol w:w="25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Condition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Diagnosis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Giant cell arteritis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Age &gt;50, new headache, jaw claudication, visual loss, scalp tenderness, PMR</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ESR/CRP elevated; temporal artery biopsy (gold standard); halo sign on US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HIGH-DOSE prednisone 1 mg/kg immediately (do NOT wait for biopsy); tocilizumab as steroid-sparing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Idiopathic intracranial hypertension</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Obese young women, headache, pulsatile tinnitus, visual obscurations, papilledema</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LP opening pressure &gt;250 mm H2O; MRI: empty sella, optic nerve sheath distension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Weight loss, acetazolamide 500-2000 mg/day; CSF shunting or venous sinus stenting if refractory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Spontaneous intracranial hypotension</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Orthostatic headache (better supine), subdural collections</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 pachymeningeal enhancement, brain sagging; CT myelogram for CSF leak localization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Bed rest, fluids, caffeine, epidural blood patch; surgical repair if persistent leak</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RCVS</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Thunderclap headaches (recurrent), often postpartum or vasoactive drug use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CTA/MRA: multifocal segmental vasoconstriction; normal CSF</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Calcium channel blockers (nimodipine/verapamil); avoid triptans/ergots; usually self-limited</w:t>
            </w:r>
          </w:p>
        </w:tc>
      </w:tr>
    </w:tbl>
    <w:p>
      <w:pPr>
        <w:spacing w:after="200"/>
      </w:pPr>
    </w:p>
    <w:p>
      <w:pPr>
        <w:spacing w:before="200" w:after="100"/>
      </w:pPr>
      <w:r>
        <w:rPr>
          <w:b/>
          <w:bCs/>
          <w:color w:val="1F4E79"/>
          <w:sz w:val="24"/>
          <w:szCs w:val="24"/>
        </w:rPr>
        <w:t xml:space="preserve">Practice Question 5</w:t>
      </w:r>
    </w:p>
    <w:p>
      <w:pPr>
        <w:spacing w:after="120"/>
      </w:pPr>
      <w:r>
        <w:t xml:space="preserve">A 32-year-old obese woman presents with progressive headache for 3 months, worse in the morning, with transient visual obscurations. Examination reveals bilateral papilledema and enlarged blind spots on visual field testing. MRI brain is normal except for empty sella and bilateral optic nerve sheath distension. What is the most appropriate initial treatment?</w:t>
      </w:r>
    </w:p>
    <w:p>
      <w:pPr>
        <w:pStyle w:val="ListParagraph"/>
        <w:numPr>
          <w:ilvl w:val="0"/>
          <w:numId w:val="3"/>
        </w:numPr>
        <w:spacing w:after="60"/>
      </w:pPr>
      <w:r>
        <w:t xml:space="preserve">A) IV methylprednisolone</w:t>
      </w:r>
    </w:p>
    <w:p>
      <w:pPr>
        <w:pStyle w:val="ListParagraph"/>
        <w:numPr>
          <w:ilvl w:val="0"/>
          <w:numId w:val="3"/>
        </w:numPr>
        <w:spacing w:after="60"/>
      </w:pPr>
      <w:r>
        <w:t xml:space="preserve">B) Acetazolamide and weight loss</w:t>
      </w:r>
    </w:p>
    <w:p>
      <w:pPr>
        <w:pStyle w:val="ListParagraph"/>
        <w:numPr>
          <w:ilvl w:val="0"/>
          <w:numId w:val="3"/>
        </w:numPr>
        <w:spacing w:after="60"/>
      </w:pPr>
      <w:r>
        <w:t xml:space="preserve">C) Sumatriptan</w:t>
      </w:r>
    </w:p>
    <w:p>
      <w:pPr>
        <w:pStyle w:val="ListParagraph"/>
        <w:numPr>
          <w:ilvl w:val="0"/>
          <w:numId w:val="3"/>
        </w:numPr>
        <w:spacing w:after="60"/>
      </w:pPr>
      <w:r>
        <w:t xml:space="preserve">D) Verapamil</w:t>
      </w:r>
    </w:p>
    <w:p>
      <w:pPr>
        <w:spacing w:before="100"/>
      </w:pPr>
      <w:r>
        <w:rPr>
          <w:b/>
          <w:bCs/>
          <w:color w:val="27AE60"/>
        </w:rPr>
        <w:t xml:space="preserve">Answer: </w:t>
      </w:r>
      <w:r>
        <w:rPr>
          <w:color w:val="27AE60"/>
        </w:rPr>
        <w:t xml:space="preserve">B) Acetazolamide and weight loss</w:t>
      </w:r>
    </w:p>
    <w:p>
      <w:pPr>
        <w:spacing w:after="120"/>
      </w:pPr>
      <w:r>
        <w:rPr>
          <w:b/>
          <w:bCs/>
          <w:i/>
          <w:iCs/>
        </w:rPr>
        <w:t xml:space="preserve">Explanation: </w:t>
      </w:r>
      <w:r>
        <w:rPr>
          <w:i/>
          <w:iCs/>
        </w:rPr>
        <w:t xml:space="preserve">This presentation is classic for idiopathic intracranial hypertension (IIH/pseudotumor cerebri): young obese woman with progressive headache, papilledema, and characteristic MRI findings. First-line treatment is acetazolamide (carbonic anhydrase inhibitor to reduce CSF production) plus weight loss. The IIHTT trial showed acetazolamide + weight management improved visual field function and papilledema grade.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The International Classification of Headache Disorders, 3rd edition (ICHD-3). Cephalalgia. 2018;38:1-211. Headache Classification Committee of the International Headache Society.</w:t>
            </w:r>
          </w:p>
          <w:p>
            <w:pPr>
              <w:spacing w:after="60"/>
              <w:ind w:left="200"/>
            </w:pPr>
            <w:r>
              <w:rPr>
                <w:b/>
                <w:bCs/>
                <w:color w:val="1B5E20"/>
                <w:sz w:val="19"/>
                <w:szCs w:val="19"/>
              </w:rPr>
              <w:t xml:space="preserve">[G2] </w:t>
            </w:r>
            <w:r>
              <w:rPr>
                <w:i/>
                <w:iCs/>
                <w:sz w:val="19"/>
                <w:szCs w:val="19"/>
              </w:rPr>
              <w:t xml:space="preserve">AHS Consensus Statement: Update on Integrating New Migraine Treatments into Clinical Practice. Headache. 2021;61:1021-1039.</w:t>
            </w:r>
          </w:p>
          <w:p>
            <w:pPr>
              <w:spacing w:after="60"/>
              <w:ind w:left="200"/>
            </w:pPr>
            <w:r>
              <w:rPr>
                <w:b/>
                <w:bCs/>
                <w:color w:val="1B5E20"/>
                <w:sz w:val="19"/>
                <w:szCs w:val="19"/>
              </w:rPr>
              <w:t xml:space="preserve">[G3] </w:t>
            </w:r>
            <w:r>
              <w:rPr>
                <w:i/>
                <w:iCs/>
                <w:sz w:val="19"/>
                <w:szCs w:val="19"/>
              </w:rPr>
              <w:t xml:space="preserve">EHF Guideline on the Use of Monoclonal Antibodies Acting on CGRP or Its Receptor for Migraine Prevention. J Headache Pain. 2022;23:67.</w:t>
            </w:r>
          </w:p>
          <w:p>
            <w:pPr>
              <w:spacing w:after="60"/>
              <w:ind w:left="200"/>
            </w:pPr>
            <w:r>
              <w:rPr>
                <w:b/>
                <w:bCs/>
                <w:color w:val="0D47A1"/>
                <w:sz w:val="19"/>
                <w:szCs w:val="19"/>
              </w:rPr>
              <w:t xml:space="preserve">[T4] </w:t>
            </w:r>
            <w:r>
              <w:rPr>
                <w:b/>
                <w:bCs/>
                <w:sz w:val="19"/>
                <w:szCs w:val="19"/>
              </w:rPr>
              <w:t xml:space="preserve">IIHTT: </w:t>
            </w:r>
            <w:r>
              <w:rPr>
                <w:sz w:val="19"/>
                <w:szCs w:val="19"/>
              </w:rPr>
              <w:t xml:space="preserve">Wall M et al. JAMA 2014;311:1641-51. Acetazolamide + weight management vs placebo + weight management in IIH. Significant improvement in visual field mean deviation and papilledema grade.</w:t>
            </w:r>
          </w:p>
          <w:p>
            <w:pPr>
              <w:spacing w:after="60"/>
              <w:ind w:left="200"/>
            </w:pPr>
            <w:r>
              <w:rPr>
                <w:b/>
                <w:bCs/>
                <w:color w:val="0D47A1"/>
                <w:sz w:val="19"/>
                <w:szCs w:val="19"/>
              </w:rPr>
              <w:t xml:space="preserve">[T5] </w:t>
            </w:r>
            <w:r>
              <w:rPr>
                <w:b/>
                <w:bCs/>
                <w:sz w:val="19"/>
                <w:szCs w:val="19"/>
              </w:rPr>
              <w:t xml:space="preserve">PROMISE-1 (Erenumab): </w:t>
            </w:r>
            <w:r>
              <w:rPr>
                <w:sz w:val="19"/>
                <w:szCs w:val="19"/>
              </w:rPr>
              <w:t xml:space="preserve">Goadsby PJ et al. NEJM 2017;377:2123-32. Erenumab 70/140 mg reduced monthly migraine days by 3.2-3.7 vs 1.8 placebo.</w:t>
            </w:r>
          </w:p>
          <w:p>
            <w:pPr>
              <w:spacing w:after="60"/>
              <w:ind w:left="200"/>
            </w:pPr>
            <w:r>
              <w:rPr>
                <w:b/>
                <w:bCs/>
                <w:color w:val="0D47A1"/>
                <w:sz w:val="19"/>
                <w:szCs w:val="19"/>
              </w:rPr>
              <w:t xml:space="preserve">[T6] </w:t>
            </w:r>
            <w:r>
              <w:rPr>
                <w:b/>
                <w:bCs/>
                <w:sz w:val="19"/>
                <w:szCs w:val="19"/>
              </w:rPr>
              <w:t xml:space="preserve">STRIVE (Erenumab): </w:t>
            </w:r>
            <w:r>
              <w:rPr>
                <w:sz w:val="19"/>
                <w:szCs w:val="19"/>
              </w:rPr>
              <w:t xml:space="preserve">Dodick DW et al. NEJM 2018;378:2346-56. Erenumab for episodic migraine prevention. 50% responder rate of 43-50% vs 27% placebo.</w:t>
            </w:r>
          </w:p>
          <w:p>
            <w:pPr>
              <w:spacing w:after="60"/>
              <w:ind w:left="200"/>
            </w:pPr>
            <w:r>
              <w:rPr>
                <w:b/>
                <w:bCs/>
                <w:color w:val="0D47A1"/>
                <w:sz w:val="19"/>
                <w:szCs w:val="19"/>
              </w:rPr>
              <w:t xml:space="preserve">[T7] </w:t>
            </w:r>
            <w:r>
              <w:rPr>
                <w:b/>
                <w:bCs/>
                <w:sz w:val="19"/>
                <w:szCs w:val="19"/>
              </w:rPr>
              <w:t xml:space="preserve">PREEMPT 1 &amp; 2 (OnabotulinumtoxinA): </w:t>
            </w:r>
            <w:r>
              <w:rPr>
                <w:sz w:val="19"/>
                <w:szCs w:val="19"/>
              </w:rPr>
              <w:t xml:space="preserve">Aurora SK et al. Headache 2010;50:921-36. OnabotulinumtoxinA for chronic migraine: 8.4 fewer headache days/month vs 6.6 placebo. Basis for FDA approval.</w:t>
            </w:r>
          </w:p>
          <w:p>
            <w:pPr>
              <w:spacing w:after="60"/>
              <w:ind w:left="200"/>
            </w:pPr>
            <w:r>
              <w:rPr>
                <w:b/>
                <w:bCs/>
                <w:color w:val="0D47A1"/>
                <w:sz w:val="19"/>
                <w:szCs w:val="19"/>
              </w:rPr>
              <w:t xml:space="preserve">[T8] </w:t>
            </w:r>
            <w:r>
              <w:rPr>
                <w:b/>
                <w:bCs/>
                <w:sz w:val="19"/>
                <w:szCs w:val="19"/>
              </w:rPr>
              <w:t xml:space="preserve">GiACTA (Tocilizumab for GCA): </w:t>
            </w:r>
            <w:r>
              <w:rPr>
                <w:sz w:val="19"/>
                <w:szCs w:val="19"/>
              </w:rPr>
              <w:t xml:space="preserve">Stone JH et al. NEJM 2017;377:317-28. Tocilizumab + 26-week prednisone taper: 56% sustained remission vs 14% placebo. Steroid-sparing for GCA.</w:t>
            </w:r>
          </w:p>
          <w:p>
            <w:pPr>
              <w:spacing w:after="60"/>
              <w:ind w:left="200"/>
            </w:pPr>
            <w:r>
              <w:rPr>
                <w:b/>
                <w:bCs/>
                <w:sz w:val="19"/>
                <w:szCs w:val="19"/>
              </w:rPr>
              <w:t xml:space="preserve">[9] </w:t>
            </w:r>
            <w:r>
              <w:rPr>
                <w:sz w:val="19"/>
                <w:szCs w:val="19"/>
              </w:rPr>
              <w:t xml:space="preserve">Silberstein SD et al. Evidence-based guideline update: pharmacologic treatment for episodic migraine prevention. Neurology. 2012;78:1337-45.</w:t>
            </w:r>
          </w:p>
          <w:p>
            <w:pPr>
              <w:spacing w:after="60"/>
              <w:ind w:left="200"/>
            </w:pPr>
            <w:r>
              <w:rPr>
                <w:b/>
                <w:bCs/>
                <w:sz w:val="19"/>
                <w:szCs w:val="19"/>
              </w:rPr>
              <w:t xml:space="preserve">[10] </w:t>
            </w:r>
            <w:r>
              <w:rPr>
                <w:sz w:val="19"/>
                <w:szCs w:val="19"/>
              </w:rPr>
              <w:t xml:space="preserve">May A et al. Cluster headache. Nat Rev Dis Primers. 2018;4:18006. Comprehensive review of pathophysiology and management.</w:t>
            </w:r>
          </w:p>
        </w:tc>
      </w:tr>
    </w:tbl>
    <w:p>
      <w:r>
        <w:br w:type="page"/>
      </w:r>
    </w:p>
    <w:p>
      <w:pPr>
        <w:pStyle w:val="Heading1"/>
      </w:pPr>
      <w:r>
        <w:t xml:space="preserve">5. Neuromuscular Disorders</w:t>
      </w:r>
    </w:p>
    <w:p>
      <w:pPr>
        <w:pStyle w:val="Heading2"/>
      </w:pPr>
      <w:r>
        <w:t xml:space="preserve">5.1 Myasthenia Gravis (MG)</w:t>
      </w:r>
    </w:p>
    <w:p>
      <w:pPr>
        <w:spacing w:after="120"/>
      </w:pPr>
      <w:r>
        <w:t xml:space="preserve">Autoimmune disorder of the neuromuscular junction characterized by fatigable weakness. Bimodal age distribution: young women (20-40) and older men (60-80).</w:t>
      </w:r>
    </w:p>
    <w:p>
      <w:pPr>
        <w:pStyle w:val="Heading3"/>
      </w:pPr>
      <w:r>
        <w:t xml:space="preserve">5.1.1 Clinical Features</w:t>
      </w:r>
    </w:p>
    <w:p>
      <w:pPr>
        <w:pStyle w:val="ListParagraph"/>
        <w:numPr>
          <w:ilvl w:val="0"/>
          <w:numId w:val="2"/>
        </w:numPr>
        <w:spacing w:after="60"/>
      </w:pPr>
      <w:r>
        <w:t xml:space="preserve">Fluctuating weakness that worsens with activity and improves with rest</w:t>
      </w:r>
    </w:p>
    <w:p>
      <w:pPr>
        <w:pStyle w:val="ListParagraph"/>
        <w:numPr>
          <w:ilvl w:val="0"/>
          <w:numId w:val="2"/>
        </w:numPr>
        <w:spacing w:after="60"/>
      </w:pPr>
      <w:r>
        <w:t xml:space="preserve">Ocular MG (50% at presentation): ptosis, diplopia. ~50% progress to generalized MG within 2 years</w:t>
      </w:r>
    </w:p>
    <w:p>
      <w:pPr>
        <w:pStyle w:val="ListParagraph"/>
        <w:numPr>
          <w:ilvl w:val="0"/>
          <w:numId w:val="2"/>
        </w:numPr>
        <w:spacing w:after="60"/>
      </w:pPr>
      <w:r>
        <w:t xml:space="preserve">Generalized MG: proximal limb weakness, bulbar symptoms (dysarthria, dysphagia, fatigable chewing), respiratory weakness</w:t>
      </w:r>
    </w:p>
    <w:p>
      <w:pPr>
        <w:pStyle w:val="ListParagraph"/>
        <w:numPr>
          <w:ilvl w:val="0"/>
          <w:numId w:val="2"/>
        </w:numPr>
        <w:spacing w:after="60"/>
      </w:pPr>
      <w:r>
        <w:t xml:space="preserve">NO sensory involvement, NO pain, NO reflex changes (pure motor)</w:t>
      </w:r>
    </w:p>
    <w:p>
      <w:pPr>
        <w:spacing w:after="200"/>
      </w:pPr>
    </w:p>
    <w:p>
      <w:pPr>
        <w:pStyle w:val="Heading3"/>
      </w:pPr>
      <w:r>
        <w:t xml:space="preserve">5.1.2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Test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Sensitivity</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AChR antibodies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85% generalized, 50% ocular</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specific; positive = diagnostic. Titers correlate poorly with severity</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MuSK antibodies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~40% of AChR-negative MG</w:t>
            </w:r>
          </w:p>
        </w:tc>
        <w:tc>
          <w:tcPr>
            <w:tcW w:type="dxa" w:w="5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More severe bulbar/respiratory; poor response to cholinesterase inhibitors; predominantly women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LRP4 antibodies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2-50% of double-seronegative</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Milder phenotype; research test</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Repetitive nerve stimulation (RNS)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75% generalized</w:t>
            </w:r>
          </w:p>
        </w:tc>
        <w:tc>
          <w:tcPr>
            <w:tcW w:type="dxa" w:w="5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Decremental response (&gt;10%) at 3 Hz in proximal muscles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Single-fiber EMG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&gt;95%</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sensitive test; increased jitter and blocking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Ice pack test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Moderate</w:t>
            </w:r>
          </w:p>
        </w:tc>
        <w:tc>
          <w:tcPr>
            <w:tcW w:type="dxa" w:w="5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Improvement of ptosis after 2 min of ice application; bedside test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CT chest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w:t>
            </w:r>
          </w:p>
        </w:tc>
        <w:tc>
          <w:tcPr>
            <w:tcW w:type="dxa" w:w="5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Thymoma in 10-15%; thymic hyperplasia in 60-70%; ALL MG patients need chest imaging</w:t>
            </w:r>
          </w:p>
        </w:tc>
      </w:tr>
    </w:tbl>
    <w:p>
      <w:pPr>
        <w:spacing w:after="200"/>
      </w:pPr>
    </w:p>
    <w:p>
      <w:pPr>
        <w:pStyle w:val="Heading3"/>
      </w:pPr>
      <w:r>
        <w:t xml:space="preserve">5.1.3 Treatment</w:t>
      </w:r>
    </w:p>
    <w:p>
      <w:pPr>
        <w:pStyle w:val="ListParagraph"/>
        <w:numPr>
          <w:ilvl w:val="0"/>
          <w:numId w:val="2"/>
        </w:numPr>
        <w:spacing w:after="60"/>
      </w:pPr>
      <w:r/>
      <w:r>
        <w:t xml:space="preserve">Pyridostigmine (cholinesterase inhibitor) 60 mg TID, titrate to effect. Caution with MuSK-MG (often ineffective/worsening).</w:t>
      </w:r>
    </w:p>
    <w:p>
      <w:pPr>
        <w:pStyle w:val="ListParagraph"/>
        <w:numPr>
          <w:ilvl w:val="0"/>
          <w:numId w:val="2"/>
        </w:numPr>
        <w:spacing w:after="60"/>
      </w:pPr>
      <w:r/>
      <w:r>
        <w:t xml:space="preserve">Prednisone (start low, titrate up to avoid initial worsening). Azathioprine, mycophenolate as steroid-sparing agents. Rituximab especially effective in MuSK-MG.</w:t>
      </w:r>
    </w:p>
    <w:p>
      <w:pPr>
        <w:pStyle w:val="ListParagraph"/>
        <w:numPr>
          <w:ilvl w:val="0"/>
          <w:numId w:val="2"/>
        </w:numPr>
        <w:spacing w:after="60"/>
      </w:pPr>
      <w:r/>
      <w:r>
        <w:t xml:space="preserve">Recommended for all thymoma patients. MGTX trial: benefit in non-thymomatous AChR+ generalized MG age 18-65.</w:t>
      </w:r>
    </w:p>
    <w:p>
      <w:pPr>
        <w:pStyle w:val="ListParagraph"/>
        <w:numPr>
          <w:ilvl w:val="0"/>
          <w:numId w:val="2"/>
        </w:numPr>
        <w:spacing w:after="60"/>
      </w:pPr>
      <w:r/>
      <w:r>
        <w:t xml:space="preserve">IVIg (0.4 g/kg x 5 days) or plasma exchange (PLEX, 5-7 sessions). Equal efficacy.</w:t>
      </w:r>
    </w:p>
    <w:p>
      <w:pPr>
        <w:pStyle w:val="ListParagraph"/>
        <w:numPr>
          <w:ilvl w:val="0"/>
          <w:numId w:val="2"/>
        </w:numPr>
        <w:spacing w:after="60"/>
      </w:pPr>
      <w:r/>
      <w:r>
        <w:t xml:space="preserve">Eculizumab, ravulizumab, zilucoplan for refractory AChR+ generalized MG.</w:t>
      </w:r>
    </w:p>
    <w:p>
      <w:pPr>
        <w:pStyle w:val="ListParagraph"/>
        <w:numPr>
          <w:ilvl w:val="0"/>
          <w:numId w:val="2"/>
        </w:numPr>
        <w:spacing w:after="60"/>
      </w:pPr>
      <w:r/>
      <w:r>
        <w:t xml:space="preserve">Efgartigimod, rozanolixizumab - reduce pathogenic IgG levels; rapid onset.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MYASTHENIC CRISIS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Life-threatening respiratory failure from MG exacerbation</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Triggers: infection, surgery, medication changes, non-compliance, drugs (aminoglycosides, beta-blockers, Mg)</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Monitor: FVC (forced vital capacity) - intubate if FVC &lt;15-20 mL/kg or declining trend (20-30-40 rule)</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Treatment: IVIg or PLEX (PLEX may be faster onset); manage trigger; hold/reduce pyridostigmine initially (excess can cause cholinergic crisis)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Distinguish from cholinergic crisis: both cause weakness, but cholinergic crisis has SLUDGE symptoms (salivation, lacrimation, urination, defecation, GI cramps, emesis)</w:t>
            </w:r>
          </w:p>
        </w:tc>
      </w:tr>
    </w:tbl>
    <w:p>
      <w:pPr>
        <w:spacing w:after="200"/>
      </w:pPr>
    </w:p>
    <w:p>
      <w:pPr>
        <w:pStyle w:val="Heading2"/>
      </w:pPr>
      <w:r>
        <w:t xml:space="preserve">5.2 Guillain-Barre Syndrome (GBS)</w:t>
      </w:r>
    </w:p>
    <w:p>
      <w:pPr>
        <w:spacing w:after="120"/>
      </w:pPr>
      <w:r>
        <w:t xml:space="preserve">Acute inflammatory demyelinating polyradiculoneuropathy (AIDP) is the most common form. Post-infectious autoimmune disorder; preceded by GI (Campylobacter jejuni) or respiratory infection in 60-70%.</w:t>
      </w:r>
    </w:p>
    <w:p>
      <w:pPr>
        <w:pStyle w:val="Heading3"/>
      </w:pPr>
      <w:r>
        <w:t xml:space="preserve">5.2.1 Clinical Features</w:t>
      </w:r>
    </w:p>
    <w:p>
      <w:pPr>
        <w:pStyle w:val="ListParagraph"/>
        <w:numPr>
          <w:ilvl w:val="0"/>
          <w:numId w:val="2"/>
        </w:numPr>
        <w:spacing w:after="60"/>
      </w:pPr>
      <w:r>
        <w:t xml:space="preserve">Ascending symmetric weakness (legs before arms), areflexia/hyporeflexia</w:t>
      </w:r>
    </w:p>
    <w:p>
      <w:pPr>
        <w:pStyle w:val="ListParagraph"/>
        <w:numPr>
          <w:ilvl w:val="0"/>
          <w:numId w:val="2"/>
        </w:numPr>
        <w:spacing w:after="60"/>
      </w:pPr>
      <w:r>
        <w:t xml:space="preserve">Sensory symptoms (paresthesias) often precede weakness but motor predominates</w:t>
      </w:r>
    </w:p>
    <w:p>
      <w:pPr>
        <w:pStyle w:val="ListParagraph"/>
        <w:numPr>
          <w:ilvl w:val="0"/>
          <w:numId w:val="2"/>
        </w:numPr>
        <w:spacing w:after="60"/>
      </w:pPr>
      <w:r>
        <w:t xml:space="preserve">Facial weakness (bilateral) in 50%; bulbar weakness; autonomic dysfunction (tachycardia, BP lability, urinary retention)</w:t>
      </w:r>
    </w:p>
    <w:p>
      <w:pPr>
        <w:pStyle w:val="ListParagraph"/>
        <w:numPr>
          <w:ilvl w:val="0"/>
          <w:numId w:val="2"/>
        </w:numPr>
        <w:spacing w:after="60"/>
      </w:pPr>
      <w:r>
        <w:t xml:space="preserve">Respiratory failure in 25-30% - monitor FVC and NIF closely</w:t>
      </w:r>
    </w:p>
    <w:p>
      <w:pPr>
        <w:pStyle w:val="ListParagraph"/>
        <w:numPr>
          <w:ilvl w:val="0"/>
          <w:numId w:val="2"/>
        </w:numPr>
        <w:spacing w:after="60"/>
      </w:pPr>
      <w:r>
        <w:t xml:space="preserve">Peak severity within 4 weeks (monophasic); nadir usually at 2-3 weeks</w:t>
      </w:r>
    </w:p>
    <w:p>
      <w:pPr>
        <w:spacing w:after="200"/>
      </w:pPr>
    </w:p>
    <w:p>
      <w:pPr>
        <w:pStyle w:val="Heading3"/>
      </w:pPr>
      <w:r>
        <w:t xml:space="preserve">5.2.2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060"/>
        <w:gridCol w:w="2400"/>
      </w:tblGrid>
      <w:t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Variant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Features</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Antibody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Prognosis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AIDP (classic)</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Demyelinating; ascending weakness + areflexia</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None specific</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Good; 80% walk independently at 1 year</w:t>
            </w:r>
          </w:p>
        </w:tc>
      </w:tr>
      <w:tr>
        <w:tc>
          <w:tcPr>
            <w:tcW w:type="dxa" w:w="2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AMAN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Axonal motor; rapid progression, often post-Campylobacter</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Anti-GM1, anti-GD1a</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Variable; may recover quickly or have prolonged course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AMSAN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Axonal sensorimotor; severe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Anti-GM1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Poorer prognosis</w:t>
            </w:r>
          </w:p>
        </w:tc>
      </w:tr>
      <w:tr>
        <w:tc>
          <w:tcPr>
            <w:tcW w:type="dxa" w:w="2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Miller Fisher syndrome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Ophthalmoplegia + ataxia + areflexia</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Anti-GQ1b (&gt;90%)</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Excellent; often self-limited</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Pharyngeal-cervical-brachial</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Bulbar + arm weakness + neck weakness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Anti-GT1a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Variable</w:t>
            </w:r>
          </w:p>
        </w:tc>
      </w:tr>
    </w:tbl>
    <w:p>
      <w:pPr>
        <w:spacing w:after="200"/>
      </w:pPr>
    </w:p>
    <w:p>
      <w:pPr>
        <w:pStyle w:val="Heading3"/>
      </w:pPr>
      <w:r>
        <w:t xml:space="preserve">5.2.3 Diagnosis and Management</w:t>
      </w:r>
    </w:p>
    <w:p>
      <w:pPr>
        <w:pStyle w:val="ListParagraph"/>
        <w:numPr>
          <w:ilvl w:val="0"/>
          <w:numId w:val="2"/>
        </w:numPr>
        <w:spacing w:after="60"/>
      </w:pPr>
      <w:r/>
      <w:r>
        <w:t xml:space="preserve">Albuminocytologic dissociation (elevated protein with normal cell count). May be normal in first week.</w:t>
      </w:r>
    </w:p>
    <w:p>
      <w:pPr>
        <w:pStyle w:val="ListParagraph"/>
        <w:numPr>
          <w:ilvl w:val="0"/>
          <w:numId w:val="2"/>
        </w:numPr>
        <w:spacing w:after="60"/>
      </w:pPr>
      <w:r/>
      <w:r>
        <w:t xml:space="preserve">Demyelinating pattern: prolonged distal latencies, conduction block, temporal dispersion, slow velocities, prolonged F-waves.</w:t>
      </w:r>
    </w:p>
    <w:p>
      <w:pPr>
        <w:pStyle w:val="ListParagraph"/>
        <w:numPr>
          <w:ilvl w:val="0"/>
          <w:numId w:val="2"/>
        </w:numPr>
        <w:spacing w:after="60"/>
      </w:pPr>
      <w:r/>
      <w:r>
        <w:t xml:space="preserve">IVIg 0.4 g/kg/day x 5 days OR PLEX x 5 sessions (equally effective). Steroids are NOT effective in GBS. Start treatment if unable to walk independently.</w:t>
      </w:r>
    </w:p>
    <w:p>
      <w:pPr>
        <w:pStyle w:val="ListParagraph"/>
        <w:numPr>
          <w:ilvl w:val="0"/>
          <w:numId w:val="2"/>
        </w:numPr>
        <w:spacing w:after="60"/>
      </w:pPr>
      <w:r/>
      <w:r>
        <w:t xml:space="preserve">Serial FVC and NIF measurements. Intubate if FVC &lt;20 mL/kg, NIF &lt; -30 cmH2O, or &gt;30% decline. DVT prophylaxis. Pain management.</w:t>
      </w:r>
    </w:p>
    <w:p>
      <w:pPr>
        <w:spacing w:after="200"/>
      </w:pPr>
    </w:p>
    <w:p>
      <w:pPr>
        <w:pStyle w:val="Heading2"/>
      </w:pPr>
      <w:r>
        <w:t xml:space="preserve">5.3 Peripheral Neuropathy</w:t>
      </w:r>
    </w:p>
    <w:p>
      <w:pPr>
        <w:pStyle w:val="Heading3"/>
      </w:pPr>
      <w:r>
        <w:t xml:space="preserve">5.3.1 Approach to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Feature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Axonal</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Demyelinating</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Distribution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Length-dependent (stocking-glove)</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Proximal and distal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NCS findings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Reduced amplitudes, normal velocities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Slow velocities, prolonged latencies, conduction block</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Common causes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DM, alcohol, B12 deficiency, uremia, drugs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CIDP, GBS, CMT1, anti-MAG neuropathy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Recovery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Slow, often incomplete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Potentially better with treatment</w:t>
            </w:r>
          </w:p>
        </w:tc>
      </w:tr>
    </w:tbl>
    <w:p>
      <w:pPr>
        <w:spacing w:after="200"/>
      </w:pPr>
    </w:p>
    <w:p>
      <w:pPr>
        <w:pStyle w:val="Heading3"/>
      </w:pPr>
      <w:r>
        <w:t xml:space="preserve">5.3.2 Common Etiologies</w:t>
      </w:r>
    </w:p>
    <w:p>
      <w:pPr>
        <w:pStyle w:val="ListParagraph"/>
        <w:numPr>
          <w:ilvl w:val="0"/>
          <w:numId w:val="2"/>
        </w:numPr>
        <w:spacing w:after="60"/>
      </w:pPr>
      <w:r/>
      <w:r>
        <w:t xml:space="preserve">Most common cause worldwide. Distal symmetric polyneuropathy (most common), diabetic amyotrophy (lumbosacral plexopathy), cranial neuropathy (CN III palsy with pupil sparing), autonomic neuropathy.</w:t>
      </w:r>
    </w:p>
    <w:p>
      <w:pPr>
        <w:pStyle w:val="ListParagraph"/>
        <w:numPr>
          <w:ilvl w:val="0"/>
          <w:numId w:val="2"/>
        </w:numPr>
        <w:spacing w:after="60"/>
      </w:pPr>
      <w:r/>
      <w:r>
        <w:t xml:space="preserve">Subacute combined degeneration: posterior columns + lateral corticospinal tracts. Paresthesias, gait ataxia, cognitive changes. Check methylmalonic acid (more sensitive than B12 level).</w:t>
      </w:r>
    </w:p>
    <w:p>
      <w:pPr>
        <w:pStyle w:val="ListParagraph"/>
        <w:numPr>
          <w:ilvl w:val="0"/>
          <w:numId w:val="2"/>
        </w:numPr>
        <w:spacing w:after="60"/>
      </w:pPr>
      <w:r/>
      <w:r>
        <w:t xml:space="preserve">Chronic inflammatory demyelinating polyradiculoneuropathy. Progressive or relapsing weakness &gt;8 weeks (vs. GBS &lt;4 weeks). Treatment: IVIg, steroids, or PLEX.</w:t>
      </w:r>
    </w:p>
    <w:p>
      <w:pPr>
        <w:spacing w:after="200"/>
      </w:pPr>
    </w:p>
    <w:p>
      <w:pPr>
        <w:spacing w:before="200" w:after="100"/>
      </w:pPr>
      <w:r>
        <w:rPr>
          <w:b/>
          <w:bCs/>
          <w:color w:val="1F4E79"/>
          <w:sz w:val="24"/>
          <w:szCs w:val="24"/>
        </w:rPr>
        <w:t xml:space="preserve">Practice Question 8</w:t>
      </w:r>
    </w:p>
    <w:p>
      <w:pPr>
        <w:spacing w:after="120"/>
      </w:pPr>
      <w:r>
        <w:t xml:space="preserve">A 55-year-old woman with MG (AChR antibody positive) develops pneumonia and progressive weakness over 3 days. FVC has dropped from 2.5 L to 1.2 L. She is using accessory muscles. What is the most appropriate immediate management?</w:t>
      </w:r>
    </w:p>
    <w:p>
      <w:pPr>
        <w:pStyle w:val="ListParagraph"/>
        <w:numPr>
          <w:ilvl w:val="0"/>
          <w:numId w:val="3"/>
        </w:numPr>
        <w:spacing w:after="60"/>
      </w:pPr>
      <w:r>
        <w:t xml:space="preserve">A) Increase pyridostigmine dose and start IV antibiotics</w:t>
      </w:r>
    </w:p>
    <w:p>
      <w:pPr>
        <w:pStyle w:val="ListParagraph"/>
        <w:numPr>
          <w:ilvl w:val="0"/>
          <w:numId w:val="3"/>
        </w:numPr>
        <w:spacing w:after="60"/>
      </w:pPr>
      <w:r>
        <w:t xml:space="preserve">B) Intubation, IVIg or PLEX, and IV antibiotics</w:t>
      </w:r>
    </w:p>
    <w:p>
      <w:pPr>
        <w:pStyle w:val="ListParagraph"/>
        <w:numPr>
          <w:ilvl w:val="0"/>
          <w:numId w:val="3"/>
        </w:numPr>
        <w:spacing w:after="60"/>
      </w:pPr>
      <w:r>
        <w:t xml:space="preserve">C) IV methylprednisolone 1g daily and IV antibiotics</w:t>
      </w:r>
    </w:p>
    <w:p>
      <w:pPr>
        <w:pStyle w:val="ListParagraph"/>
        <w:numPr>
          <w:ilvl w:val="0"/>
          <w:numId w:val="3"/>
        </w:numPr>
        <w:spacing w:after="60"/>
      </w:pPr>
      <w:r>
        <w:t xml:space="preserve">D) Start rituximab and monitor in ICU</w:t>
      </w:r>
    </w:p>
    <w:p>
      <w:pPr>
        <w:spacing w:before="100"/>
      </w:pPr>
      <w:r>
        <w:rPr>
          <w:b/>
          <w:bCs/>
          <w:color w:val="27AE60"/>
        </w:rPr>
        <w:t xml:space="preserve">Answer: </w:t>
      </w:r>
      <w:r>
        <w:rPr>
          <w:color w:val="27AE60"/>
        </w:rPr>
        <w:t xml:space="preserve">B) Intubation, IVIg or PLEX, and IV antibiotics</w:t>
      </w:r>
    </w:p>
    <w:p>
      <w:pPr>
        <w:spacing w:after="120"/>
      </w:pPr>
      <w:r>
        <w:rPr>
          <w:b/>
          <w:bCs/>
          <w:i/>
          <w:iCs/>
        </w:rPr>
        <w:t xml:space="preserve">Explanation: </w:t>
      </w:r>
      <w:r>
        <w:rPr>
          <w:i/>
          <w:iCs/>
        </w:rPr>
        <w:t xml:space="preserve">This is myasthenic crisis triggered by pneumonia. FVC &lt;20 mL/kg (assuming ~60 kg = 1.2 L threshold) with respiratory distress requires intubation. IVIg or PLEX are the rescue therapies (equal efficacy). Treat the trigger (antibiotics for pneumonia). Avoid aminoglycosides. High-dose steroids can initially worsen MG and should not be used as the primary rescue therapy in crisis.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International Consensus Guidance for Management of Myasthenia Gravis. Sanders DB et al. Neurology. 2016;87:419-425.</w:t>
            </w:r>
          </w:p>
          <w:p>
            <w:pPr>
              <w:spacing w:after="60"/>
              <w:ind w:left="200"/>
            </w:pPr>
            <w:r>
              <w:rPr>
                <w:b/>
                <w:bCs/>
                <w:color w:val="1B5E20"/>
                <w:sz w:val="19"/>
                <w:szCs w:val="19"/>
              </w:rPr>
              <w:t xml:space="preserve">[G2] </w:t>
            </w:r>
            <w:r>
              <w:rPr>
                <w:i/>
                <w:iCs/>
                <w:sz w:val="19"/>
                <w:szCs w:val="19"/>
              </w:rPr>
              <w:t xml:space="preserve">Evidence-Based Guideline: Diagnosis and Treatment of GBS. Wijdicks EFM et al. AAN Guideline. Neurology. 2012.</w:t>
            </w:r>
          </w:p>
          <w:p>
            <w:pPr>
              <w:spacing w:after="60"/>
              <w:ind w:left="200"/>
            </w:pPr>
            <w:r>
              <w:rPr>
                <w:b/>
                <w:bCs/>
                <w:color w:val="1B5E20"/>
                <w:sz w:val="19"/>
                <w:szCs w:val="19"/>
              </w:rPr>
              <w:t xml:space="preserve">[G3] </w:t>
            </w:r>
            <w:r>
              <w:rPr>
                <w:i/>
                <w:iCs/>
                <w:sz w:val="19"/>
                <w:szCs w:val="19"/>
              </w:rPr>
              <w:t xml:space="preserve">EFNS/PNS Guideline on Management of CIDP. Van den Bergh PYK et al. J Peripher Nerv Syst. 2021;26:242-268.</w:t>
            </w:r>
          </w:p>
          <w:p>
            <w:pPr>
              <w:spacing w:after="60"/>
              <w:ind w:left="200"/>
            </w:pPr>
            <w:r>
              <w:rPr>
                <w:b/>
                <w:bCs/>
                <w:color w:val="0D47A1"/>
                <w:sz w:val="19"/>
                <w:szCs w:val="19"/>
              </w:rPr>
              <w:t xml:space="preserve">[T4] </w:t>
            </w:r>
            <w:r>
              <w:rPr>
                <w:b/>
                <w:bCs/>
                <w:sz w:val="19"/>
                <w:szCs w:val="19"/>
              </w:rPr>
              <w:t xml:space="preserve">MGTX (Thymectomy in MG): </w:t>
            </w:r>
            <w:r>
              <w:rPr>
                <w:sz w:val="19"/>
                <w:szCs w:val="19"/>
              </w:rPr>
              <w:t xml:space="preserve">Wolfe GI et al. NEJM 2016;375:511-22. Thymectomy + prednisone vs prednisone alone in non-thymomatous AChR+ generalized MG: thymectomy improved clinical outcomes and reduced immunosuppressant requirements over 3 years.</w:t>
            </w:r>
          </w:p>
          <w:p>
            <w:pPr>
              <w:spacing w:after="60"/>
              <w:ind w:left="200"/>
            </w:pPr>
            <w:r>
              <w:rPr>
                <w:b/>
                <w:bCs/>
                <w:color w:val="0D47A1"/>
                <w:sz w:val="19"/>
                <w:szCs w:val="19"/>
              </w:rPr>
              <w:t xml:space="preserve">[T5] </w:t>
            </w:r>
            <w:r>
              <w:rPr>
                <w:b/>
                <w:bCs/>
                <w:sz w:val="19"/>
                <w:szCs w:val="19"/>
              </w:rPr>
              <w:t xml:space="preserve">REGAIN (Eculizumab MG): </w:t>
            </w:r>
            <w:r>
              <w:rPr>
                <w:sz w:val="19"/>
                <w:szCs w:val="19"/>
              </w:rPr>
              <w:t xml:space="preserve">Howard JF Jr et al. Lancet Neurol 2017;16:976-86. Complement inhibitor eculizumab in refractory AChR+ generalized MG: significant improvement in ADL and QMG scores.</w:t>
            </w:r>
          </w:p>
          <w:p>
            <w:pPr>
              <w:spacing w:after="60"/>
              <w:ind w:left="200"/>
            </w:pPr>
            <w:r>
              <w:rPr>
                <w:b/>
                <w:bCs/>
                <w:color w:val="0D47A1"/>
                <w:sz w:val="19"/>
                <w:szCs w:val="19"/>
              </w:rPr>
              <w:t xml:space="preserve">[T6] </w:t>
            </w:r>
            <w:r>
              <w:rPr>
                <w:b/>
                <w:bCs/>
                <w:sz w:val="19"/>
                <w:szCs w:val="19"/>
              </w:rPr>
              <w:t xml:space="preserve">ADAPT (Efgartigimod MG): </w:t>
            </w:r>
            <w:r>
              <w:rPr>
                <w:sz w:val="19"/>
                <w:szCs w:val="19"/>
              </w:rPr>
              <w:t xml:space="preserve">Howard JF Jr et al. Lancet Neurol 2021;20:526-36. FcRn antagonist efgartigimod in AChR+ generalized MG: 68% vs 30% MG-ADL response. Rapid IgG reduction approach.</w:t>
            </w:r>
          </w:p>
          <w:p>
            <w:pPr>
              <w:spacing w:after="60"/>
              <w:ind w:left="200"/>
            </w:pPr>
            <w:r>
              <w:rPr>
                <w:b/>
                <w:bCs/>
                <w:color w:val="0D47A1"/>
                <w:sz w:val="19"/>
                <w:szCs w:val="19"/>
              </w:rPr>
              <w:t xml:space="preserve">[T7] </w:t>
            </w:r>
            <w:r>
              <w:rPr>
                <w:b/>
                <w:bCs/>
                <w:sz w:val="19"/>
                <w:szCs w:val="19"/>
              </w:rPr>
              <w:t xml:space="preserve">CHAMPION-MG (Ravulizumab): </w:t>
            </w:r>
            <w:r>
              <w:rPr>
                <w:sz w:val="19"/>
                <w:szCs w:val="19"/>
              </w:rPr>
              <w:t xml:space="preserve">Vu T et al. NEJM 2022;386:1132-42. Long-acting complement C5 inhibitor in generalized MG: significant QMG and MG-ADL improvement.</w:t>
            </w:r>
          </w:p>
          <w:p>
            <w:pPr>
              <w:spacing w:after="60"/>
              <w:ind w:left="200"/>
            </w:pPr>
            <w:r>
              <w:rPr>
                <w:b/>
                <w:bCs/>
                <w:color w:val="0D47A1"/>
                <w:sz w:val="19"/>
                <w:szCs w:val="19"/>
              </w:rPr>
              <w:t xml:space="preserve">[T8] </w:t>
            </w:r>
            <w:r>
              <w:rPr>
                <w:b/>
                <w:bCs/>
                <w:sz w:val="19"/>
                <w:szCs w:val="19"/>
              </w:rPr>
              <w:t xml:space="preserve">GBS-IVIg Trial: </w:t>
            </w:r>
            <w:r>
              <w:rPr>
                <w:sz w:val="19"/>
                <w:szCs w:val="19"/>
              </w:rPr>
              <w:t xml:space="preserve">van der Meche FGA et al. NEJM 1992;326:1123-9. IVIg equivalent to PLEX in GBS. IVIg preferred due to easier administration.</w:t>
            </w:r>
          </w:p>
          <w:p>
            <w:pPr>
              <w:spacing w:after="60"/>
              <w:ind w:left="200"/>
            </w:pPr>
            <w:r>
              <w:rPr>
                <w:b/>
                <w:bCs/>
                <w:sz w:val="19"/>
                <w:szCs w:val="19"/>
              </w:rPr>
              <w:t xml:space="preserve">[9] </w:t>
            </w:r>
            <w:r>
              <w:rPr>
                <w:sz w:val="19"/>
                <w:szCs w:val="19"/>
              </w:rPr>
              <w:t xml:space="preserve">Gilhus NE et al. Myasthenia gravis. Nat Rev Dis Primers. 2019;5:30. Comprehensive review.</w:t>
            </w:r>
          </w:p>
          <w:p>
            <w:pPr>
              <w:spacing w:after="60"/>
              <w:ind w:left="200"/>
            </w:pPr>
            <w:r>
              <w:rPr>
                <w:b/>
                <w:bCs/>
                <w:sz w:val="19"/>
                <w:szCs w:val="19"/>
              </w:rPr>
              <w:t xml:space="preserve">[10] </w:t>
            </w:r>
            <w:r>
              <w:rPr>
                <w:sz w:val="19"/>
                <w:szCs w:val="19"/>
              </w:rPr>
              <w:t xml:space="preserve">Shahrizaila N et al. Guillain-Barre syndrome. Lancet. 2021;397:1214-28. Updated comprehensive review.</w:t>
            </w:r>
          </w:p>
          <w:p>
            <w:pPr>
              <w:spacing w:after="60"/>
              <w:ind w:left="200"/>
            </w:pPr>
            <w:r>
              <w:rPr>
                <w:b/>
                <w:bCs/>
                <w:sz w:val="19"/>
                <w:szCs w:val="19"/>
              </w:rPr>
              <w:t xml:space="preserve">[11] </w:t>
            </w:r>
            <w:r>
              <w:rPr>
                <w:sz w:val="19"/>
                <w:szCs w:val="19"/>
              </w:rPr>
              <w:t xml:space="preserve">Oaklander AL, Nolano M. Scientific advances in and clinical approaches to small-fiber polyneuropathy. JAMA Neurol. 2019;76:1240-51.</w:t>
            </w:r>
          </w:p>
        </w:tc>
      </w:tr>
    </w:tbl>
    <w:p>
      <w:r>
        <w:br w:type="page"/>
      </w:r>
    </w:p>
    <w:p>
      <w:pPr>
        <w:pStyle w:val="Heading1"/>
      </w:pPr>
      <w:r>
        <w:t xml:space="preserve">6. Demyelinating Diseases</w:t>
      </w:r>
    </w:p>
    <w:p>
      <w:pPr>
        <w:pStyle w:val="Heading2"/>
      </w:pPr>
      <w:r>
        <w:t xml:space="preserve">6.1 Multiple Sclerosis</w:t>
      </w:r>
    </w:p>
    <w:p>
      <w:pPr>
        <w:spacing w:after="120"/>
      </w:pPr>
      <w:r>
        <w:t xml:space="preserve">MS is the most common demyelinating disease of the CNS, affecting approximately 2.8 million people worldwide. It predominantly affects young women (F:M ratio 3:1), with onset typically between ages 20-40.</w:t>
      </w:r>
    </w:p>
    <w:p>
      <w:pPr>
        <w:pStyle w:val="Heading3"/>
      </w:pPr>
      <w:r>
        <w:t xml:space="preserve">6.1.1 Clinical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760"/>
        <w:gridCol w:w="32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Subtype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Frequency</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Course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Relapsing-remitting (RRMS)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85%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Discrete attacks with full/partial recovery</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common at onset; attacks last days to weeks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Secondary progressive (SPMS)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~50% of RRMS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Gradual worsening after initial relapsing course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Develops 15-20 years after RRMS onset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Primary progressive (PPMS)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10-15%</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Gradual progression from onset without relapses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More common in men, older onset, spinal cord predominant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Clinically isolated syndrome (CIS)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w:t>
            </w:r>
          </w:p>
        </w:tc>
        <w:tc>
          <w:tcPr>
            <w:tcW w:type="dxa" w:w="27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First clinical episode suggestive of MS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Conversion to MS depends on MRI lesion burden</w:t>
            </w:r>
          </w:p>
        </w:tc>
      </w:tr>
    </w:tbl>
    <w:p>
      <w:pPr>
        <w:spacing w:after="200"/>
      </w:pPr>
    </w:p>
    <w:p>
      <w:pPr>
        <w:pStyle w:val="Heading3"/>
      </w:pPr>
      <w:r>
        <w:t xml:space="preserve">6.1.2 Common Clinical Presentations</w:t>
      </w:r>
    </w:p>
    <w:p>
      <w:pPr>
        <w:pStyle w:val="ListParagraph"/>
        <w:numPr>
          <w:ilvl w:val="0"/>
          <w:numId w:val="2"/>
        </w:numPr>
        <w:spacing w:after="60"/>
      </w:pPr>
      <w:r/>
      <w:r>
        <w:t xml:space="preserve">Unilateral painful vision loss (pain with eye movement), afferent pupillary defect (RAPD), central scotoma. Most common presenting symptom of MS.</w:t>
      </w:r>
    </w:p>
    <w:p>
      <w:pPr>
        <w:pStyle w:val="ListParagraph"/>
        <w:numPr>
          <w:ilvl w:val="0"/>
          <w:numId w:val="2"/>
        </w:numPr>
        <w:spacing w:after="60"/>
      </w:pPr>
      <w:r/>
      <w:r>
        <w:t xml:space="preserve">Motor/sensory level, bowel/bladder dysfunction. MS lesions are partial/asymmetric and span &lt;2 vertebral segments (vs. NMOSD which is longitudinally extensive &gt;= 3 segments).</w:t>
      </w:r>
    </w:p>
    <w:p>
      <w:pPr>
        <w:pStyle w:val="ListParagraph"/>
        <w:numPr>
          <w:ilvl w:val="0"/>
          <w:numId w:val="2"/>
        </w:numPr>
        <w:spacing w:after="60"/>
      </w:pPr>
      <w:r/>
      <w:r>
        <w:t xml:space="preserve">Internuclear ophthalmoplegia (INO) - highly suggestive of MS in young adults. Trigeminal neuralgia in young patients. Vertigo, diplopia.</w:t>
      </w:r>
    </w:p>
    <w:p>
      <w:pPr>
        <w:pStyle w:val="ListParagraph"/>
        <w:numPr>
          <w:ilvl w:val="0"/>
          <w:numId w:val="2"/>
        </w:numPr>
        <w:spacing w:after="60"/>
      </w:pPr>
      <w:r/>
      <w:r>
        <w:t xml:space="preserve">Electric shock sensation down spine/limbs with neck flexion. Indicates dorsal column cervical cord demyelination.</w:t>
      </w:r>
    </w:p>
    <w:p>
      <w:pPr>
        <w:pStyle w:val="ListParagraph"/>
        <w:numPr>
          <w:ilvl w:val="0"/>
          <w:numId w:val="2"/>
        </w:numPr>
        <w:spacing w:after="60"/>
      </w:pPr>
      <w:r/>
      <w:r>
        <w:t xml:space="preserve">Worsening of symptoms with heat/exercise. Due to temperature-dependent conduction block in demyelinated axons.</w:t>
      </w:r>
    </w:p>
    <w:p>
      <w:pPr>
        <w:spacing w:after="200"/>
      </w:pPr>
    </w:p>
    <w:p>
      <w:pPr>
        <w:pStyle w:val="Heading3"/>
      </w:pPr>
      <w:r>
        <w:t xml:space="preserve">6.1.3 Diagnosis (McDonald Criteria 2017)</w:t>
      </w:r>
    </w:p>
    <w:p>
      <w:pPr>
        <w:spacing w:after="120"/>
      </w:pPr>
      <w:r>
        <w:t xml:space="preserve">Requires demonstration of dissemination in space (DIS) and dissemination in time (DIT), with exclusion of alternative diagnoses.</w:t>
      </w:r>
    </w:p>
    <w:p>
      <w:pPr>
        <w:pStyle w:val="ListParagraph"/>
        <w:numPr>
          <w:ilvl w:val="0"/>
          <w:numId w:val="2"/>
        </w:numPr>
        <w:spacing w:after="60"/>
      </w:pPr>
      <w:r/>
      <w:r>
        <w:t xml:space="preserve">&gt;= 1 T2 lesion in &gt;= 2 of 4 characteristic locations: periventricular, cortical/juxtacortical, infratentorial, spinal cord.</w:t>
      </w:r>
    </w:p>
    <w:p>
      <w:pPr>
        <w:pStyle w:val="ListParagraph"/>
        <w:numPr>
          <w:ilvl w:val="0"/>
          <w:numId w:val="2"/>
        </w:numPr>
        <w:spacing w:after="60"/>
      </w:pPr>
      <w:r/>
      <w:r>
        <w:t xml:space="preserve">Simultaneous gadolinium-enhancing and non-enhancing lesions on single MRI, OR new T2/enhancing lesion on follow-up MRI.</w:t>
      </w:r>
    </w:p>
    <w:p>
      <w:pPr>
        <w:pStyle w:val="ListParagraph"/>
        <w:numPr>
          <w:ilvl w:val="0"/>
          <w:numId w:val="2"/>
        </w:numPr>
        <w:spacing w:after="60"/>
      </w:pPr>
      <w:r/>
      <w:r>
        <w:t xml:space="preserve">Oligoclonal bands (OCBs) present in &gt;95% of MS. Can substitute for DIT in 2017 criteria. IgG index elevated.</w:t>
      </w:r>
    </w:p>
    <w:p>
      <w:pPr>
        <w:spacing w:after="200"/>
      </w:pPr>
    </w:p>
    <w:p>
      <w:pPr>
        <w:pStyle w:val="Heading3"/>
      </w:pPr>
      <w:r>
        <w:t xml:space="preserve">6.1.4 Disease-Modifying Therapies (DMTs)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60"/>
        <w:gridCol w:w="31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Category</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Examples</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Efficacy (ARR reduction)</w:t>
            </w:r>
          </w:p>
        </w:tc>
        <w:tc>
          <w:tcPr>
            <w:tcW w:type="dxa" w:w="3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Risks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Injectable (platform)</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IFN-beta, glatiramer acetate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~30%</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Injection site reactions, flu-like; safest long-term profile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Oral (moderate)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Dimethyl fumarate, teriflunomide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~50%</w:t>
            </w:r>
          </w:p>
        </w:tc>
        <w:tc>
          <w:tcPr>
            <w:tcW w:type="dxa" w:w="3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GI symptoms, flushing (DMF); teratogenic (teri); lymphopenia monitoring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Oral (high-efficacy)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Fingolimod, siponimod, ozanimod, ponesimod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~55%</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S1P modulators: first-dose bradycardia, macular edema, PML risk, VZV reactivation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High-efficacy infusion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Natalizumab, ocrelizumab, ofatumumab</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68-70%</w:t>
            </w:r>
          </w:p>
        </w:tc>
        <w:tc>
          <w:tcPr>
            <w:tcW w:type="dxa" w:w="3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Natalizumab: PML risk (JCV+, &gt;24 months, prior IS); anti-CD20: infection risk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Immune reconstitution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Alemtuzumab, cladribine</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55-70%</w:t>
            </w:r>
          </w:p>
        </w:tc>
        <w:tc>
          <w:tcPr>
            <w:tcW w:type="dxa" w:w="3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Autoimmune thyroiditis, ITP (alemtuzumab); lymphopenia (cladribine)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PPMS</w:t>
            </w:r>
          </w:p>
        </w:tc>
        <w:tc>
          <w:tcPr>
            <w:tcW w:type="dxa" w:w="24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Ocrelizumab (only approved DMT)</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~24% disability progression</w:t>
            </w:r>
          </w:p>
        </w:tc>
        <w:tc>
          <w:tcPr>
            <w:tcW w:type="dxa" w:w="31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Anti-CD20 B-cell depletion; infection screening required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Treatment paradigm shift: Early high-efficacy therapy (EHT) strategy is increasingly favored over escalation approach, especially in patients with poor prognostic factors (high lesion burden, spinal cord lesions, frequent early relapses, young onset). The DELIVER-MS and TREAT-MS trials are evaluating this head-to-head.</w:t>
            </w:r>
          </w:p>
        </w:tc>
      </w:tr>
    </w:tbl>
    <w:p>
      <w:pPr>
        <w:spacing w:after="200"/>
      </w:pPr>
    </w:p>
    <w:p>
      <w:pPr>
        <w:pStyle w:val="Heading2"/>
      </w:pPr>
      <w:r>
        <w:t xml:space="preserve">6.2 Neuromyelitis Optica Spectrum Disorder (NMOSD)</w:t>
      </w:r>
    </w:p>
    <w:p>
      <w:pPr>
        <w:spacing w:after="120"/>
      </w:pPr>
      <w:r>
        <w:t xml:space="preserve">NMOSD is an antibody-mediated astrocytopathy distinct from MS. AQP4-IgG is positive in ~75% of cases. Critical to distinguish from MS because treatments differ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Feature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MS</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NMOSD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Pathology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Demyelination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Astrocytopathy (AQP4)</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Antibody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None specific (OCBs)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AQP4-IgG (75%), MOG-IgG (10%)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Optic neuritis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Usually unilateral, mild</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Often bilateral, severe, poor recovery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Myelitis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Partial, short (&lt;2 segments)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LETM (&gt;= 3 segments), central cord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Brain MRI</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Dawson fingers, periventricular lesions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Often normal; area postrema (intractable hiccups/vomiting)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Acute treatment</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IV methylprednisolone</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IV methylprednisolone + PLEX (early)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Prevention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Interferon-beta, natalizumab, etc.</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Rituximab, eculizumab, inebilizumab, satralizumab</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Caution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IFN-beta and fingolimod can WORSEN NMOSD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Area postrema syndrome (intractable nausea, vomiting, hiccups) is highly specific for NMOSD. If a patient presents with these symptoms plus optic neuritis or transverse myelitis, test for AQP4-IgG immediately. Do NOT start MS-specific therapies until NMOSD is excluded.</w:t>
            </w:r>
          </w:p>
        </w:tc>
      </w:tr>
    </w:tbl>
    <w:p>
      <w:pPr>
        <w:spacing w:after="200"/>
      </w:pPr>
    </w:p>
    <w:p>
      <w:pPr>
        <w:spacing w:before="200" w:after="100"/>
      </w:pPr>
      <w:r>
        <w:rPr>
          <w:b/>
          <w:bCs/>
          <w:color w:val="1F4E79"/>
          <w:sz w:val="24"/>
          <w:szCs w:val="24"/>
        </w:rPr>
        <w:t xml:space="preserve">Practice Question 7</w:t>
      </w:r>
    </w:p>
    <w:p>
      <w:pPr>
        <w:spacing w:after="120"/>
      </w:pPr>
      <w:r>
        <w:t xml:space="preserve">A 35-year-old woman presents with acute bilateral vision loss and severe back pain with paraplegia. MRI shows bilateral optic nerve enhancement and a T2 lesion spanning C2-T1 (longitudinally extensive transverse myelitis). Brain MRI is normal. What is the most critical next diagnostic test?</w:t>
      </w:r>
    </w:p>
    <w:p>
      <w:pPr>
        <w:pStyle w:val="ListParagraph"/>
        <w:numPr>
          <w:ilvl w:val="0"/>
          <w:numId w:val="3"/>
        </w:numPr>
        <w:spacing w:after="60"/>
      </w:pPr>
      <w:r>
        <w:t xml:space="preserve">A) CSF oligoclonal bands</w:t>
      </w:r>
    </w:p>
    <w:p>
      <w:pPr>
        <w:pStyle w:val="ListParagraph"/>
        <w:numPr>
          <w:ilvl w:val="0"/>
          <w:numId w:val="3"/>
        </w:numPr>
        <w:spacing w:after="60"/>
      </w:pPr>
      <w:r>
        <w:t xml:space="preserve">B) Serum AQP4-IgG antibody</w:t>
      </w:r>
    </w:p>
    <w:p>
      <w:pPr>
        <w:pStyle w:val="ListParagraph"/>
        <w:numPr>
          <w:ilvl w:val="0"/>
          <w:numId w:val="3"/>
        </w:numPr>
        <w:spacing w:after="60"/>
      </w:pPr>
      <w:r>
        <w:t xml:space="preserve">C) Visual evoked potentials</w:t>
      </w:r>
    </w:p>
    <w:p>
      <w:pPr>
        <w:pStyle w:val="ListParagraph"/>
        <w:numPr>
          <w:ilvl w:val="0"/>
          <w:numId w:val="3"/>
        </w:numPr>
        <w:spacing w:after="60"/>
      </w:pPr>
      <w:r>
        <w:t xml:space="preserve">D) Serum NfL level</w:t>
      </w:r>
    </w:p>
    <w:p>
      <w:pPr>
        <w:spacing w:before="100"/>
      </w:pPr>
      <w:r>
        <w:rPr>
          <w:b/>
          <w:bCs/>
          <w:color w:val="27AE60"/>
        </w:rPr>
        <w:t xml:space="preserve">Answer: </w:t>
      </w:r>
      <w:r>
        <w:rPr>
          <w:color w:val="27AE60"/>
        </w:rPr>
        <w:t xml:space="preserve">B) Serum AQP4-IgG antibody</w:t>
      </w:r>
    </w:p>
    <w:p>
      <w:pPr>
        <w:spacing w:after="120"/>
      </w:pPr>
      <w:r>
        <w:rPr>
          <w:b/>
          <w:bCs/>
          <w:i/>
          <w:iCs/>
        </w:rPr>
        <w:t xml:space="preserve">Explanation: </w:t>
      </w:r>
      <w:r>
        <w:rPr>
          <w:i/>
          <w:iCs/>
        </w:rPr>
        <w:t xml:space="preserve">Bilateral optic neuritis + LETM (&gt;= 3 segments) + normal brain MRI is highly suggestive of NMOSD, not MS. AQP4-IgG testing is critical because it confirms the diagnosis and dictates treatment - NMOSD requires different preventive therapy (rituximab, eculizumab) and some MS therapies (interferon, fingolimod) can worsen NMOSD.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2017 McDonald Criteria for Diagnosis of Multiple Sclerosis. Thompson AJ et al. Lancet Neurol. 2018;17:162-173.</w:t>
            </w:r>
          </w:p>
          <w:p>
            <w:pPr>
              <w:spacing w:after="60"/>
              <w:ind w:left="200"/>
            </w:pPr>
            <w:r>
              <w:rPr>
                <w:b/>
                <w:bCs/>
                <w:color w:val="1B5E20"/>
                <w:sz w:val="19"/>
                <w:szCs w:val="19"/>
              </w:rPr>
              <w:t xml:space="preserve">[G2] </w:t>
            </w:r>
            <w:r>
              <w:rPr>
                <w:i/>
                <w:iCs/>
                <w:sz w:val="19"/>
                <w:szCs w:val="19"/>
              </w:rPr>
              <w:t xml:space="preserve">International Consensus Diagnostic Criteria for NMOSD. Wingerchuk DM et al. Neurology. 2015;85:177-189.</w:t>
            </w:r>
          </w:p>
          <w:p>
            <w:pPr>
              <w:spacing w:after="60"/>
              <w:ind w:left="200"/>
            </w:pPr>
            <w:r>
              <w:rPr>
                <w:b/>
                <w:bCs/>
                <w:color w:val="1B5E20"/>
                <w:sz w:val="19"/>
                <w:szCs w:val="19"/>
              </w:rPr>
              <w:t xml:space="preserve">[G3] </w:t>
            </w:r>
            <w:r>
              <w:rPr>
                <w:i/>
                <w:iCs/>
                <w:sz w:val="19"/>
                <w:szCs w:val="19"/>
              </w:rPr>
              <w:t xml:space="preserve">AAN Practice Guideline: Disease-Modifying Therapies for Adults with MS. Rae-Grant A et al. Neurology. 2018;90:777-788.</w:t>
            </w:r>
          </w:p>
          <w:p>
            <w:pPr>
              <w:spacing w:after="60"/>
              <w:ind w:left="200"/>
            </w:pPr>
            <w:r>
              <w:rPr>
                <w:b/>
                <w:bCs/>
                <w:color w:val="0D47A1"/>
                <w:sz w:val="19"/>
                <w:szCs w:val="19"/>
              </w:rPr>
              <w:t xml:space="preserve">[T4] </w:t>
            </w:r>
            <w:r>
              <w:rPr>
                <w:b/>
                <w:bCs/>
                <w:sz w:val="19"/>
                <w:szCs w:val="19"/>
              </w:rPr>
              <w:t xml:space="preserve">OPERA I &amp; II (Ocrelizumab): </w:t>
            </w:r>
            <w:r>
              <w:rPr>
                <w:sz w:val="19"/>
                <w:szCs w:val="19"/>
              </w:rPr>
              <w:t xml:space="preserve">Hauser SL et al. NEJM 2017;376:221-34. Ocrelizumab vs IFN-beta-1a in RRMS: 46-47% lower ARR. Led to first anti-CD20 approval for MS.</w:t>
            </w:r>
          </w:p>
          <w:p>
            <w:pPr>
              <w:spacing w:after="60"/>
              <w:ind w:left="200"/>
            </w:pPr>
            <w:r>
              <w:rPr>
                <w:b/>
                <w:bCs/>
                <w:color w:val="0D47A1"/>
                <w:sz w:val="19"/>
                <w:szCs w:val="19"/>
              </w:rPr>
              <w:t xml:space="preserve">[T5] </w:t>
            </w:r>
            <w:r>
              <w:rPr>
                <w:b/>
                <w:bCs/>
                <w:sz w:val="19"/>
                <w:szCs w:val="19"/>
              </w:rPr>
              <w:t xml:space="preserve">ORATORIO (Ocrelizumab PPMS): </w:t>
            </w:r>
            <w:r>
              <w:rPr>
                <w:sz w:val="19"/>
                <w:szCs w:val="19"/>
              </w:rPr>
              <w:t xml:space="preserve">Montalban X et al. NEJM 2017;376:209-20. First and only DMT to show benefit in PPMS: 24% lower disability progression.</w:t>
            </w:r>
          </w:p>
          <w:p>
            <w:pPr>
              <w:spacing w:after="60"/>
              <w:ind w:left="200"/>
            </w:pPr>
            <w:r>
              <w:rPr>
                <w:b/>
                <w:bCs/>
                <w:color w:val="0D47A1"/>
                <w:sz w:val="19"/>
                <w:szCs w:val="19"/>
              </w:rPr>
              <w:t xml:space="preserve">[T6] </w:t>
            </w:r>
            <w:r>
              <w:rPr>
                <w:b/>
                <w:bCs/>
                <w:sz w:val="19"/>
                <w:szCs w:val="19"/>
              </w:rPr>
              <w:t xml:space="preserve">ASCLEPIOS I &amp; II (Ofatumumab): </w:t>
            </w:r>
            <w:r>
              <w:rPr>
                <w:sz w:val="19"/>
                <w:szCs w:val="19"/>
              </w:rPr>
              <w:t xml:space="preserve">Hauser SL et al. NEJM 2020;383:546-57. SC anti-CD20 ofatumumab vs teriflunomide: 51-59% lower ARR.</w:t>
            </w:r>
          </w:p>
          <w:p>
            <w:pPr>
              <w:spacing w:after="60"/>
              <w:ind w:left="200"/>
            </w:pPr>
            <w:r>
              <w:rPr>
                <w:b/>
                <w:bCs/>
                <w:color w:val="0D47A1"/>
                <w:sz w:val="19"/>
                <w:szCs w:val="19"/>
              </w:rPr>
              <w:t xml:space="preserve">[T7] </w:t>
            </w:r>
            <w:r>
              <w:rPr>
                <w:b/>
                <w:bCs/>
                <w:sz w:val="19"/>
                <w:szCs w:val="19"/>
              </w:rPr>
              <w:t xml:space="preserve">PREVENT (Eculizumab NMOSD): </w:t>
            </w:r>
            <w:r>
              <w:rPr>
                <w:sz w:val="19"/>
                <w:szCs w:val="19"/>
              </w:rPr>
              <w:t xml:space="preserve">Pittock SJ et al. NEJM 2019;381:614-25. Eculizumab reduced AQP4+ NMOSD relapse rate by 94%. Landmark trial for complement inhibition in NMOSD.</w:t>
            </w:r>
          </w:p>
          <w:p>
            <w:pPr>
              <w:spacing w:after="60"/>
              <w:ind w:left="200"/>
            </w:pPr>
            <w:r>
              <w:rPr>
                <w:b/>
                <w:bCs/>
                <w:color w:val="0D47A1"/>
                <w:sz w:val="19"/>
                <w:szCs w:val="19"/>
              </w:rPr>
              <w:t xml:space="preserve">[T8] </w:t>
            </w:r>
            <w:r>
              <w:rPr>
                <w:b/>
                <w:bCs/>
                <w:sz w:val="19"/>
                <w:szCs w:val="19"/>
              </w:rPr>
              <w:t xml:space="preserve">N-MOmentum (Inebilizumab): </w:t>
            </w:r>
            <w:r>
              <w:rPr>
                <w:sz w:val="19"/>
                <w:szCs w:val="19"/>
              </w:rPr>
              <w:t xml:space="preserve">Cree BAC et al. Lancet 2019;394:1352-63. Anti-CD19 B-cell depletion in NMOSD: 73% ARR reduction.</w:t>
            </w:r>
          </w:p>
          <w:p>
            <w:pPr>
              <w:spacing w:after="60"/>
              <w:ind w:left="200"/>
            </w:pPr>
            <w:r>
              <w:rPr>
                <w:b/>
                <w:bCs/>
                <w:color w:val="0D47A1"/>
                <w:sz w:val="19"/>
                <w:szCs w:val="19"/>
              </w:rPr>
              <w:t xml:space="preserve">[T9] </w:t>
            </w:r>
            <w:r>
              <w:rPr>
                <w:b/>
                <w:bCs/>
                <w:sz w:val="19"/>
                <w:szCs w:val="19"/>
              </w:rPr>
              <w:t xml:space="preserve">SAkuraStar (Satralizumab): </w:t>
            </w:r>
            <w:r>
              <w:rPr>
                <w:sz w:val="19"/>
                <w:szCs w:val="19"/>
              </w:rPr>
              <w:t xml:space="preserve">Traboulsee A et al. Lancet Neurol 2020;19:402-12. Anti-IL6R monotherapy in NMOSD: 55% ARR reduction in AQP4+ patients.</w:t>
            </w:r>
          </w:p>
          <w:p>
            <w:pPr>
              <w:spacing w:after="60"/>
              <w:ind w:left="200"/>
            </w:pPr>
            <w:r>
              <w:rPr>
                <w:b/>
                <w:bCs/>
                <w:sz w:val="19"/>
                <w:szCs w:val="19"/>
              </w:rPr>
              <w:t xml:space="preserve">[10] </w:t>
            </w:r>
            <w:r>
              <w:rPr>
                <w:sz w:val="19"/>
                <w:szCs w:val="19"/>
              </w:rPr>
              <w:t xml:space="preserve">Filippi M et al. Multiple sclerosis. Nat Rev Dis Primers. 2018;4:43. State-of-the-art review.</w:t>
            </w:r>
          </w:p>
          <w:p>
            <w:pPr>
              <w:spacing w:after="60"/>
              <w:ind w:left="200"/>
            </w:pPr>
            <w:r>
              <w:rPr>
                <w:b/>
                <w:bCs/>
                <w:sz w:val="19"/>
                <w:szCs w:val="19"/>
              </w:rPr>
              <w:t xml:space="preserve">[11] </w:t>
            </w:r>
            <w:r>
              <w:rPr>
                <w:sz w:val="19"/>
                <w:szCs w:val="19"/>
              </w:rPr>
              <w:t xml:space="preserve">Jarius S, Wildemann B. AQP4 antibodies in neuromyelitis optica: diagnostic and pathogenetic relevance. Nat Rev Neurol. 2010;6:383-92.</w:t>
            </w:r>
          </w:p>
        </w:tc>
      </w:tr>
    </w:tbl>
    <w:p>
      <w:r>
        <w:br w:type="page"/>
      </w:r>
    </w:p>
    <w:p>
      <w:pPr>
        <w:pStyle w:val="Heading1"/>
      </w:pPr>
      <w:r>
        <w:t xml:space="preserve">7. CNS Infections</w:t>
      </w:r>
    </w:p>
    <w:p>
      <w:pPr>
        <w:pStyle w:val="Heading2"/>
      </w:pPr>
      <w:r>
        <w:t xml:space="preserve">7.1 Bacterial Meningitis</w:t>
      </w:r>
    </w:p>
    <w:p>
      <w:pPr>
        <w:pStyle w:val="Heading3"/>
      </w:pPr>
      <w:r>
        <w:t xml:space="preserve">7.1.1 Etiology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Age Group</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Common Organisms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Empiric Therapy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Neonates (&lt;1 month)</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Group B Streptococcus, E. coli, Listeria</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Ampicillin + cefotaxime (or gentamicin)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 month - 50 years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 pneumoniae, N. meningitidis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Ceftriaxone + vancomycin + dexamethasone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&gt;50 years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 pneumoniae, N. meningitidis, Listeria</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Ceftriaxone + vancomycin + ampicillin + dexamethasone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Immunocompromised</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Listeria, Gram-negatives, Cryptococcus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Ampicillin + ceftazidime/meropenem + vancomycin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Post-neurosurgery</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Staphylococci, Gram-negatives, Pseudomonas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Vancomycin + ceftazidime/meropenem</w:t>
            </w:r>
          </w:p>
        </w:tc>
      </w:tr>
    </w:tbl>
    <w:p>
      <w:pPr>
        <w:spacing w:after="200"/>
      </w:pPr>
    </w:p>
    <w:p>
      <w:pPr>
        <w:pStyle w:val="Heading3"/>
      </w:pPr>
      <w:r>
        <w:t xml:space="preserve">7.1.2 CSF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60"/>
        <w:gridCol w:w="19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Parameter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Bacterial</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Viral</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Tuberculous</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Fungal</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Opening pressure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Elevated (&gt;180)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Normal/mildly elevated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Elevated</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Elevated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WBC</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1000-10000 (neutrophils)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50-1000 (lymphocytes)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100-500 (lymphocytes)</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20-500 (lymphocytes)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Protein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Elevated (&gt;100 mg/dL)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Normal/mildly elevated</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Markedly elevated (100-500)</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Elevated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Glucose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Low (&lt;40 mg/dL, ratio &lt;0.4)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Normal</w:t>
            </w:r>
          </w:p>
        </w:tc>
        <w:tc>
          <w:tcPr>
            <w:tcW w:type="dxa" w:w="2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Very low (&lt;45 mg/dL)</w:t>
            </w:r>
          </w:p>
        </w:tc>
        <w:tc>
          <w:tcPr>
            <w:tcW w:type="dxa" w:w="19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Low</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Special tests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Gram stain (60-90%), culture, latex agglutination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PCR (HSV, enterovirus)</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AFB smear (low sensitivity), ADA, GeneXpert</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India ink (Crypto), CrAg, culture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Dexamethasone 0.15 mg/kg IV q6h for 4 days should be given WITH or BEFORE the first dose of antibiotics in suspected bacterial meningitis (not after). The benefit is primarily for S. pneumoniae meningitis, reducing mortality and neurological sequelae (de Gans trial). Give before or with antibiotics - if antibiotics already given, benefit is reduced.</w:t>
            </w:r>
          </w:p>
        </w:tc>
      </w:tr>
    </w:tbl>
    <w:p>
      <w:pPr>
        <w:spacing w:after="200"/>
      </w:pPr>
    </w:p>
    <w:p>
      <w:pPr>
        <w:pStyle w:val="Heading3"/>
      </w:pPr>
      <w:r>
        <w:t xml:space="preserve">7.1.3 When to CT Before LP</w:t>
      </w:r>
    </w:p>
    <w:p>
      <w:pPr>
        <w:pStyle w:val="ListParagraph"/>
        <w:numPr>
          <w:ilvl w:val="0"/>
          <w:numId w:val="2"/>
        </w:numPr>
        <w:spacing w:after="60"/>
      </w:pPr>
      <w:r>
        <w:t xml:space="preserve">Immunocompromised state</w:t>
      </w:r>
    </w:p>
    <w:p>
      <w:pPr>
        <w:pStyle w:val="ListParagraph"/>
        <w:numPr>
          <w:ilvl w:val="0"/>
          <w:numId w:val="2"/>
        </w:numPr>
        <w:spacing w:after="60"/>
      </w:pPr>
      <w:r>
        <w:t xml:space="preserve">History of CNS disease (mass, stroke, focal infection)</w:t>
      </w:r>
    </w:p>
    <w:p>
      <w:pPr>
        <w:pStyle w:val="ListParagraph"/>
        <w:numPr>
          <w:ilvl w:val="0"/>
          <w:numId w:val="2"/>
        </w:numPr>
        <w:spacing w:after="60"/>
      </w:pPr>
      <w:r>
        <w:t xml:space="preserve">New-onset seizure (within 1 week)</w:t>
      </w:r>
    </w:p>
    <w:p>
      <w:pPr>
        <w:pStyle w:val="ListParagraph"/>
        <w:numPr>
          <w:ilvl w:val="0"/>
          <w:numId w:val="2"/>
        </w:numPr>
        <w:spacing w:after="60"/>
      </w:pPr>
      <w:r>
        <w:t xml:space="preserve">Papilledema</w:t>
      </w:r>
    </w:p>
    <w:p>
      <w:pPr>
        <w:pStyle w:val="ListParagraph"/>
        <w:numPr>
          <w:ilvl w:val="0"/>
          <w:numId w:val="2"/>
        </w:numPr>
        <w:spacing w:after="60"/>
      </w:pPr>
      <w:r>
        <w:t xml:space="preserve">Altered consciousness</w:t>
      </w:r>
    </w:p>
    <w:p>
      <w:pPr>
        <w:pStyle w:val="ListParagraph"/>
        <w:numPr>
          <w:ilvl w:val="0"/>
          <w:numId w:val="2"/>
        </w:numPr>
        <w:spacing w:after="60"/>
      </w:pPr>
      <w:r>
        <w:t xml:space="preserve">Focal neurological deficit</w:t>
      </w:r>
    </w:p>
    <w:p>
      <w:pPr>
        <w:spacing w:after="120"/>
      </w:pPr>
      <w:r>
        <w:rPr>
          <w:b/>
          <w:bCs/>
        </w:rPr>
        <w:t xml:space="preserve">CRITICAL: </w:t>
      </w:r>
      <w:r>
        <w:t xml:space="preserve">Do NOT delay antibiotics while waiting for CT. Draw blood cultures and start empiric antibiotics + dexamethasone immediately, then proceed with imaging and LP.</w:t>
      </w:r>
    </w:p>
    <w:p>
      <w:pPr>
        <w:spacing w:after="200"/>
      </w:pPr>
    </w:p>
    <w:p>
      <w:pPr>
        <w:pStyle w:val="Heading2"/>
      </w:pPr>
      <w:r>
        <w:t xml:space="preserve">7.2 Viral Encephalitis</w:t>
      </w:r>
    </w:p>
    <w:p>
      <w:pPr>
        <w:spacing w:after="120"/>
      </w:pPr>
      <w:r>
        <w:t xml:space="preserve">HSV encephalitis is the most common cause of sporadic fatal encephalitis. It has a predilection for the temporal lobes.</w:t>
      </w:r>
    </w:p>
    <w:p>
      <w:pPr>
        <w:pStyle w:val="ListParagraph"/>
        <w:numPr>
          <w:ilvl w:val="0"/>
          <w:numId w:val="2"/>
        </w:numPr>
        <w:spacing w:after="60"/>
      </w:pPr>
      <w:r/>
      <w:r>
        <w:t xml:space="preserve">Fever, headache, altered consciousness, behavioral changes, seizures, focal deficits. MRI: temporal lobe hyperintensity. CSF: lymphocytic pleocytosis, elevated protein, HSV PCR positive. Treatment: IV acyclovir 10 mg/kg q8h for 14-21 days. Start empirically - do NOT wait for PCR results.</w:t>
      </w:r>
    </w:p>
    <w:p>
      <w:pPr>
        <w:pStyle w:val="ListParagraph"/>
        <w:numPr>
          <w:ilvl w:val="0"/>
          <w:numId w:val="2"/>
        </w:numPr>
        <w:spacing w:after="60"/>
      </w:pPr>
      <w:r/>
      <w:r>
        <w:t xml:space="preserve">Most common vaccine-preventable cause of encephalitis in Asia. Thalamic/basal ganglia involvement on MRI. Supportive care only; prevention by vaccination.</w:t>
      </w:r>
    </w:p>
    <w:p>
      <w:pPr>
        <w:pStyle w:val="ListParagraph"/>
        <w:numPr>
          <w:ilvl w:val="0"/>
          <w:numId w:val="2"/>
        </w:numPr>
        <w:spacing w:after="60"/>
      </w:pPr>
      <w:r/>
      <w:r>
        <w:t xml:space="preserve">NMDA-receptor encephalitis: young women, psychiatric symptoms, seizures, movement disorder, autonomic instability. Associated with ovarian teratoma. CSF anti-NMDAR antibodies. Treatment: immunotherapy (steroids, IVIg, plasma exchange) + tumor removal if present.</w:t>
      </w:r>
    </w:p>
    <w:p>
      <w:pPr>
        <w:spacing w:after="200"/>
      </w:pPr>
    </w:p>
    <w:p>
      <w:pPr>
        <w:pStyle w:val="Heading2"/>
      </w:pPr>
      <w:r>
        <w:t xml:space="preserve">7.3 Tuberculous Meningitis</w:t>
      </w:r>
    </w:p>
    <w:p>
      <w:pPr>
        <w:spacing w:after="120"/>
      </w:pPr>
      <w:r>
        <w:t xml:space="preserve">TBM is the most lethal form of TB. Common in Thailand and other endemic regions. Presents subacutely with headache, fever, cranial nerve palsies (especially CN VI), and altered consciousness over days to weeks.</w:t>
      </w:r>
    </w:p>
    <w:p>
      <w:pPr>
        <w:pStyle w:val="ListParagraph"/>
        <w:numPr>
          <w:ilvl w:val="0"/>
          <w:numId w:val="2"/>
        </w:numPr>
        <w:spacing w:after="60"/>
      </w:pPr>
      <w:r/>
      <w:r>
        <w:t xml:space="preserve">CSF: lymphocytic pleocytosis, very high protein, very low glucose. AFB smear sensitivity only 10-20%. GeneXpert MTB/RIF on CSF improves rapid diagnosis. ADA &gt;10 U/L supportive.</w:t>
      </w:r>
    </w:p>
    <w:p>
      <w:pPr>
        <w:pStyle w:val="ListParagraph"/>
        <w:numPr>
          <w:ilvl w:val="0"/>
          <w:numId w:val="2"/>
        </w:numPr>
        <w:spacing w:after="60"/>
      </w:pPr>
      <w:r/>
      <w:r>
        <w:t xml:space="preserve">RHZE for 2 months + RH for 10 months (total 12 months). Adjunctive dexamethasone for all patients (Thwaites trial: reduces mortality). Address hydrocephalus (VP shunt if needed).</w:t>
      </w:r>
    </w:p>
    <w:p>
      <w:pPr>
        <w:spacing w:after="200"/>
      </w:pPr>
    </w:p>
    <w:p>
      <w:pPr>
        <w:pStyle w:val="Heading2"/>
      </w:pPr>
      <w:r>
        <w:t xml:space="preserve">7.4 Cryptococcal Meningitis</w:t>
      </w:r>
    </w:p>
    <w:p>
      <w:pPr>
        <w:spacing w:after="120"/>
      </w:pPr>
      <w:r>
        <w:t xml:space="preserve">Most common in HIV/AIDS (CD4 &lt;100). Also seen in solid organ transplant recipients and patients on immunosuppressive therapy.</w:t>
      </w:r>
    </w:p>
    <w:p>
      <w:pPr>
        <w:pStyle w:val="ListParagraph"/>
        <w:numPr>
          <w:ilvl w:val="0"/>
          <w:numId w:val="2"/>
        </w:numPr>
        <w:spacing w:after="60"/>
      </w:pPr>
      <w:r/>
      <w:r>
        <w:t xml:space="preserve">Serum and CSF cryptococcal antigen (CrAg) - sensitivity &gt;95%. CSF India ink positive in 70-80%. Very high opening pressure is characteristic.</w:t>
      </w:r>
    </w:p>
    <w:p>
      <w:pPr>
        <w:pStyle w:val="ListParagraph"/>
        <w:numPr>
          <w:ilvl w:val="0"/>
          <w:numId w:val="2"/>
        </w:numPr>
        <w:spacing w:after="60"/>
      </w:pPr>
      <w:r/>
      <w:r>
        <w:t xml:space="preserve">Induction: amphotericin B desoxycolate (0.7-1 mg/kg/day) + flucytosine for 2 weeks. Consolidation: fluconazole 400 mg/day for 8 weeks. Maintenance: fluconazole 200 mg/day for &gt;= 1 year. Aggressive ICP management with serial LPs or lumbar drain.</w:t>
      </w:r>
    </w:p>
    <w:p>
      <w:pPr>
        <w:spacing w:after="200"/>
      </w:pPr>
    </w:p>
    <w:p>
      <w:pPr>
        <w:spacing w:before="200" w:after="100"/>
      </w:pPr>
      <w:r>
        <w:rPr>
          <w:b/>
          <w:bCs/>
          <w:color w:val="1F4E79"/>
          <w:sz w:val="24"/>
          <w:szCs w:val="24"/>
        </w:rPr>
        <w:t xml:space="preserve">Practice Question 7</w:t>
      </w:r>
    </w:p>
    <w:p>
      <w:pPr>
        <w:spacing w:after="120"/>
      </w:pPr>
      <w:r>
        <w:t xml:space="preserve">A 35-year-old HIV-positive man (CD4 count 50 cells/uL) presents with 2 weeks of headache and confusion. CSF shows: WBC 20 (100% lymphocytes), protein 80 mg/dL, glucose 30 mg/dL, opening pressure 350 mm H2O. What is the most important initial diagnostic test?</w:t>
      </w:r>
    </w:p>
    <w:p>
      <w:pPr>
        <w:pStyle w:val="ListParagraph"/>
        <w:numPr>
          <w:ilvl w:val="0"/>
          <w:numId w:val="3"/>
        </w:numPr>
        <w:spacing w:after="60"/>
      </w:pPr>
      <w:r>
        <w:t xml:space="preserve">A) CSF Gram stain and culture</w:t>
      </w:r>
    </w:p>
    <w:p>
      <w:pPr>
        <w:pStyle w:val="ListParagraph"/>
        <w:numPr>
          <w:ilvl w:val="0"/>
          <w:numId w:val="3"/>
        </w:numPr>
        <w:spacing w:after="60"/>
      </w:pPr>
      <w:r>
        <w:t xml:space="preserve">B) CSF cryptococcal antigen (CrAg)</w:t>
      </w:r>
    </w:p>
    <w:p>
      <w:pPr>
        <w:pStyle w:val="ListParagraph"/>
        <w:numPr>
          <w:ilvl w:val="0"/>
          <w:numId w:val="3"/>
        </w:numPr>
        <w:spacing w:after="60"/>
      </w:pPr>
      <w:r>
        <w:t xml:space="preserve">C) CSF HSV PCR</w:t>
      </w:r>
    </w:p>
    <w:p>
      <w:pPr>
        <w:pStyle w:val="ListParagraph"/>
        <w:numPr>
          <w:ilvl w:val="0"/>
          <w:numId w:val="3"/>
        </w:numPr>
        <w:spacing w:after="60"/>
      </w:pPr>
      <w:r>
        <w:t xml:space="preserve">D) CSF VDRL</w:t>
      </w:r>
    </w:p>
    <w:p>
      <w:pPr>
        <w:spacing w:before="100"/>
      </w:pPr>
      <w:r>
        <w:rPr>
          <w:b/>
          <w:bCs/>
          <w:color w:val="27AE60"/>
        </w:rPr>
        <w:t xml:space="preserve">Answer: </w:t>
      </w:r>
      <w:r>
        <w:rPr>
          <w:color w:val="27AE60"/>
        </w:rPr>
        <w:t xml:space="preserve">B) CSF cryptococcal antigen (CrAg)</w:t>
      </w:r>
    </w:p>
    <w:p>
      <w:pPr>
        <w:spacing w:after="120"/>
      </w:pPr>
      <w:r>
        <w:rPr>
          <w:b/>
          <w:bCs/>
          <w:i/>
          <w:iCs/>
        </w:rPr>
        <w:t xml:space="preserve">Explanation: </w:t>
      </w:r>
      <w:r>
        <w:rPr>
          <w:i/>
          <w:iCs/>
        </w:rPr>
        <w:t xml:space="preserve">HIV-positive patient with very low CD4, subacute headache/confusion, lymphocytic CSF with low glucose, and markedly elevated opening pressure is classic for cryptococcal meningitis. CrAg has &gt;95% sensitivity and is the fastest reliable test. The very high opening pressure is a hallmark of cryptococcal meningitis and is the primary cause of mortality - aggressive pressure management with serial LPs is critical.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IDSA Practice Guidelines for Bacterial Meningitis. Tunkel AR et al. Clin Infect Dis. 2004;39:1267-84. Updated 2017.</w:t>
            </w:r>
          </w:p>
          <w:p>
            <w:pPr>
              <w:spacing w:after="60"/>
              <w:ind w:left="200"/>
            </w:pPr>
            <w:r>
              <w:rPr>
                <w:b/>
                <w:bCs/>
                <w:color w:val="1B5E20"/>
                <w:sz w:val="19"/>
                <w:szCs w:val="19"/>
              </w:rPr>
              <w:t xml:space="preserve">[G2] </w:t>
            </w:r>
            <w:r>
              <w:rPr>
                <w:i/>
                <w:iCs/>
                <w:sz w:val="19"/>
                <w:szCs w:val="19"/>
              </w:rPr>
              <w:t xml:space="preserve">IDSA Guidelines for Management of Cryptococcal Disease. Perfect JR et al. Clin Infect Dis. 2010;50:291-322.</w:t>
            </w:r>
          </w:p>
          <w:p>
            <w:pPr>
              <w:spacing w:after="60"/>
              <w:ind w:left="200"/>
            </w:pPr>
            <w:r>
              <w:rPr>
                <w:b/>
                <w:bCs/>
                <w:color w:val="1B5E20"/>
                <w:sz w:val="19"/>
                <w:szCs w:val="19"/>
              </w:rPr>
              <w:t xml:space="preserve">[G3] </w:t>
            </w:r>
            <w:r>
              <w:rPr>
                <w:i/>
                <w:iCs/>
                <w:sz w:val="19"/>
                <w:szCs w:val="19"/>
              </w:rPr>
              <w:t xml:space="preserve">WHO Guidelines on the Diagnosis, Prevention and Management of Cryptococcal Disease in HIV-infected Adults. 2018.</w:t>
            </w:r>
          </w:p>
          <w:p>
            <w:pPr>
              <w:spacing w:after="60"/>
              <w:ind w:left="200"/>
            </w:pPr>
            <w:r>
              <w:rPr>
                <w:b/>
                <w:bCs/>
                <w:color w:val="0D47A1"/>
                <w:sz w:val="19"/>
                <w:szCs w:val="19"/>
              </w:rPr>
              <w:t xml:space="preserve">[T4] </w:t>
            </w:r>
            <w:r>
              <w:rPr>
                <w:b/>
                <w:bCs/>
                <w:sz w:val="19"/>
                <w:szCs w:val="19"/>
              </w:rPr>
              <w:t xml:space="preserve">de Gans Trial (Dexamethasone in Meningitis): </w:t>
            </w:r>
            <w:r>
              <w:rPr>
                <w:sz w:val="19"/>
                <w:szCs w:val="19"/>
              </w:rPr>
              <w:t xml:space="preserve">de Gans J, van de Beek D. NEJM 2002;347:1549-56. Dexamethasone before/with first antibiotic dose reduced mortality (7% vs 15%) and unfavorable outcomes in S. pneumoniae meningitis.</w:t>
            </w:r>
          </w:p>
          <w:p>
            <w:pPr>
              <w:spacing w:after="60"/>
              <w:ind w:left="200"/>
            </w:pPr>
            <w:r>
              <w:rPr>
                <w:b/>
                <w:bCs/>
                <w:color w:val="0D47A1"/>
                <w:sz w:val="19"/>
                <w:szCs w:val="19"/>
              </w:rPr>
              <w:t xml:space="preserve">[T5] </w:t>
            </w:r>
            <w:r>
              <w:rPr>
                <w:b/>
                <w:bCs/>
                <w:sz w:val="19"/>
                <w:szCs w:val="19"/>
              </w:rPr>
              <w:t xml:space="preserve">Thwaites Trial (Dexamethasone in TBM): </w:t>
            </w:r>
            <w:r>
              <w:rPr>
                <w:sz w:val="19"/>
                <w:szCs w:val="19"/>
              </w:rPr>
              <w:t xml:space="preserve">Thwaites GE et al. NEJM 2004;351:1741-51. Adjunctive dexamethasone in TB meningitis reduced mortality from 41% to 32% at 9 months (all grades). AHA Grade A recommendation.</w:t>
            </w:r>
          </w:p>
          <w:p>
            <w:pPr>
              <w:spacing w:after="60"/>
              <w:ind w:left="200"/>
            </w:pPr>
            <w:r>
              <w:rPr>
                <w:b/>
                <w:bCs/>
                <w:color w:val="0D47A1"/>
                <w:sz w:val="19"/>
                <w:szCs w:val="19"/>
              </w:rPr>
              <w:t xml:space="preserve">[T6] </w:t>
            </w:r>
            <w:r>
              <w:rPr>
                <w:b/>
                <w:bCs/>
                <w:sz w:val="19"/>
                <w:szCs w:val="19"/>
              </w:rPr>
              <w:t xml:space="preserve">AMBITION: </w:t>
            </w:r>
            <w:r>
              <w:rPr>
                <w:sz w:val="19"/>
                <w:szCs w:val="19"/>
              </w:rPr>
              <w:t xml:space="preserve">Jarvis JN et al. NEJM 2022;386:1109-20. Single high-dose liposomal amphotericin B + flucytosine + fluconazole: non-inferior to standard 7-day amphotericin. Simplified cryptococcal meningitis treatment.</w:t>
            </w:r>
          </w:p>
          <w:p>
            <w:pPr>
              <w:spacing w:after="60"/>
              <w:ind w:left="200"/>
            </w:pPr>
            <w:r>
              <w:rPr>
                <w:b/>
                <w:bCs/>
                <w:sz w:val="19"/>
                <w:szCs w:val="19"/>
              </w:rPr>
              <w:t xml:space="preserve">[7] </w:t>
            </w:r>
            <w:r>
              <w:rPr>
                <w:sz w:val="19"/>
                <w:szCs w:val="19"/>
              </w:rPr>
              <w:t xml:space="preserve">van de Beek D et al. Community-acquired bacterial meningitis. Nat Rev Dis Primers. 2016;2:16074. Comprehensive review.</w:t>
            </w:r>
          </w:p>
          <w:p>
            <w:pPr>
              <w:spacing w:after="60"/>
              <w:ind w:left="200"/>
            </w:pPr>
            <w:r>
              <w:rPr>
                <w:b/>
                <w:bCs/>
                <w:sz w:val="19"/>
                <w:szCs w:val="19"/>
              </w:rPr>
              <w:t xml:space="preserve">[8] </w:t>
            </w:r>
            <w:r>
              <w:rPr>
                <w:sz w:val="19"/>
                <w:szCs w:val="19"/>
              </w:rPr>
              <w:t xml:space="preserve">Granerod J et al. Causes of encephalitis and differences in their clinical presentations in England. Lancet Infect Dis. 2010;10:835-44.</w:t>
            </w:r>
          </w:p>
          <w:p>
            <w:pPr>
              <w:spacing w:after="60"/>
              <w:ind w:left="200"/>
            </w:pPr>
            <w:r>
              <w:rPr>
                <w:b/>
                <w:bCs/>
                <w:sz w:val="19"/>
                <w:szCs w:val="19"/>
              </w:rPr>
              <w:t xml:space="preserve">[9] </w:t>
            </w:r>
            <w:r>
              <w:rPr>
                <w:sz w:val="19"/>
                <w:szCs w:val="19"/>
              </w:rPr>
              <w:t xml:space="preserve">Dalmau J et al. Anti-NMDA-receptor encephalitis: case series and analysis of effects of antibodies. Lancet Neurol. 2008;7:1091-98. Landmark description of anti-NMDAR encephalitis.</w:t>
            </w:r>
          </w:p>
          <w:p>
            <w:pPr>
              <w:spacing w:after="60"/>
              <w:ind w:left="200"/>
            </w:pPr>
            <w:r>
              <w:rPr>
                <w:b/>
                <w:bCs/>
                <w:sz w:val="19"/>
                <w:szCs w:val="19"/>
              </w:rPr>
              <w:t xml:space="preserve">[10] </w:t>
            </w:r>
            <w:r>
              <w:rPr>
                <w:sz w:val="19"/>
                <w:szCs w:val="19"/>
              </w:rPr>
              <w:t xml:space="preserve">Thwaites GE et al. Tuberculous meningitis. Nat Rev Neurol. 2013;9:33-43. Review of diagnosis and treatment in endemic settings.</w:t>
            </w:r>
          </w:p>
        </w:tc>
      </w:tr>
    </w:tbl>
    <w:p>
      <w:r>
        <w:br w:type="page"/>
      </w:r>
    </w:p>
    <w:p>
      <w:pPr>
        <w:pStyle w:val="Heading1"/>
      </w:pPr>
      <w:r>
        <w:t xml:space="preserve">8. Dementia and Cognitive Disorders</w:t>
      </w:r>
    </w:p>
    <w:p>
      <w:pPr>
        <w:spacing w:after="120"/>
      </w:pPr>
      <w:r>
        <w:t xml:space="preserve">Dementia affects over 55 million people worldwide. The approach requires distinguishing degenerative from potentially reversible causes, accurate syndromic classification, and appropriate management.</w:t>
      </w:r>
    </w:p>
    <w:p>
      <w:pPr>
        <w:pStyle w:val="Heading2"/>
      </w:pPr>
      <w:r>
        <w:t xml:space="preserve">8.1 Approach: Reversible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2"/>
                <w:szCs w:val="22"/>
              </w:rPr>
              <w:t xml:space="preserve">REVERSIBLE CAUSES OF COGNITIVE DECLINE - DO NOT MISS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Depression (pseudodementia) - most common psychiatric mimic</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Hypothyroidism - check TSH in all dementia workups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B12 deficiency - check B12 and methylmalonic acid</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Normal pressure hydrocephalus (NPH) - triad: gait apraxia, urinary incontinence, dementia (wet, wobbly, wacky)</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Neurosyphilis - check RPR/VDRL, confirm with FTA-ABS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Subdural hematoma - especially in elderly on anticoagulants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Drug effects - anticholinergics, benzodiazepines, opioids</w:t>
            </w:r>
          </w:p>
        </w:tc>
      </w:tr>
      <w:tr>
        <w:tc>
          <w:tcPr>
            <w:tcW w:type="dxa" w:w="9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2"/>
                <w:szCs w:val="22"/>
              </w:rPr>
              <w:t xml:space="preserve">Autoimmune encephalitis - subacute onset, seizures, psychiatric features</w:t>
            </w:r>
          </w:p>
        </w:tc>
      </w:tr>
    </w:tbl>
    <w:p>
      <w:pPr>
        <w:spacing w:after="200"/>
      </w:pPr>
    </w:p>
    <w:p>
      <w:pPr>
        <w:pStyle w:val="Heading2"/>
      </w:pPr>
      <w:r>
        <w:t xml:space="preserve">8.2 Major Dementia Syndromes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2000"/>
        <w:gridCol w:w="30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Type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Pathology</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Biomarkers/Imaging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Alzheimer disease</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Progressive memory loss (hippocampal), then language and visuospatial decline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Amyloid plaques + neurofibrillary tangles (tau)</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CSF: low amyloid-beta42, high p-tau, high t-tau. PET: amyloid/tau positive. MRI: medial temporal atrophy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Vascular dementia</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Stepwise decline, executive dysfunction, gait abnormality, pseudobulbar affect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Multi-infarct, strategic infarct, small vessel disease</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white matter hyperintensities, lacunar infarcts, microbleeds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Dementia with Lewy bodies</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Fluctuating cognition, visual hallucinations, parkinsonism, RBD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Cortical Lewy bodies (alpha-synuclein)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DaTscan: reduced dopamine transporter uptake. MIBG: reduced cardiac uptake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Frontotemporal dementia (bvFTD)</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Personality/behavioral changes, disinhibition, apathy, executive dysfunction; memory relatively spared early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Tau or TDP-43</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frontal and/or temporal atrophy. FDG-PET: frontal/temporal hypometabolism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PPA (language variant FTD)</w:t>
            </w:r>
          </w:p>
        </w:tc>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Progressive aphasia. Nonfluent/agrammatic vs. semantic vs. logopenic</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Tau (nfvPPA), TDP-43 (svPPA), AD pathology (lvPPA)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MRI: left perisylvian (nfv), anterior temporal (sv), left posterior temporal/parietal (lv)</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Creutzfeldt-Jakob disease</w:t>
            </w:r>
          </w:p>
        </w:tc>
        <w:tc>
          <w:tcPr>
            <w:tcW w:type="dxa" w:w="25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Rapidly progressive dementia (weeks-months), myoclonus, ataxia, visual symptoms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Prion (PrPSc)</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MRI DWI: cortical ribboning, caudate/putamen signal. CSF: RT-QuIC (98% sens/spec), 14-3-3, t-tau</w:t>
            </w:r>
          </w:p>
        </w:tc>
      </w:tr>
    </w:tbl>
    <w:p>
      <w:pPr>
        <w:spacing w:after="200"/>
      </w:pPr>
    </w:p>
    <w:p>
      <w:pPr>
        <w:pStyle w:val="Heading2"/>
      </w:pPr>
      <w:r>
        <w:t xml:space="preserve">8.3 Treatment</w:t>
      </w:r>
    </w:p>
    <w:p>
      <w:pPr>
        <w:pStyle w:val="ListParagraph"/>
        <w:numPr>
          <w:ilvl w:val="0"/>
          <w:numId w:val="2"/>
        </w:numPr>
        <w:spacing w:after="60"/>
      </w:pPr>
      <w:r/>
      <w:r>
        <w:t xml:space="preserve">Donepezil, rivastigmine, galantamine. For mild-moderate AD and DLB. Modest symptomatic benefit. GI side effects, bradycardia.</w:t>
      </w:r>
    </w:p>
    <w:p>
      <w:pPr>
        <w:pStyle w:val="ListParagraph"/>
        <w:numPr>
          <w:ilvl w:val="0"/>
          <w:numId w:val="2"/>
        </w:numPr>
        <w:spacing w:after="60"/>
      </w:pPr>
      <w:r/>
      <w:r>
        <w:t xml:space="preserve">NMDA receptor antagonist. For moderate-severe AD. Can combine with cholinesterase inhibitors.</w:t>
      </w:r>
    </w:p>
    <w:p>
      <w:pPr>
        <w:pStyle w:val="ListParagraph"/>
        <w:numPr>
          <w:ilvl w:val="0"/>
          <w:numId w:val="2"/>
        </w:numPr>
        <w:spacing w:after="60"/>
      </w:pPr>
      <w:r/>
      <w:r>
        <w:t xml:space="preserve">Lecanemab (FDA approved 2023): Anti-amyloid, slowed cognitive decline by 27% over 18 months (Clarity AD trial). ARIA (amyloid-related imaging abnormalities) requires MRI monitoring. Aducanumab (controversial). Donanemab: significant slowing in early AD.</w:t>
      </w:r>
    </w:p>
    <w:p>
      <w:pPr>
        <w:pStyle w:val="ListParagraph"/>
        <w:numPr>
          <w:ilvl w:val="0"/>
          <w:numId w:val="2"/>
        </w:numPr>
        <w:spacing w:after="60"/>
      </w:pPr>
      <w:r/>
      <w:r>
        <w:t xml:space="preserve">Non-pharmacologic interventions first. For psychosis/agitation: pimavanserin (DLB), brexpiprazole (AD agitation - FDA approved 2023). Avoid anticholinergics.</w:t>
      </w:r>
    </w:p>
    <w:p>
      <w:pPr>
        <w:spacing w:after="200"/>
      </w:pPr>
    </w:p>
    <w:p>
      <w:pPr>
        <w:spacing w:before="200" w:after="100"/>
      </w:pPr>
      <w:r>
        <w:rPr>
          <w:b/>
          <w:bCs/>
          <w:color w:val="1F4E79"/>
          <w:sz w:val="24"/>
          <w:szCs w:val="24"/>
        </w:rPr>
        <w:t xml:space="preserve">Practice Question 9</w:t>
      </w:r>
    </w:p>
    <w:p>
      <w:pPr>
        <w:spacing w:after="120"/>
      </w:pPr>
      <w:r>
        <w:t xml:space="preserve">A 72-year-old man presents with a 6-month history of progressive gait difficulty (magnetic gait), followed by urinary urgency and mild memory impairment. MRI shows ventriculomegaly out of proportion to sulcal enlargement. What is the most appropriate diagnostic test?</w:t>
      </w:r>
    </w:p>
    <w:p>
      <w:pPr>
        <w:pStyle w:val="ListParagraph"/>
        <w:numPr>
          <w:ilvl w:val="0"/>
          <w:numId w:val="3"/>
        </w:numPr>
        <w:spacing w:after="60"/>
      </w:pPr>
      <w:r>
        <w:t xml:space="preserve">A) Lumbar puncture with high-volume CSF tap test</w:t>
      </w:r>
    </w:p>
    <w:p>
      <w:pPr>
        <w:pStyle w:val="ListParagraph"/>
        <w:numPr>
          <w:ilvl w:val="0"/>
          <w:numId w:val="3"/>
        </w:numPr>
        <w:spacing w:after="60"/>
      </w:pPr>
      <w:r>
        <w:t xml:space="preserve">B) PET amyloid imaging</w:t>
      </w:r>
    </w:p>
    <w:p>
      <w:pPr>
        <w:pStyle w:val="ListParagraph"/>
        <w:numPr>
          <w:ilvl w:val="0"/>
          <w:numId w:val="3"/>
        </w:numPr>
        <w:spacing w:after="60"/>
      </w:pPr>
      <w:r>
        <w:t xml:space="preserve">C) EEG</w:t>
      </w:r>
    </w:p>
    <w:p>
      <w:pPr>
        <w:pStyle w:val="ListParagraph"/>
        <w:numPr>
          <w:ilvl w:val="0"/>
          <w:numId w:val="3"/>
        </w:numPr>
        <w:spacing w:after="60"/>
      </w:pPr>
      <w:r>
        <w:t xml:space="preserve">D) Genetic testing for MAPT mutation</w:t>
      </w:r>
    </w:p>
    <w:p>
      <w:pPr>
        <w:spacing w:before="100"/>
      </w:pPr>
      <w:r>
        <w:rPr>
          <w:b/>
          <w:bCs/>
          <w:color w:val="27AE60"/>
        </w:rPr>
        <w:t xml:space="preserve">Answer: </w:t>
      </w:r>
      <w:r>
        <w:rPr>
          <w:color w:val="27AE60"/>
        </w:rPr>
        <w:t xml:space="preserve">A) Lumbar puncture with high-volume CSF tap test</w:t>
      </w:r>
    </w:p>
    <w:p>
      <w:pPr>
        <w:spacing w:after="120"/>
      </w:pPr>
      <w:r>
        <w:rPr>
          <w:b/>
          <w:bCs/>
          <w:i/>
          <w:iCs/>
        </w:rPr>
        <w:t xml:space="preserve">Explanation: </w:t>
      </w:r>
      <w:r>
        <w:rPr>
          <w:i/>
          <w:iCs/>
        </w:rPr>
        <w:t xml:space="preserve">This triad of gait apraxia (magnetic gait), urinary incontinence, and dementia with ventriculomegaly is classic for normal pressure hydrocephalus (NPH). A large-volume CSF tap test (30-50 mL) with pre/post gait assessment is both diagnostic and prognostic - improvement predicts response to VP shunt placement. Gait is the most responsive symptom to treatment.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NIA-AA Research Framework for Alzheimer Disease: Biological Definition (ATN). Jack CR Jr et al. Alzheimers Dement. 2018;14:535-562.</w:t>
            </w:r>
          </w:p>
          <w:p>
            <w:pPr>
              <w:spacing w:after="60"/>
              <w:ind w:left="200"/>
            </w:pPr>
            <w:r>
              <w:rPr>
                <w:b/>
                <w:bCs/>
                <w:color w:val="1B5E20"/>
                <w:sz w:val="19"/>
                <w:szCs w:val="19"/>
              </w:rPr>
              <w:t xml:space="preserve">[G2] </w:t>
            </w:r>
            <w:r>
              <w:rPr>
                <w:i/>
                <w:iCs/>
                <w:sz w:val="19"/>
                <w:szCs w:val="19"/>
              </w:rPr>
              <w:t xml:space="preserve">AAN Practice Guideline: Mild Cognitive Impairment. Petersen RC et al. Neurology. 2018;90:126-135.</w:t>
            </w:r>
          </w:p>
          <w:p>
            <w:pPr>
              <w:spacing w:after="60"/>
              <w:ind w:left="200"/>
            </w:pPr>
            <w:r>
              <w:rPr>
                <w:b/>
                <w:bCs/>
                <w:color w:val="1B5E20"/>
                <w:sz w:val="19"/>
                <w:szCs w:val="19"/>
              </w:rPr>
              <w:t xml:space="preserve">[G3] </w:t>
            </w:r>
            <w:r>
              <w:rPr>
                <w:i/>
                <w:iCs/>
                <w:sz w:val="19"/>
                <w:szCs w:val="19"/>
              </w:rPr>
              <w:t xml:space="preserve">Diagnostic Criteria for Vascular Cognitive Disorders (VASCOG). Sachdev P et al. Alzheimer Dis Assoc Disord. 2014;28:206-218.</w:t>
            </w:r>
          </w:p>
          <w:p>
            <w:pPr>
              <w:spacing w:after="60"/>
              <w:ind w:left="200"/>
            </w:pPr>
            <w:r>
              <w:rPr>
                <w:b/>
                <w:bCs/>
                <w:color w:val="0D47A1"/>
                <w:sz w:val="19"/>
                <w:szCs w:val="19"/>
              </w:rPr>
              <w:t xml:space="preserve">[T4] </w:t>
            </w:r>
            <w:r>
              <w:rPr>
                <w:b/>
                <w:bCs/>
                <w:sz w:val="19"/>
                <w:szCs w:val="19"/>
              </w:rPr>
              <w:t xml:space="preserve">Clarity AD (Lecanemab): </w:t>
            </w:r>
            <w:r>
              <w:rPr>
                <w:sz w:val="19"/>
                <w:szCs w:val="19"/>
              </w:rPr>
              <w:t xml:space="preserve">van Dyck CH et al. NEJM 2023;388:9-21. Anti-amyloid lecanemab in early AD: 27% slower cognitive decline (CDR-SB) over 18 months. 13% ARIA-E, 17% ARIA-H microhemorrhages. FDA full approval 2023.</w:t>
            </w:r>
          </w:p>
          <w:p>
            <w:pPr>
              <w:spacing w:after="60"/>
              <w:ind w:left="200"/>
            </w:pPr>
            <w:r>
              <w:rPr>
                <w:b/>
                <w:bCs/>
                <w:color w:val="0D47A1"/>
                <w:sz w:val="19"/>
                <w:szCs w:val="19"/>
              </w:rPr>
              <w:t xml:space="preserve">[T5] </w:t>
            </w:r>
            <w:r>
              <w:rPr>
                <w:b/>
                <w:bCs/>
                <w:sz w:val="19"/>
                <w:szCs w:val="19"/>
              </w:rPr>
              <w:t xml:space="preserve">TRAILBLAZER-ALZ 2 (Donanemab): </w:t>
            </w:r>
            <w:r>
              <w:rPr>
                <w:sz w:val="19"/>
                <w:szCs w:val="19"/>
              </w:rPr>
              <w:t xml:space="preserve">Sims JR et al. JAMA 2023;330:512-27. Donanemab slowed cognitive decline by 35% in early AD with intermediate tau. 76% achieved amyloid clearance.</w:t>
            </w:r>
          </w:p>
          <w:p>
            <w:pPr>
              <w:spacing w:after="60"/>
              <w:ind w:left="200"/>
            </w:pPr>
            <w:r>
              <w:rPr>
                <w:b/>
                <w:bCs/>
                <w:color w:val="0D47A1"/>
                <w:sz w:val="19"/>
                <w:szCs w:val="19"/>
              </w:rPr>
              <w:t xml:space="preserve">[T6] </w:t>
            </w:r>
            <w:r>
              <w:rPr>
                <w:b/>
                <w:bCs/>
                <w:sz w:val="19"/>
                <w:szCs w:val="19"/>
              </w:rPr>
              <w:t xml:space="preserve">EMERGE/ENGAGE (Aducanumab): </w:t>
            </w:r>
            <w:r>
              <w:rPr>
                <w:sz w:val="19"/>
                <w:szCs w:val="19"/>
              </w:rPr>
              <w:t xml:space="preserve">Budd Haeberlein S et al. J Prev Alzheimers Dis 2022;9:197-210. Aducanumab: contradictory phase 3 results. Controversial accelerated FDA approval 2021.</w:t>
            </w:r>
          </w:p>
          <w:p>
            <w:pPr>
              <w:spacing w:after="60"/>
              <w:ind w:left="200"/>
            </w:pPr>
            <w:r>
              <w:rPr>
                <w:b/>
                <w:bCs/>
                <w:sz w:val="19"/>
                <w:szCs w:val="19"/>
              </w:rPr>
              <w:t xml:space="preserve">[7] </w:t>
            </w:r>
            <w:r>
              <w:rPr>
                <w:sz w:val="19"/>
                <w:szCs w:val="19"/>
              </w:rPr>
              <w:t xml:space="preserve">Rascovsky K et al. Sensitivity of revised diagnostic criteria for behavioural variant FTD. Brain. 2011;134:2456-2477. International consensus criteria for bvFTD.</w:t>
            </w:r>
          </w:p>
          <w:p>
            <w:pPr>
              <w:spacing w:after="60"/>
              <w:ind w:left="200"/>
            </w:pPr>
            <w:r>
              <w:rPr>
                <w:b/>
                <w:bCs/>
                <w:sz w:val="19"/>
                <w:szCs w:val="19"/>
              </w:rPr>
              <w:t xml:space="preserve">[8] </w:t>
            </w:r>
            <w:r>
              <w:rPr>
                <w:sz w:val="19"/>
                <w:szCs w:val="19"/>
              </w:rPr>
              <w:t xml:space="preserve">Geschwind MD. Rapidly Progressive Dementia. Continuum (Minneap Minn). 2016;22:510-537. CJD and differential diagnosis.</w:t>
            </w:r>
          </w:p>
          <w:p>
            <w:pPr>
              <w:spacing w:after="60"/>
              <w:ind w:left="200"/>
            </w:pPr>
            <w:r>
              <w:rPr>
                <w:b/>
                <w:bCs/>
                <w:sz w:val="19"/>
                <w:szCs w:val="19"/>
              </w:rPr>
              <w:t xml:space="preserve">[9] </w:t>
            </w:r>
            <w:r>
              <w:rPr>
                <w:sz w:val="19"/>
                <w:szCs w:val="19"/>
              </w:rPr>
              <w:t xml:space="preserve">Relkin N et al. Diagnosing idiopathic normal-pressure hydrocephalus. Neurosurgery. 2005;57:S4-16. International NPH guidelines.</w:t>
            </w:r>
          </w:p>
        </w:tc>
      </w:tr>
    </w:tbl>
    <w:p>
      <w:r>
        <w:br w:type="page"/>
      </w:r>
    </w:p>
    <w:p>
      <w:pPr>
        <w:pStyle w:val="Heading1"/>
      </w:pPr>
      <w:r>
        <w:t xml:space="preserve">9. Sleep Disorders</w:t>
      </w:r>
    </w:p>
    <w:p>
      <w:pPr>
        <w:pStyle w:val="Heading2"/>
      </w:pPr>
      <w:r>
        <w:t xml:space="preserve">9.1 Narcolepsy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Feature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Type 1 (with cataplexy)</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Type 2 (without cataplexy)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Pathophysiology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Autoimmune loss of hypocretin/orexin neurons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Unknown; normal CSF hypocretin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Key symptom</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Cataplexy: sudden loss of muscle tone triggered by emotion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Excessive daytime sleepiness without cataplexy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CSF hypocretin-1</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Low (&lt;110 pg/mL) - diagnostic</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Normal</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MSLT findings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Mean sleep latency &lt;8 min + &gt;= 2 SOREMPs</w:t>
            </w:r>
          </w:p>
        </w:tc>
        <w:tc>
          <w:tcPr>
            <w:tcW w:type="dxa" w:w="368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Mean sleep latency &lt;8 min + &gt;= 2 SOREMPs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Treatment</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Sodium oxybate (Xyrem), pitolisant, solriamfetol, modafinil; cataplexy: SNRIs, sodium oxybate</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Modafinil, solriamfetol, stimulants</w:t>
            </w:r>
          </w:p>
        </w:tc>
      </w:tr>
    </w:tbl>
    <w:p>
      <w:pPr>
        <w:spacing w:after="200"/>
      </w:pPr>
    </w:p>
    <w:p>
      <w:pPr>
        <w:pStyle w:val="Heading2"/>
      </w:pPr>
      <w:r>
        <w:t xml:space="preserve">9.2 REM Sleep Behavior Disorder (RBD)</w:t>
      </w:r>
    </w:p>
    <w:p>
      <w:pPr>
        <w:pStyle w:val="ListParagraph"/>
        <w:numPr>
          <w:ilvl w:val="0"/>
          <w:numId w:val="2"/>
        </w:numPr>
        <w:spacing w:after="60"/>
      </w:pPr>
      <w:r>
        <w:t xml:space="preserve">Dream enactment behavior during REM sleep (loss of normal REM atonia)</w:t>
      </w:r>
    </w:p>
    <w:p>
      <w:pPr>
        <w:pStyle w:val="ListParagraph"/>
        <w:numPr>
          <w:ilvl w:val="0"/>
          <w:numId w:val="2"/>
        </w:numPr>
        <w:spacing w:after="60"/>
      </w:pPr>
      <w:r/>
      <w:r>
        <w:t xml:space="preserve">&gt;80% of idiopathic RBD convert to alpha-synucleinopathy (PD, DLB, MSA) within 10-15 years. This is a prodromal marker.</w:t>
      </w:r>
    </w:p>
    <w:p>
      <w:pPr>
        <w:pStyle w:val="ListParagraph"/>
        <w:numPr>
          <w:ilvl w:val="0"/>
          <w:numId w:val="2"/>
        </w:numPr>
        <w:spacing w:after="60"/>
      </w:pPr>
      <w:r/>
      <w:r>
        <w:t xml:space="preserve">Melatonin (first-line, 3-12 mg at bedtime) or clonazepam (0.5-2 mg). Bedroom safety measures.</w:t>
      </w:r>
    </w:p>
    <w:p>
      <w:pPr>
        <w:spacing w:after="200"/>
      </w:pPr>
    </w:p>
    <w:p>
      <w:pPr>
        <w:pStyle w:val="Heading2"/>
      </w:pPr>
      <w:r>
        <w:t xml:space="preserve">9.3 Restless Legs Syndrome</w:t>
      </w:r>
    </w:p>
    <w:p>
      <w:pPr>
        <w:pStyle w:val="ListParagraph"/>
        <w:numPr>
          <w:ilvl w:val="0"/>
          <w:numId w:val="2"/>
        </w:numPr>
        <w:spacing w:after="60"/>
      </w:pPr>
      <w:r>
        <w:t xml:space="preserve">Urge to move legs (with unpleasant sensations), worse at rest, worse in evening/night, relieved by movement</w:t>
      </w:r>
    </w:p>
    <w:p>
      <w:pPr>
        <w:pStyle w:val="ListParagraph"/>
        <w:numPr>
          <w:ilvl w:val="0"/>
          <w:numId w:val="2"/>
        </w:numPr>
        <w:spacing w:after="60"/>
      </w:pPr>
      <w:r/>
      <w:r>
        <w:t xml:space="preserve">Check serum ferritin. If &lt;75 mcg/L, supplement iron (target ferritin &gt;100 mcg/L). Iron deficiency is the most common secondary cause.</w:t>
      </w:r>
    </w:p>
    <w:p>
      <w:pPr>
        <w:pStyle w:val="ListParagraph"/>
        <w:numPr>
          <w:ilvl w:val="0"/>
          <w:numId w:val="2"/>
        </w:numPr>
        <w:spacing w:after="60"/>
      </w:pPr>
      <w:r/>
      <w:r>
        <w:t xml:space="preserve">First-line: alpha-2-delta ligands (gabapentin, pregabalin). Dopamine agonists (pramipexole, ropinirole) effective but risk of augmentation with long-term use. Avoid: antihistamines, SSRIs/SNRIs, dopamine antagonists (all worsen RLS).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ICSD-3: International Classification of Sleep Disorders. 3rd ed. American Academy of Sleep Medicine. 2014.</w:t>
            </w:r>
          </w:p>
          <w:p>
            <w:pPr>
              <w:spacing w:after="60"/>
              <w:ind w:left="200"/>
            </w:pPr>
            <w:r>
              <w:rPr>
                <w:b/>
                <w:bCs/>
                <w:color w:val="1B5E20"/>
                <w:sz w:val="19"/>
                <w:szCs w:val="19"/>
              </w:rPr>
              <w:t xml:space="preserve">[G2] </w:t>
            </w:r>
            <w:r>
              <w:rPr>
                <w:i/>
                <w:iCs/>
                <w:sz w:val="19"/>
                <w:szCs w:val="19"/>
              </w:rPr>
              <w:t xml:space="preserve">AAN Practice Parameters: Treatment of Narcolepsy. Morgenthaler TI et al. Sleep. 2007;30:1705-11.</w:t>
            </w:r>
          </w:p>
          <w:p>
            <w:pPr>
              <w:spacing w:after="60"/>
              <w:ind w:left="200"/>
            </w:pPr>
            <w:r>
              <w:rPr>
                <w:b/>
                <w:bCs/>
                <w:color w:val="1B5E20"/>
                <w:sz w:val="19"/>
                <w:szCs w:val="19"/>
              </w:rPr>
              <w:t xml:space="preserve">[G3] </w:t>
            </w:r>
            <w:r>
              <w:rPr>
                <w:i/>
                <w:iCs/>
                <w:sz w:val="19"/>
                <w:szCs w:val="19"/>
              </w:rPr>
              <w:t xml:space="preserve">IRLSSG Consensus Guidelines for RLS Management. Garcia-Borreguero D et al. Sleep Med. 2016;21:1-11. Alpha-2-delta ligands as new first-line.</w:t>
            </w:r>
          </w:p>
          <w:p>
            <w:pPr>
              <w:spacing w:after="60"/>
              <w:ind w:left="200"/>
            </w:pPr>
            <w:r>
              <w:rPr>
                <w:b/>
                <w:bCs/>
                <w:sz w:val="19"/>
                <w:szCs w:val="19"/>
              </w:rPr>
              <w:t xml:space="preserve">[4] </w:t>
            </w:r>
            <w:r>
              <w:rPr>
                <w:sz w:val="19"/>
                <w:szCs w:val="19"/>
              </w:rPr>
              <w:t xml:space="preserve">Scammell TE. Narcolepsy. NEJM 2015;373:2654-62. Comprehensive review of pathophysiology and management.</w:t>
            </w:r>
          </w:p>
          <w:p>
            <w:pPr>
              <w:spacing w:after="60"/>
              <w:ind w:left="200"/>
            </w:pPr>
            <w:r>
              <w:rPr>
                <w:b/>
                <w:bCs/>
                <w:sz w:val="19"/>
                <w:szCs w:val="19"/>
              </w:rPr>
              <w:t xml:space="preserve">[5] </w:t>
            </w:r>
            <w:r>
              <w:rPr>
                <w:sz w:val="19"/>
                <w:szCs w:val="19"/>
              </w:rPr>
              <w:t xml:space="preserve">Postuma RB et al. Risk and predictors of dementia and parkinsonism in idiopathic REM sleep behaviour disorder. Brain. 2019;142:744-59.</w:t>
            </w:r>
          </w:p>
          <w:p>
            <w:pPr>
              <w:spacing w:after="60"/>
              <w:ind w:left="200"/>
            </w:pPr>
            <w:r>
              <w:rPr>
                <w:b/>
                <w:bCs/>
                <w:color w:val="0D47A1"/>
                <w:sz w:val="19"/>
                <w:szCs w:val="19"/>
              </w:rPr>
              <w:t xml:space="preserve">[T6] </w:t>
            </w:r>
            <w:r>
              <w:rPr>
                <w:b/>
                <w:bCs/>
                <w:sz w:val="19"/>
                <w:szCs w:val="19"/>
              </w:rPr>
              <w:t xml:space="preserve">TONES (Sodium Oxybate): </w:t>
            </w:r>
            <w:r>
              <w:rPr>
                <w:sz w:val="19"/>
                <w:szCs w:val="19"/>
              </w:rPr>
              <w:t xml:space="preserve">Bogan RK et al. Sleep 2015;38:1123-31. Lower-sodium oxybate (Xywav) for narcolepsy with cataplexy: significant reduction in cataplexy attacks and EDS.</w:t>
            </w:r>
          </w:p>
          <w:p>
            <w:pPr>
              <w:spacing w:after="60"/>
              <w:ind w:left="200"/>
            </w:pPr>
            <w:r>
              <w:rPr>
                <w:b/>
                <w:bCs/>
                <w:color w:val="0D47A1"/>
                <w:sz w:val="19"/>
                <w:szCs w:val="19"/>
              </w:rPr>
              <w:t xml:space="preserve">[T7] </w:t>
            </w:r>
            <w:r>
              <w:rPr>
                <w:b/>
                <w:bCs/>
                <w:sz w:val="19"/>
                <w:szCs w:val="19"/>
              </w:rPr>
              <w:t xml:space="preserve">HARMONY (Pitolisant): </w:t>
            </w:r>
            <w:r>
              <w:rPr>
                <w:sz w:val="19"/>
                <w:szCs w:val="19"/>
              </w:rPr>
              <w:t xml:space="preserve">Dauvilliers Y et al. Lancet Neurol 2013;12:1068-75. Histamine H3 inverse agonist pitolisant for narcolepsy: significant reduction in EDS.</w:t>
            </w:r>
          </w:p>
        </w:tc>
      </w:tr>
    </w:tbl>
    <w:p>
      <w:r>
        <w:br w:type="page"/>
      </w:r>
    </w:p>
    <w:p>
      <w:pPr>
        <w:pStyle w:val="Heading1"/>
      </w:pPr>
      <w:r>
        <w:t xml:space="preserve">10. Neuro-Oncology</w:t>
      </w:r>
    </w:p>
    <w:p>
      <w:pPr>
        <w:pStyle w:val="Heading2"/>
      </w:pPr>
      <w:r>
        <w:t xml:space="preserve">10.1 Primary Brain Tumors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360"/>
        <w:gridCol w:w="3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Tumor</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WHO Grade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Features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Treatment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Glioblastoma (GBM)</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Most common malignant primary brain tumor; ring-enhancing with central necrosis; butterfly pattern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Maximal safe resection + temozolomide + radiation (Stupp protocol). MGMT methylation predicts temozolomide response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Astrocytoma (IDH-mutant)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2-4</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Younger adults; IDH mutation = better prognosis; often frontal/temporal</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Surgery +/- chemoradiation depending on grade; PCV or temozolomide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Oligodendroglioma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2-3</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1p/19q codeletion + IDH mutation; calcifications on CT; cortical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Excellent chemoresponsiveness to PCV; best prognosis among diffuse gliomas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Meningioma</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1-3</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Most common primary intracranial tumor; dural-based, enhancing, extra-axial; dural tail sign</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Grade 1: surgery or observation; higher grades: surgery + radiation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CNS lymphoma (PCNSL)</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Periventricular enhancing lesion; immunocompromised risk; homogeneous enhancement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High-dose methotrexate-based regimen. Do NOT resect. Steroids can shrink tumor temporarily (ghost tumor)</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Pituitary adenoma</w:t>
            </w:r>
          </w:p>
        </w:tc>
        <w:tc>
          <w:tcPr>
            <w:tcW w:type="dxa" w:w="1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N/A</w:t>
            </w:r>
          </w:p>
        </w:tc>
        <w:tc>
          <w:tcPr>
            <w:tcW w:type="dxa" w:w="33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Bitemporal hemianopia (chiasm compression); hormonal syndromes</w:t>
            </w:r>
          </w:p>
        </w:tc>
        <w:tc>
          <w:tcPr>
            <w:tcW w:type="dxa" w:w="3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Prolactinoma: cabergoline (medical treatment first). Others: transsphenoidal surgery</w:t>
            </w:r>
          </w:p>
        </w:tc>
      </w:tr>
    </w:tbl>
    <w:p>
      <w:pPr>
        <w:spacing w:after="200"/>
      </w:pPr>
    </w:p>
    <w:p>
      <w:pPr>
        <w:pStyle w:val="Heading2"/>
      </w:pPr>
      <w:r>
        <w:t xml:space="preserve">10.2 Brain Metastases</w:t>
      </w:r>
    </w:p>
    <w:p>
      <w:pPr>
        <w:pStyle w:val="ListParagraph"/>
        <w:numPr>
          <w:ilvl w:val="0"/>
          <w:numId w:val="2"/>
        </w:numPr>
        <w:spacing w:after="60"/>
      </w:pPr>
      <w:r>
        <w:t xml:space="preserve">Most common intracranial tumors overall (10x more common than primary brain tumors)</w:t>
      </w:r>
    </w:p>
    <w:p>
      <w:pPr>
        <w:pStyle w:val="ListParagraph"/>
        <w:numPr>
          <w:ilvl w:val="0"/>
          <w:numId w:val="2"/>
        </w:numPr>
        <w:spacing w:after="60"/>
      </w:pPr>
      <w:r/>
      <w:r>
        <w:t xml:space="preserve">Lung (most common), breast, melanoma, renal, colorectal</w:t>
      </w:r>
    </w:p>
    <w:p>
      <w:pPr>
        <w:pStyle w:val="ListParagraph"/>
        <w:numPr>
          <w:ilvl w:val="0"/>
          <w:numId w:val="2"/>
        </w:numPr>
        <w:spacing w:after="60"/>
      </w:pPr>
      <w:r/>
      <w:r>
        <w:t xml:space="preserve">Single metastasis: surgical resection + SRS or whole-brain radiation. Multiple: SRS (if limited number) or WBRT. Immunotherapy increasingly used (especially melanoma, lung).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If a patient presents with a ring-enhancing brain lesion, the differential includes GBM, brain abscess, metastasis, and lymphoma. Key distinguishing features: GBM has irregular thick ring with central necrosis; abscess has smooth thin ring with restricted diffusion on DWI; lymphoma is homogeneously enhancing and periventricular; metastasis often at gray-white junction.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WHO Classification of Tumors of the Central Nervous System. 5th ed. Louis DN et al. 2021. Major update incorporating molecular markers (IDH, 1p/19q).</w:t>
            </w:r>
          </w:p>
          <w:p>
            <w:pPr>
              <w:spacing w:after="60"/>
              <w:ind w:left="200"/>
            </w:pPr>
            <w:r>
              <w:rPr>
                <w:b/>
                <w:bCs/>
                <w:color w:val="1B5E20"/>
                <w:sz w:val="19"/>
                <w:szCs w:val="19"/>
              </w:rPr>
              <w:t xml:space="preserve">[G2] </w:t>
            </w:r>
            <w:r>
              <w:rPr>
                <w:i/>
                <w:iCs/>
                <w:sz w:val="19"/>
                <w:szCs w:val="19"/>
              </w:rPr>
              <w:t xml:space="preserve">EANO Guidelines for the Management of Diffuse Gliomas. Weller M et al. Lancet Oncol. 2017;18:e315-e329.</w:t>
            </w:r>
          </w:p>
          <w:p>
            <w:pPr>
              <w:spacing w:after="60"/>
              <w:ind w:left="200"/>
            </w:pPr>
            <w:r>
              <w:rPr>
                <w:b/>
                <w:bCs/>
                <w:color w:val="0D47A1"/>
                <w:sz w:val="19"/>
                <w:szCs w:val="19"/>
              </w:rPr>
              <w:t xml:space="preserve">[T3] </w:t>
            </w:r>
            <w:r>
              <w:rPr>
                <w:b/>
                <w:bCs/>
                <w:sz w:val="19"/>
                <w:szCs w:val="19"/>
              </w:rPr>
              <w:t xml:space="preserve">Stupp Protocol (GBM): </w:t>
            </w:r>
            <w:r>
              <w:rPr>
                <w:sz w:val="19"/>
                <w:szCs w:val="19"/>
              </w:rPr>
              <w:t xml:space="preserve">Stupp R et al. NEJM 2005;352:987-96. Temozolomide + radiation vs radiation alone in GBM: median OS 14.6 vs 12.1 months. Established current standard of care. 5-year follow-up: 10% vs 2% survival.</w:t>
            </w:r>
          </w:p>
          <w:p>
            <w:pPr>
              <w:spacing w:after="60"/>
              <w:ind w:left="200"/>
            </w:pPr>
            <w:r>
              <w:rPr>
                <w:b/>
                <w:bCs/>
                <w:color w:val="0D47A1"/>
                <w:sz w:val="19"/>
                <w:szCs w:val="19"/>
              </w:rPr>
              <w:t xml:space="preserve">[T4] </w:t>
            </w:r>
            <w:r>
              <w:rPr>
                <w:b/>
                <w:bCs/>
                <w:sz w:val="19"/>
                <w:szCs w:val="19"/>
              </w:rPr>
              <w:t xml:space="preserve">RTOG 9402 / EORTC 26951 (Oligodendroglioma): </w:t>
            </w:r>
            <w:r>
              <w:rPr>
                <w:sz w:val="19"/>
                <w:szCs w:val="19"/>
              </w:rPr>
              <w:t xml:space="preserve">Cairncross G et al. JCO 2013;31:337-43. PCV chemotherapy + RT in anaplastic oligodendroglioma with 1p/19q codeletion: dramatic survival benefit (14.7 years median OS).</w:t>
            </w:r>
          </w:p>
          <w:p>
            <w:pPr>
              <w:spacing w:after="60"/>
              <w:ind w:left="200"/>
            </w:pPr>
            <w:r>
              <w:rPr>
                <w:b/>
                <w:bCs/>
                <w:sz w:val="19"/>
                <w:szCs w:val="19"/>
              </w:rPr>
              <w:t xml:space="preserve">[5] </w:t>
            </w:r>
            <w:r>
              <w:rPr>
                <w:sz w:val="19"/>
                <w:szCs w:val="19"/>
              </w:rPr>
              <w:t xml:space="preserve">Ostrom QT et al. CBTRUS Statistical Report: Primary Brain and CNS Tumors. Neuro Oncol. 2022;24:v1-v95. Epidemiology reference.</w:t>
            </w:r>
          </w:p>
          <w:p>
            <w:pPr>
              <w:spacing w:after="60"/>
              <w:ind w:left="200"/>
            </w:pPr>
            <w:r>
              <w:rPr>
                <w:b/>
                <w:bCs/>
                <w:sz w:val="19"/>
                <w:szCs w:val="19"/>
              </w:rPr>
              <w:t xml:space="preserve">[6] </w:t>
            </w:r>
            <w:r>
              <w:rPr>
                <w:sz w:val="19"/>
                <w:szCs w:val="19"/>
              </w:rPr>
              <w:t xml:space="preserve">Grommes C, DeAngelis LM. Primary CNS lymphoma. JCO. 2017;35:2410-2418.</w:t>
            </w:r>
          </w:p>
        </w:tc>
      </w:tr>
    </w:tbl>
    <w:p>
      <w:r>
        <w:br w:type="page"/>
      </w:r>
    </w:p>
    <w:p>
      <w:pPr>
        <w:pStyle w:val="Heading1"/>
      </w:pPr>
      <w:r>
        <w:t xml:space="preserve">11. Spinal Cord Disorders</w:t>
      </w:r>
    </w:p>
    <w:p>
      <w:pPr>
        <w:pStyle w:val="Heading2"/>
      </w:pPr>
      <w:r>
        <w:t xml:space="preserve">11.1 Approach to Myelopathy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Syndrome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Tract Involved</w:t>
            </w:r>
          </w:p>
        </w:tc>
        <w:tc>
          <w:tcPr>
            <w:tcW w:type="dxa" w:w="4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Clinical Features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Complete transection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All tracts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Bilateral motor/sensory loss below level; bladder/bowel dysfunction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Brown-Sequard (hemisection)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Ipsilateral CST + DC; contralateral STT</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Ipsilateral weakness + proprioception loss; contralateral pain/temp loss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Central cord syndrome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Central gray matter</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Upper &gt; lower extremity weakness (cape-like sensory loss); bladder dysfunction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Anterior cord syndrome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Anterior 2/3 (CST + STT)</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Motor paralysis + pain/temp loss; preserved proprioception/vibration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Posterior cord syndrome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Dorsal columns</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Loss of proprioception/vibration; sensory ataxia; preserved motor/pain</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Conus medullaris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S2-S5 segments</w:t>
            </w:r>
          </w:p>
        </w:tc>
        <w:tc>
          <w:tcPr>
            <w:tcW w:type="dxa" w:w="40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Early bladder/bowel dysfunction; saddle anesthesia; symmetric; areflexic bladder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Cauda equina</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Nerve roots below L2</w:t>
            </w:r>
          </w:p>
        </w:tc>
        <w:tc>
          <w:tcPr>
            <w:tcW w:type="dxa" w:w="4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Radicular pain; asymmetric weakness; gradual bladder dysfunction; LMN signs</w:t>
            </w:r>
          </w:p>
        </w:tc>
      </w:tr>
    </w:tbl>
    <w:p>
      <w:pPr>
        <w:spacing w:after="200"/>
      </w:pPr>
    </w:p>
    <w:p>
      <w:pPr>
        <w:pStyle w:val="Heading2"/>
      </w:pPr>
      <w:r>
        <w:t xml:space="preserve">11.2 Key Etiologies</w:t>
      </w:r>
    </w:p>
    <w:p>
      <w:pPr>
        <w:pStyle w:val="ListParagraph"/>
        <w:numPr>
          <w:ilvl w:val="0"/>
          <w:numId w:val="2"/>
        </w:numPr>
        <w:spacing w:after="60"/>
      </w:pPr>
      <w:r/>
      <w:r>
        <w:t xml:space="preserve">Cervical spondylotic myelopathy (most common), epidural abscess (emergency: fever + back pain + neurological deficit = MRI + surgical decompression), metastatic epidural compression (dexamethasone + urgent radiation/surgery).</w:t>
      </w:r>
    </w:p>
    <w:p>
      <w:pPr>
        <w:pStyle w:val="ListParagraph"/>
        <w:numPr>
          <w:ilvl w:val="0"/>
          <w:numId w:val="2"/>
        </w:numPr>
        <w:spacing w:after="60"/>
      </w:pPr>
      <w:r/>
      <w:r>
        <w:t xml:space="preserve">MS, NMOSD (LETM), sarcoidosis, SLE. MRI: T2 hyperintensity with/without enhancement.</w:t>
      </w:r>
    </w:p>
    <w:p>
      <w:pPr>
        <w:pStyle w:val="ListParagraph"/>
        <w:numPr>
          <w:ilvl w:val="0"/>
          <w:numId w:val="2"/>
        </w:numPr>
        <w:spacing w:after="60"/>
      </w:pPr>
      <w:r/>
      <w:r>
        <w:t xml:space="preserve">Anterior spinal artery syndrome (post-aortic surgery). Spinal dural AVF: progressive myelopathy in older men; flow voids on MRI.</w:t>
      </w:r>
    </w:p>
    <w:p>
      <w:pPr>
        <w:pStyle w:val="ListParagraph"/>
        <w:numPr>
          <w:ilvl w:val="0"/>
          <w:numId w:val="2"/>
        </w:numPr>
        <w:spacing w:after="60"/>
      </w:pPr>
      <w:r/>
      <w:r>
        <w:t xml:space="preserve">TB (Pott disease), HIV vacuolar myelopathy, HTLV-1 associated myelopathy, schistosomiasis.</w:t>
      </w:r>
    </w:p>
    <w:p>
      <w:pPr>
        <w:pStyle w:val="ListParagraph"/>
        <w:numPr>
          <w:ilvl w:val="0"/>
          <w:numId w:val="2"/>
        </w:numPr>
        <w:spacing w:after="60"/>
      </w:pPr>
      <w:r/>
      <w:r>
        <w:t xml:space="preserve">B12 deficiency (subacute combined degeneration), copper deficiency (zinc toxicity, post-bariatric surgery).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6"/>
              <w:bottom w:val="single" w:color="E67E22" w:sz="2"/>
              <w:right w:val="single" w:color="E67E22" w:sz="2"/>
            </w:tcBorders>
            <w:shd w:fill="FFF3E0" w:val="clear"/>
            <w:tcMar>
              <w:top w:type="dxa" w:w="100"/>
              <w:left w:type="dxa" w:w="200"/>
              <w:bottom w:type="dxa" w:w="100"/>
              <w:right w:type="dxa" w:w="200"/>
            </w:tcMar>
          </w:tcPr>
          <w:p>
            <w:r>
              <w:rPr>
                <w:b/>
                <w:bCs/>
                <w:color w:val="E67E22"/>
                <w:sz w:val="20"/>
                <w:szCs w:val="20"/>
              </w:rPr>
              <w:t xml:space="preserve">CLINICAL PEARL</w:t>
            </w:r>
          </w:p>
          <w:p>
            <w:pPr>
              <w:spacing w:after="0"/>
            </w:pPr>
            <w:r>
              <w:rPr>
                <w:sz w:val="22"/>
                <w:szCs w:val="22"/>
              </w:rPr>
              <w:t xml:space="preserve">Spinal epidural abscess is a neurosurgical emergency. The classic triad is fever, back pain, and neurological deficit, but all three are present in only 10-15% at initial presentation. Have a low threshold for MRI in patients with back pain and fever, especially with risk factors (IVDU, diabetes, recent spinal procedure, immunosuppression). Delayed diagnosis leads to irreversible paralysis.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AANS/CNS Guidelines for Management of Acute Cervical Spine and Spinal Cord Injuries. Walters BC et al. Neurosurgery. 2013;72:1-259.</w:t>
            </w:r>
          </w:p>
          <w:p>
            <w:pPr>
              <w:spacing w:after="60"/>
              <w:ind w:left="200"/>
            </w:pPr>
            <w:r>
              <w:rPr>
                <w:b/>
                <w:bCs/>
                <w:color w:val="1B5E20"/>
                <w:sz w:val="19"/>
                <w:szCs w:val="19"/>
              </w:rPr>
              <w:t xml:space="preserve">[G2] </w:t>
            </w:r>
            <w:r>
              <w:rPr>
                <w:i/>
                <w:iCs/>
                <w:sz w:val="19"/>
                <w:szCs w:val="19"/>
              </w:rPr>
              <w:t xml:space="preserve">AAN Clinical Practice Guideline: Evaluation of Patients with Suspected Cauda Equina Syndrome. 2022.</w:t>
            </w:r>
          </w:p>
          <w:p>
            <w:pPr>
              <w:spacing w:after="60"/>
              <w:ind w:left="200"/>
            </w:pPr>
            <w:r>
              <w:rPr>
                <w:b/>
                <w:bCs/>
                <w:sz w:val="19"/>
                <w:szCs w:val="19"/>
              </w:rPr>
              <w:t xml:space="preserve">[3] </w:t>
            </w:r>
            <w:r>
              <w:rPr>
                <w:sz w:val="19"/>
                <w:szCs w:val="19"/>
              </w:rPr>
              <w:t xml:space="preserve">Darouiche RO. Spinal Epidural Abscess. NEJM 2006;355:2012-20. Classic review of diagnosis and management.</w:t>
            </w:r>
          </w:p>
          <w:p>
            <w:pPr>
              <w:spacing w:after="60"/>
              <w:ind w:left="200"/>
            </w:pPr>
            <w:r>
              <w:rPr>
                <w:b/>
                <w:bCs/>
                <w:sz w:val="19"/>
                <w:szCs w:val="19"/>
              </w:rPr>
              <w:t xml:space="preserve">[4] </w:t>
            </w:r>
            <w:r>
              <w:rPr>
                <w:sz w:val="19"/>
                <w:szCs w:val="19"/>
              </w:rPr>
              <w:t xml:space="preserve">Patchell RA et al. Direct decompressive surgical resection in the treatment of spinal cord compression caused by metastatic cancer: a randomised trial. Lancet. 2005;366:643-48. Surgery + RT superior to RT alone.</w:t>
            </w:r>
          </w:p>
          <w:p>
            <w:pPr>
              <w:spacing w:after="60"/>
              <w:ind w:left="200"/>
            </w:pPr>
            <w:r>
              <w:rPr>
                <w:b/>
                <w:bCs/>
                <w:sz w:val="19"/>
                <w:szCs w:val="19"/>
              </w:rPr>
              <w:t xml:space="preserve">[5] </w:t>
            </w:r>
            <w:r>
              <w:rPr>
                <w:sz w:val="19"/>
                <w:szCs w:val="19"/>
              </w:rPr>
              <w:t xml:space="preserve">Transverse Myelitis Consortium Working Group. Proposed diagnostic criteria and nosology of acute transverse myelitis. Neurology. 2002;59:499-505.</w:t>
            </w:r>
          </w:p>
          <w:p>
            <w:pPr>
              <w:spacing w:after="60"/>
              <w:ind w:left="200"/>
            </w:pPr>
            <w:r>
              <w:rPr>
                <w:b/>
                <w:bCs/>
                <w:sz w:val="19"/>
                <w:szCs w:val="19"/>
              </w:rPr>
              <w:t xml:space="preserve">[6] </w:t>
            </w:r>
            <w:r>
              <w:rPr>
                <w:sz w:val="19"/>
                <w:szCs w:val="19"/>
              </w:rPr>
              <w:t xml:space="preserve">Barreras P et al. Spinal cord infarction and differential diagnosis. Continuum (Minneap Minn). 2018;24:407-26.</w:t>
            </w:r>
          </w:p>
        </w:tc>
      </w:tr>
    </w:tbl>
    <w:p>
      <w:r>
        <w:br w:type="page"/>
      </w:r>
    </w:p>
    <w:p>
      <w:pPr>
        <w:pStyle w:val="Heading1"/>
      </w:pPr>
      <w:r>
        <w:t xml:space="preserve">12. Neurological Emergencies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60"/>
        <w:gridCol w:w="25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Emergency</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Key Recognition</w:t>
            </w:r>
          </w:p>
        </w:tc>
        <w:tc>
          <w:tcPr>
            <w:tcW w:type="dxa" w:w="2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Immediate Action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pPr>
            <w:r>
              <w:rPr>
                <w:b/>
                <w:bCs/>
                <w:color w:val="FFFFFF"/>
                <w:sz w:val="20"/>
                <w:szCs w:val="20"/>
              </w:rPr>
              <w:t xml:space="preserve">Time-Critical Element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Acute ischemic stroke (LVO)</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Sudden focal deficit, high NIHSS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tPA + thrombectomy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4.5h tPA; 24h EVT (selected)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ICH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Sudden headache + focal deficit + altered consciousness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BP control, reversal of anticoagulation</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Hematoma expansion in first hours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SAH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Thunderclap headache</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CT head, LP if CT negative, CTA</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Rebleed risk highest in first 24h</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Status epilepticus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Continuous seizure &gt;5 min</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Benzodiazepine -&gt; 2nd line ASM -&gt; anesthetic</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Each minute reduces treatment efficacy</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Bacterial meningitis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Fever, headache, neck stiffness, altered mental status</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Empiric antibiotics + dexamethasone IMMEDIATELY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Each hour of delay increases mortality</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Myasthenic crisis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Progressive weakness + respiratory failure</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Intubate if FVC declining, IVIg/PLEX</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Respiratory failure can be rapid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GBS respiratory failure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Ascending weakness + declining FVC</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IVIg or PLEX, ICU monitoring</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25-30% require intubation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Spinal cord compression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Back pain + myelopathy signs</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Urgent MRI, dexamethasone, surgical consult</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Window for reversibility is narrow</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Acute brain herniation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Declining consciousness, pupil dilation, posturing</w:t>
            </w:r>
          </w:p>
        </w:tc>
        <w:tc>
          <w:tcPr>
            <w:tcW w:type="dxa" w:w="26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Osmotherapy, HOB elevation, hyperventilation (temporary), surgical decompression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sz w:val="20"/>
                <w:szCs w:val="20"/>
              </w:rPr>
              <w:t xml:space="preserve">Minutes to irreversible damage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Cerebral venous thrombosis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Headache + seizure + focal deficit (non-arterial territory)</w:t>
            </w:r>
          </w:p>
        </w:tc>
        <w:tc>
          <w:tcPr>
            <w:tcW w:type="dxa" w:w="266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Anticoagulation (even with hemorrhage)</w:t>
            </w:r>
          </w:p>
        </w:tc>
        <w:tc>
          <w:tcPr>
            <w:tcW w:type="dxa" w:w="2500"/>
            <w:tcBorders>
              <w:top w:val="single" w:color="CCCCCC" w:sz="1"/>
              <w:left w:val="single" w:color="CCCCCC" w:sz="1"/>
              <w:bottom w:val="single" w:color="CCCCCC" w:sz="1"/>
              <w:right w:val="single" w:color="CCCCCC" w:sz="1"/>
            </w:tcBorders>
            <w:shd w:fill="F2F7FB" w:val="clear"/>
            <w:tcMar>
              <w:top w:type="dxa" w:w="60"/>
              <w:left w:type="dxa" w:w="120"/>
              <w:bottom w:type="dxa" w:w="60"/>
              <w:right w:type="dxa" w:w="120"/>
            </w:tcMar>
          </w:tcPr>
          <w:p>
            <w:pPr>
              <w:spacing w:after="0"/>
            </w:pPr>
            <w:r>
              <w:rPr>
                <w:sz w:val="20"/>
                <w:szCs w:val="20"/>
              </w:rPr>
              <w:t xml:space="preserve">Progressive thrombosis without treatment</w:t>
            </w:r>
          </w:p>
        </w:tc>
      </w:tr>
    </w:tbl>
    <w:p>
      <w:pPr>
        <w:spacing w:after="200"/>
      </w:pPr>
    </w:p>
    <w:p>
      <w:pPr>
        <w:spacing w:after="120"/>
      </w:pPr>
      <w:r>
        <w:rPr>
          <w:i/>
          <w:iCs/>
        </w:rPr>
        <w:t xml:space="preserve">This concludes the Neurology Board Review guide. Each section is designed to be comprehensive yet board-focused, integrating Thai Board of Internal Medicine and ABIM content requirements. The guide should be supplemented with the attached lecture materials from RCPT 2026 and primary references from current guidelines.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2E7D32" w:sz="8"/>
              <w:bottom w:val="single" w:color="C8E6C9" w:sz="1"/>
              <w:right w:val="single" w:color="C8E6C9" w:sz="1"/>
            </w:tcBorders>
            <w:shd w:fill="F1F8E9" w:val="clear"/>
            <w:tcMar>
              <w:top w:type="dxa" w:w="120"/>
              <w:left w:type="dxa" w:w="200"/>
              <w:bottom w:type="dxa" w:w="120"/>
              <w:right w:type="dxa" w:w="200"/>
            </w:tcMar>
          </w:tcPr>
          <w:p>
            <w:pPr>
              <w:spacing w:after="80"/>
            </w:pPr>
            <w:r>
              <w:rPr>
                <w:b/>
                <w:bCs/>
                <w:color w:val="1B5E20"/>
                <w:sz w:val="22"/>
                <w:szCs w:val="22"/>
              </w:rPr>
              <w:t xml:space="preserve">REFERENCES &amp; EVIDENCE</w:t>
            </w:r>
          </w:p>
          <w:p>
            <w:pPr>
              <w:spacing w:after="60"/>
              <w:ind w:left="200"/>
            </w:pPr>
            <w:r>
              <w:rPr>
                <w:b/>
                <w:bCs/>
                <w:color w:val="1B5E20"/>
                <w:sz w:val="19"/>
                <w:szCs w:val="19"/>
              </w:rPr>
              <w:t xml:space="preserve">[G1] </w:t>
            </w:r>
            <w:r>
              <w:rPr>
                <w:i/>
                <w:iCs/>
                <w:sz w:val="19"/>
                <w:szCs w:val="19"/>
              </w:rPr>
              <w:t xml:space="preserve">Comprehensive references for individual emergencies are provided in their respective sections above (Sections 1-15).</w:t>
            </w:r>
          </w:p>
          <w:p>
            <w:pPr>
              <w:spacing w:after="60"/>
              <w:ind w:left="200"/>
            </w:pPr>
            <w:r>
              <w:rPr>
                <w:b/>
                <w:bCs/>
                <w:sz w:val="19"/>
                <w:szCs w:val="19"/>
              </w:rPr>
              <w:t xml:space="preserve">[2] </w:t>
            </w:r>
            <w:r>
              <w:rPr>
                <w:sz w:val="19"/>
                <w:szCs w:val="19"/>
              </w:rPr>
              <w:t xml:space="preserve">Wijdicks EFM et al. Practice Parameter: Prediction of outcome in comatose survivors after cardiopulmonary resuscitation (update). Neurology. 2006;67:203-210.</w:t>
            </w:r>
          </w:p>
          <w:p>
            <w:pPr>
              <w:spacing w:after="60"/>
              <w:ind w:left="200"/>
            </w:pPr>
            <w:r>
              <w:rPr>
                <w:b/>
                <w:bCs/>
                <w:sz w:val="19"/>
                <w:szCs w:val="19"/>
              </w:rPr>
              <w:t xml:space="preserve">[3] </w:t>
            </w:r>
            <w:r>
              <w:rPr>
                <w:sz w:val="19"/>
                <w:szCs w:val="19"/>
              </w:rPr>
              <w:t xml:space="preserve">Frontera JA et al. Guideline for Reversal of Antithrombotics in Intracranial Hemorrhage. Neurocrit Care. 2016;24:6-46.</w:t>
            </w:r>
          </w:p>
          <w:p>
            <w:pPr>
              <w:spacing w:after="60"/>
              <w:ind w:left="200"/>
            </w:pPr>
            <w:r>
              <w:rPr>
                <w:b/>
                <w:bCs/>
                <w:sz w:val="19"/>
                <w:szCs w:val="19"/>
              </w:rPr>
              <w:t xml:space="preserve">[4] </w:t>
            </w:r>
            <w:r>
              <w:rPr>
                <w:sz w:val="19"/>
                <w:szCs w:val="19"/>
              </w:rPr>
              <w:t xml:space="preserve">Rabinstein AA. Treatment of Acute Ischemic Stroke. Continuum (Minneap Minn). 2020;26:268-286.</w:t>
            </w:r>
          </w:p>
          <w:p>
            <w:pPr>
              <w:spacing w:after="60"/>
              <w:ind w:left="200"/>
            </w:pPr>
            <w:r>
              <w:rPr>
                <w:b/>
                <w:bCs/>
                <w:sz w:val="19"/>
                <w:szCs w:val="19"/>
              </w:rPr>
              <w:t xml:space="preserve">[5] </w:t>
            </w:r>
            <w:r>
              <w:rPr>
                <w:sz w:val="19"/>
                <w:szCs w:val="19"/>
              </w:rPr>
              <w:t xml:space="preserve">Claassen J et al. Detection of Brain Activation in Unresponsive Patients with Acute Brain Injury. NEJM 2019;380:2497-2505.</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tabs>
        <w:tab w:val="right" w:pos="9026"/>
      </w:tabs>
    </w:pPr>
    <w:r>
      <w:rPr>
        <w:i/>
        <w:iCs/>
        <w:color w:val="888888"/>
        <w:sz w:val="18"/>
        <w:szCs w:val="18"/>
      </w:rPr>
      <w:t xml:space="preserve">Neurology — Board Review</w:t>
    </w:r>
    <w:r>
      <w:rPr>
        <w:color w:val="888888"/>
        <w:sz w:val="18"/>
        <w:szCs w:val="18"/>
      </w:rPr>
      <w:t xml:space="preserve">	Internal Medicine Subspecialty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98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2026-03-22T09:58:44.787Z</dcterms:created>
  <dcterms:modified xsi:type="dcterms:W3CDTF">2026-03-22T09:58:44.787Z</dcterms:modified>
</cp:coreProperties>
</file>

<file path=docProps/custom.xml><?xml version="1.0" encoding="utf-8"?>
<Properties xmlns="http://schemas.openxmlformats.org/officeDocument/2006/custom-properties" xmlns:vt="http://schemas.openxmlformats.org/officeDocument/2006/docPropsVTypes"/>
</file>