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FF9FE" w14:textId="44DD3C6E" w:rsidR="0032073D" w:rsidRDefault="00494805">
      <w:pPr>
        <w:rPr>
          <w:b/>
          <w:bCs/>
          <w:sz w:val="28"/>
          <w:szCs w:val="28"/>
        </w:rPr>
      </w:pPr>
      <w:r w:rsidRPr="0032073D">
        <w:rPr>
          <w:b/>
          <w:bCs/>
          <w:sz w:val="28"/>
          <w:szCs w:val="28"/>
        </w:rPr>
        <w:t>Banking Credit Risk Reduction</w:t>
      </w:r>
    </w:p>
    <w:p w14:paraId="7A7A26C1" w14:textId="49B1554A" w:rsidR="0032073D" w:rsidRDefault="00E66874">
      <w:pPr>
        <w:rPr>
          <w:rFonts w:ascii="Segoe UI" w:hAnsi="Segoe UI" w:cs="Segoe UI"/>
          <w:color w:val="374151"/>
          <w:shd w:val="clear" w:color="auto" w:fill="FFFFFF"/>
        </w:rPr>
      </w:pPr>
      <w:r w:rsidRPr="00E66874">
        <w:rPr>
          <w:rFonts w:ascii="Segoe UI" w:hAnsi="Segoe UI" w:cs="Segoe UI"/>
          <w:color w:val="374151"/>
          <w:shd w:val="clear" w:color="auto" w:fill="FFFFFF"/>
        </w:rPr>
        <w:t xml:space="preserve">This project is focused on detecting discriminatory loan practices, an operational risk, so that </w:t>
      </w:r>
      <w:r w:rsidR="0089561A">
        <w:rPr>
          <w:rFonts w:ascii="Segoe UI" w:hAnsi="Segoe UI" w:cs="Segoe UI"/>
          <w:color w:val="374151"/>
          <w:shd w:val="clear" w:color="auto" w:fill="FFFFFF"/>
        </w:rPr>
        <w:t xml:space="preserve">the </w:t>
      </w:r>
      <w:r w:rsidRPr="00E66874">
        <w:rPr>
          <w:rFonts w:ascii="Segoe UI" w:hAnsi="Segoe UI" w:cs="Segoe UI"/>
          <w:color w:val="374151"/>
          <w:shd w:val="clear" w:color="auto" w:fill="FFFFFF"/>
        </w:rPr>
        <w:t>bank can reduce the chances of adverse litigation and damage to its reputation.</w:t>
      </w:r>
    </w:p>
    <w:p w14:paraId="61296244" w14:textId="77777777" w:rsidR="005A3664" w:rsidRPr="005A3664" w:rsidRDefault="005A3664"/>
    <w:p w14:paraId="03AD22B9" w14:textId="18B8C8D9" w:rsidR="00494805" w:rsidRPr="0032073D" w:rsidRDefault="0032073D">
      <w:pPr>
        <w:rPr>
          <w:rFonts w:ascii="Segoe UI" w:hAnsi="Segoe UI" w:cs="Segoe UI"/>
          <w:color w:val="374151"/>
          <w:shd w:val="clear" w:color="auto" w:fill="FFFFFF"/>
        </w:rPr>
      </w:pPr>
      <w:r w:rsidRPr="0041416A">
        <w:rPr>
          <w:rFonts w:ascii="Segoe UI" w:hAnsi="Segoe UI" w:cs="Segoe UI"/>
          <w:color w:val="374151"/>
          <w:shd w:val="clear" w:color="auto" w:fill="FFFFFF"/>
        </w:rPr>
        <w:t>Failure to manage risk can impact customers, employees and investors.</w:t>
      </w:r>
    </w:p>
    <w:p w14:paraId="73D799E9" w14:textId="5C118F1D" w:rsidR="00392065" w:rsidRPr="003A3E53" w:rsidRDefault="00392065" w:rsidP="0039206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 xml:space="preserve">Major risks for banks: </w:t>
      </w:r>
      <w:r w:rsidRPr="00392065">
        <w:rPr>
          <w:rFonts w:ascii="Segoe UI" w:hAnsi="Segoe UI" w:cs="Segoe UI"/>
          <w:color w:val="374151"/>
          <w:shd w:val="clear" w:color="auto" w:fill="FFFFFF"/>
        </w:rPr>
        <w:t>Credit, operational, market, and liquidity risks</w:t>
      </w:r>
    </w:p>
    <w:p w14:paraId="544884E6" w14:textId="2C3480A6" w:rsidR="003A3E53" w:rsidRPr="00BB3B37" w:rsidRDefault="003A3E53" w:rsidP="003A3E5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Credit</w:t>
      </w:r>
      <w:r w:rsidR="00BB3B37">
        <w:rPr>
          <w:rFonts w:ascii="Segoe UI" w:hAnsi="Segoe UI" w:cs="Segoe UI"/>
          <w:color w:val="374151"/>
          <w:shd w:val="clear" w:color="auto" w:fill="FFFFFF"/>
        </w:rPr>
        <w:t xml:space="preserve"> Risk</w:t>
      </w:r>
    </w:p>
    <w:p w14:paraId="08FEB069" w14:textId="55B293B7" w:rsidR="00BB3B37" w:rsidRPr="00C26DED" w:rsidRDefault="00BB3B37" w:rsidP="00BB3B37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T</w:t>
      </w:r>
      <w:r>
        <w:rPr>
          <w:rFonts w:ascii="Segoe UI" w:hAnsi="Segoe UI" w:cs="Segoe UI"/>
          <w:color w:val="374151"/>
          <w:shd w:val="clear" w:color="auto" w:fill="FFFFFF"/>
        </w:rPr>
        <w:t>he biggest risk for banks</w:t>
      </w:r>
    </w:p>
    <w:p w14:paraId="11D0C554" w14:textId="6C79B9C8" w:rsidR="00C26DED" w:rsidRPr="00C26DED" w:rsidRDefault="00C26DED" w:rsidP="00BB3B37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Borrowers may not repay contractual obligations</w:t>
      </w:r>
    </w:p>
    <w:p w14:paraId="6B569BF1" w14:textId="36F3B9A9" w:rsidR="00C26DED" w:rsidRPr="003A3E53" w:rsidRDefault="00C26DED" w:rsidP="00BB3B37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During an economic downturn banks may be overexposed</w:t>
      </w:r>
    </w:p>
    <w:p w14:paraId="18803FB9" w14:textId="3227B6CC" w:rsidR="003A3E53" w:rsidRPr="00BB3B37" w:rsidRDefault="003A3E53" w:rsidP="003A3E5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Operational</w:t>
      </w:r>
      <w:r w:rsidR="00BB3B37">
        <w:rPr>
          <w:rFonts w:ascii="Segoe UI" w:hAnsi="Segoe UI" w:cs="Segoe UI"/>
          <w:color w:val="374151"/>
          <w:shd w:val="clear" w:color="auto" w:fill="FFFFFF"/>
        </w:rPr>
        <w:t xml:space="preserve"> Risk</w:t>
      </w:r>
    </w:p>
    <w:p w14:paraId="1841C0D4" w14:textId="091FF08D" w:rsidR="00BB3B37" w:rsidRPr="003A3E53" w:rsidRDefault="00BB3B37" w:rsidP="00BB3B37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L</w:t>
      </w:r>
      <w:r>
        <w:rPr>
          <w:rFonts w:ascii="Segoe UI" w:hAnsi="Segoe UI" w:cs="Segoe UI"/>
          <w:color w:val="374151"/>
          <w:shd w:val="clear" w:color="auto" w:fill="FFFFFF"/>
        </w:rPr>
        <w:t>oss due to errors</w:t>
      </w:r>
      <w:r>
        <w:rPr>
          <w:rFonts w:ascii="Segoe UI" w:hAnsi="Segoe UI" w:cs="Segoe UI"/>
          <w:color w:val="374151"/>
          <w:shd w:val="clear" w:color="auto" w:fill="FFFFFF"/>
        </w:rPr>
        <w:t xml:space="preserve"> or </w:t>
      </w:r>
      <w:r>
        <w:rPr>
          <w:rFonts w:ascii="Segoe UI" w:hAnsi="Segoe UI" w:cs="Segoe UI"/>
          <w:color w:val="374151"/>
          <w:shd w:val="clear" w:color="auto" w:fill="FFFFFF"/>
        </w:rPr>
        <w:t>interruptions</w:t>
      </w:r>
    </w:p>
    <w:p w14:paraId="0BC32FED" w14:textId="359BEF6A" w:rsidR="003A3E53" w:rsidRPr="00BB3B37" w:rsidRDefault="003A3E53" w:rsidP="003A3E5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Market</w:t>
      </w:r>
      <w:r w:rsidR="00BB3B37">
        <w:rPr>
          <w:rFonts w:ascii="Segoe UI" w:hAnsi="Segoe UI" w:cs="Segoe UI"/>
          <w:color w:val="374151"/>
          <w:shd w:val="clear" w:color="auto" w:fill="FFFFFF"/>
        </w:rPr>
        <w:t xml:space="preserve"> Risk</w:t>
      </w:r>
    </w:p>
    <w:p w14:paraId="39C1585E" w14:textId="0FFF79EC" w:rsidR="00BB3B37" w:rsidRDefault="00674978" w:rsidP="00BB3B37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Risk caused by the u</w:t>
      </w:r>
      <w:r>
        <w:rPr>
          <w:rFonts w:ascii="Segoe UI" w:hAnsi="Segoe UI" w:cs="Segoe UI"/>
          <w:color w:val="374151"/>
          <w:shd w:val="clear" w:color="auto" w:fill="FFFFFF"/>
        </w:rPr>
        <w:t>npredictability of equity markets, commodity prices</w:t>
      </w:r>
      <w:r>
        <w:rPr>
          <w:rFonts w:ascii="Segoe UI" w:hAnsi="Segoe UI" w:cs="Segoe UI"/>
          <w:color w:val="374151"/>
          <w:shd w:val="clear" w:color="auto" w:fill="FFFFFF"/>
        </w:rPr>
        <w:t xml:space="preserve"> and</w:t>
      </w:r>
      <w:r>
        <w:rPr>
          <w:rFonts w:ascii="Segoe UI" w:hAnsi="Segoe UI" w:cs="Segoe UI"/>
          <w:color w:val="374151"/>
          <w:shd w:val="clear" w:color="auto" w:fill="FFFFFF"/>
        </w:rPr>
        <w:t xml:space="preserve"> interest rates</w:t>
      </w:r>
    </w:p>
    <w:p w14:paraId="48CFF083" w14:textId="2DF408F8" w:rsidR="00BB3B37" w:rsidRPr="003A3E53" w:rsidRDefault="00C26DED" w:rsidP="00BB3B37">
      <w:pPr>
        <w:pStyle w:val="ListParagraph"/>
        <w:numPr>
          <w:ilvl w:val="2"/>
          <w:numId w:val="1"/>
        </w:numPr>
      </w:pPr>
      <w:r>
        <w:t xml:space="preserve">Banks </w:t>
      </w:r>
      <w:r w:rsidR="00700162">
        <w:t>that are</w:t>
      </w:r>
      <w:r>
        <w:t xml:space="preserve"> more heavily involved in trading have more exposure</w:t>
      </w:r>
    </w:p>
    <w:p w14:paraId="64577FC5" w14:textId="494CABA2" w:rsidR="003A3E53" w:rsidRPr="00C26DED" w:rsidRDefault="003A3E53" w:rsidP="003A3E53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Liquidity</w:t>
      </w:r>
    </w:p>
    <w:p w14:paraId="29C41715" w14:textId="18983D30" w:rsidR="00C26DED" w:rsidRPr="009B02B9" w:rsidRDefault="009B02B9" w:rsidP="00C26DE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Ability</w:t>
      </w:r>
      <w:r w:rsidR="00C26DED">
        <w:rPr>
          <w:rFonts w:ascii="Segoe UI" w:hAnsi="Segoe UI" w:cs="Segoe UI"/>
          <w:color w:val="374151"/>
          <w:shd w:val="clear" w:color="auto" w:fill="FFFFFF"/>
        </w:rPr>
        <w:t xml:space="preserve"> of a </w:t>
      </w:r>
      <w:r>
        <w:rPr>
          <w:rFonts w:ascii="Segoe UI" w:hAnsi="Segoe UI" w:cs="Segoe UI"/>
          <w:color w:val="374151"/>
          <w:shd w:val="clear" w:color="auto" w:fill="FFFFFF"/>
        </w:rPr>
        <w:t>bank</w:t>
      </w:r>
      <w:r w:rsidR="00C26DED">
        <w:rPr>
          <w:rFonts w:ascii="Segoe UI" w:hAnsi="Segoe UI" w:cs="Segoe UI"/>
          <w:color w:val="374151"/>
          <w:shd w:val="clear" w:color="auto" w:fill="FFFFFF"/>
        </w:rPr>
        <w:t xml:space="preserve"> to access cas</w:t>
      </w:r>
      <w:r>
        <w:rPr>
          <w:rFonts w:ascii="Segoe UI" w:hAnsi="Segoe UI" w:cs="Segoe UI"/>
          <w:color w:val="374151"/>
          <w:shd w:val="clear" w:color="auto" w:fill="FFFFFF"/>
        </w:rPr>
        <w:t>h to meet financial obligations</w:t>
      </w:r>
    </w:p>
    <w:p w14:paraId="5F561609" w14:textId="5D6FD800" w:rsidR="00E84C40" w:rsidRPr="00B544E9" w:rsidRDefault="009B02B9" w:rsidP="002834ED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 xml:space="preserve">Issues with providing cash or access to funds can </w:t>
      </w:r>
      <w:r w:rsidR="00700162">
        <w:rPr>
          <w:rFonts w:ascii="Segoe UI" w:hAnsi="Segoe UI" w:cs="Segoe UI"/>
          <w:color w:val="374151"/>
          <w:shd w:val="clear" w:color="auto" w:fill="FFFFFF"/>
        </w:rPr>
        <w:t>lead to</w:t>
      </w:r>
      <w:r>
        <w:rPr>
          <w:rFonts w:ascii="Segoe UI" w:hAnsi="Segoe UI" w:cs="Segoe UI"/>
          <w:color w:val="374151"/>
          <w:shd w:val="clear" w:color="auto" w:fill="FFFFFF"/>
        </w:rPr>
        <w:t xml:space="preserve"> a loss of customer confidence and even result in a bank run</w:t>
      </w:r>
      <w:r w:rsidR="00B544E9">
        <w:rPr>
          <w:rFonts w:ascii="Segoe UI" w:hAnsi="Segoe UI" w:cs="Segoe UI"/>
          <w:color w:val="374151"/>
          <w:shd w:val="clear" w:color="auto" w:fill="FFFFFF"/>
        </w:rPr>
        <w:t>, such as the one that occurred at the Northern Rock bank during the 2007-09 financial crisis</w:t>
      </w:r>
    </w:p>
    <w:p w14:paraId="73CD954F" w14:textId="3BF546C4" w:rsidR="0041416A" w:rsidRDefault="00A855A6" w:rsidP="00A855A6">
      <w:pPr>
        <w:pStyle w:val="ListParagraph"/>
        <w:ind w:left="2160"/>
      </w:pPr>
      <w:hyperlink r:id="rId5" w:history="1">
        <w:r w:rsidRPr="00A5798F">
          <w:rPr>
            <w:rStyle w:val="Hyperlink"/>
          </w:rPr>
          <w:t>https://www.thenorthernecho.co.uk/news/15532030.pictures-ten-years-run-northern-rock/#gallery5</w:t>
        </w:r>
      </w:hyperlink>
    </w:p>
    <w:p w14:paraId="1CCA48F3" w14:textId="77777777" w:rsidR="00A855A6" w:rsidRPr="003A3E53" w:rsidRDefault="00A855A6" w:rsidP="00A855A6">
      <w:pPr>
        <w:pStyle w:val="ListParagraph"/>
        <w:ind w:left="2160"/>
      </w:pPr>
    </w:p>
    <w:p w14:paraId="519E1FEE" w14:textId="0F2EE90A" w:rsidR="00E84C40" w:rsidRPr="003A3E53" w:rsidRDefault="00E84C40" w:rsidP="00E84C4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Risk Analysis Process</w:t>
      </w:r>
    </w:p>
    <w:p w14:paraId="3A3BD696" w14:textId="12361DD2" w:rsidR="00E84C40" w:rsidRPr="00E84C40" w:rsidRDefault="00E84C40" w:rsidP="00E84C4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Identify</w:t>
      </w:r>
    </w:p>
    <w:p w14:paraId="2A291C18" w14:textId="650059FF" w:rsidR="00E84C40" w:rsidRPr="00E84C40" w:rsidRDefault="00E84C40" w:rsidP="00E84C4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Assess</w:t>
      </w:r>
    </w:p>
    <w:p w14:paraId="2F085A56" w14:textId="7F76703E" w:rsidR="00E84C40" w:rsidRPr="00E84C40" w:rsidRDefault="00E84C40" w:rsidP="00E84C4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Control</w:t>
      </w:r>
    </w:p>
    <w:p w14:paraId="5DC4BED6" w14:textId="163B5473" w:rsidR="00AA0F6C" w:rsidRPr="0089561A" w:rsidRDefault="00E84C40" w:rsidP="009B666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74151"/>
          <w:shd w:val="clear" w:color="auto" w:fill="FFFFFF"/>
        </w:rPr>
        <w:t>Review Controls</w:t>
      </w:r>
    </w:p>
    <w:p w14:paraId="6D9F943F" w14:textId="77777777" w:rsidR="0089561A" w:rsidRDefault="0089561A" w:rsidP="0089561A">
      <w:pPr>
        <w:pStyle w:val="ListParagraph"/>
        <w:ind w:left="1440"/>
      </w:pPr>
    </w:p>
    <w:p w14:paraId="3FA49B65" w14:textId="2483A3C7" w:rsidR="009B6660" w:rsidRPr="0032073D" w:rsidRDefault="009B6660" w:rsidP="009B6660">
      <w:r>
        <w:t>CAMELS</w:t>
      </w:r>
    </w:p>
    <w:p w14:paraId="20449D84" w14:textId="0BABB5C7" w:rsidR="0025581A" w:rsidRDefault="0032073D" w:rsidP="0032073D">
      <w:r>
        <w:t>Banks are rated by the CAMELS system</w:t>
      </w:r>
      <w:r w:rsidR="001A282E">
        <w:t xml:space="preserve">, a rating system is not released to the public, but only to </w:t>
      </w:r>
      <w:r w:rsidR="0025581A">
        <w:t>top management. There are 6 components of the CAMELS rating:</w:t>
      </w:r>
    </w:p>
    <w:p w14:paraId="58F2F1D9" w14:textId="175A2AC9" w:rsidR="009B6660" w:rsidRPr="009B6660" w:rsidRDefault="009B6660" w:rsidP="009B6660">
      <w:pPr>
        <w:numPr>
          <w:ilvl w:val="0"/>
          <w:numId w:val="2"/>
        </w:numPr>
      </w:pPr>
      <w:r w:rsidRPr="009B6660">
        <w:lastRenderedPageBreak/>
        <w:t>Capital adequacy</w:t>
      </w:r>
    </w:p>
    <w:p w14:paraId="7B34E885" w14:textId="140E4223" w:rsidR="009B6660" w:rsidRPr="009B6660" w:rsidRDefault="009B6660" w:rsidP="009B6660">
      <w:pPr>
        <w:numPr>
          <w:ilvl w:val="0"/>
          <w:numId w:val="2"/>
        </w:numPr>
      </w:pPr>
      <w:r w:rsidRPr="009B6660">
        <w:t>Assets</w:t>
      </w:r>
    </w:p>
    <w:p w14:paraId="37C93C97" w14:textId="1E70E57A" w:rsidR="009B6660" w:rsidRPr="009B6660" w:rsidRDefault="009B6660" w:rsidP="009B6660">
      <w:pPr>
        <w:numPr>
          <w:ilvl w:val="0"/>
          <w:numId w:val="2"/>
        </w:numPr>
      </w:pPr>
      <w:r w:rsidRPr="009B6660">
        <w:t>Management capability</w:t>
      </w:r>
    </w:p>
    <w:p w14:paraId="3E263383" w14:textId="29523790" w:rsidR="009B6660" w:rsidRPr="009B6660" w:rsidRDefault="009B6660" w:rsidP="009B6660">
      <w:pPr>
        <w:numPr>
          <w:ilvl w:val="0"/>
          <w:numId w:val="2"/>
        </w:numPr>
      </w:pPr>
      <w:r w:rsidRPr="009B6660">
        <w:t>Earnings</w:t>
      </w:r>
    </w:p>
    <w:p w14:paraId="5A930D71" w14:textId="3C9B76AC" w:rsidR="009B6660" w:rsidRPr="009B6660" w:rsidRDefault="009B6660" w:rsidP="009B6660">
      <w:pPr>
        <w:numPr>
          <w:ilvl w:val="0"/>
          <w:numId w:val="2"/>
        </w:numPr>
      </w:pPr>
      <w:r w:rsidRPr="009B6660">
        <w:t>Liquidity</w:t>
      </w:r>
    </w:p>
    <w:p w14:paraId="324FA097" w14:textId="3F60EE1F" w:rsidR="009B6660" w:rsidRDefault="009B6660" w:rsidP="009B6660">
      <w:pPr>
        <w:numPr>
          <w:ilvl w:val="0"/>
          <w:numId w:val="2"/>
        </w:numPr>
      </w:pPr>
      <w:r w:rsidRPr="009B6660">
        <w:t>Sensitivity</w:t>
      </w:r>
    </w:p>
    <w:p w14:paraId="6F52E9E4" w14:textId="77777777" w:rsidR="005A3664" w:rsidRDefault="005A3664" w:rsidP="009B6660"/>
    <w:p w14:paraId="5F9F35EC" w14:textId="049BFD59" w:rsidR="009B6660" w:rsidRDefault="009B6660" w:rsidP="009B6660">
      <w:r w:rsidRPr="009B6660">
        <w:t>Capital Adequacy Ratio (CAR)</w:t>
      </w:r>
    </w:p>
    <w:p w14:paraId="4B31B39D" w14:textId="2379A826" w:rsidR="009B6660" w:rsidRPr="0040472C" w:rsidRDefault="009B6660" w:rsidP="009B6660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  <w:shd w:val="clear" w:color="auto" w:fill="FFFFFF"/>
        </w:rPr>
        <w:t>A</w:t>
      </w:r>
      <w:r>
        <w:rPr>
          <w:rFonts w:ascii="Segoe UI" w:hAnsi="Segoe UI" w:cs="Segoe UI"/>
          <w:color w:val="374151"/>
          <w:shd w:val="clear" w:color="auto" w:fill="FFFFFF"/>
        </w:rPr>
        <w:t xml:space="preserve"> bank’s ability to pay liabilities and respond to credit and operational risks. A bank </w:t>
      </w:r>
      <w:r>
        <w:rPr>
          <w:rFonts w:ascii="Segoe UI" w:hAnsi="Segoe UI" w:cs="Segoe UI"/>
          <w:color w:val="374151"/>
          <w:shd w:val="clear" w:color="auto" w:fill="FFFFFF"/>
        </w:rPr>
        <w:t>with</w:t>
      </w:r>
      <w:r>
        <w:rPr>
          <w:rFonts w:ascii="Segoe UI" w:hAnsi="Segoe UI" w:cs="Segoe UI"/>
          <w:color w:val="374151"/>
          <w:shd w:val="clear" w:color="auto" w:fill="FFFFFF"/>
        </w:rPr>
        <w:t xml:space="preserve"> a good CAR has enough capital to absorb potential losses</w:t>
      </w:r>
    </w:p>
    <w:p w14:paraId="0D91546A" w14:textId="704FA8F1" w:rsidR="0040472C" w:rsidRDefault="0040472C" w:rsidP="009B6660">
      <w:pPr>
        <w:pStyle w:val="ListParagraph"/>
        <w:numPr>
          <w:ilvl w:val="0"/>
          <w:numId w:val="3"/>
        </w:numPr>
      </w:pPr>
      <w:r>
        <w:t xml:space="preserve">CAR = </w:t>
      </w:r>
      <w:r w:rsidRPr="0040472C">
        <w:t>(Tier 1 Capital + Tier 2 Capital) / Risk-Weighted Assets</w:t>
      </w:r>
    </w:p>
    <w:p w14:paraId="1A9A7D9B" w14:textId="77B918D8" w:rsidR="0040472C" w:rsidRPr="0040472C" w:rsidRDefault="0040472C" w:rsidP="0040472C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374151"/>
          <w:shd w:val="clear" w:color="auto" w:fill="FFFFFF"/>
        </w:rPr>
        <w:t>Tier 1</w:t>
      </w:r>
      <w:r>
        <w:rPr>
          <w:rFonts w:ascii="Segoe UI" w:hAnsi="Segoe UI" w:cs="Segoe UI"/>
          <w:color w:val="374151"/>
          <w:shd w:val="clear" w:color="auto" w:fill="FFFFFF"/>
        </w:rPr>
        <w:t xml:space="preserve"> Capital</w:t>
      </w:r>
    </w:p>
    <w:p w14:paraId="471A2537" w14:textId="03757164" w:rsidR="0040472C" w:rsidRPr="0040472C" w:rsidRDefault="0040472C" w:rsidP="0040472C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374151"/>
          <w:shd w:val="clear" w:color="auto" w:fill="FFFFFF"/>
        </w:rPr>
        <w:t>The form of capital which can most readily absorb a loss</w:t>
      </w:r>
    </w:p>
    <w:p w14:paraId="7FF4ECAD" w14:textId="5A9778AD" w:rsidR="0040472C" w:rsidRDefault="0040472C" w:rsidP="0040472C">
      <w:pPr>
        <w:pStyle w:val="ListParagraph"/>
        <w:numPr>
          <w:ilvl w:val="2"/>
          <w:numId w:val="3"/>
        </w:numPr>
      </w:pPr>
      <w:r>
        <w:t>S</w:t>
      </w:r>
      <w:r>
        <w:t>tock and</w:t>
      </w:r>
      <w:r>
        <w:t xml:space="preserve"> retained earnings</w:t>
      </w:r>
    </w:p>
    <w:p w14:paraId="21445451" w14:textId="7CB37EBB" w:rsidR="00285E80" w:rsidRDefault="00285E80" w:rsidP="00285E80">
      <w:pPr>
        <w:pStyle w:val="ListParagraph"/>
        <w:numPr>
          <w:ilvl w:val="1"/>
          <w:numId w:val="3"/>
        </w:numPr>
      </w:pPr>
      <w:r>
        <w:t>Tier 2 capital</w:t>
      </w:r>
    </w:p>
    <w:p w14:paraId="73278345" w14:textId="77F8D78A" w:rsidR="0072099B" w:rsidRDefault="0072099B" w:rsidP="0072099B">
      <w:pPr>
        <w:pStyle w:val="ListParagraph"/>
        <w:numPr>
          <w:ilvl w:val="2"/>
          <w:numId w:val="3"/>
        </w:numPr>
      </w:pPr>
      <w:r>
        <w:t>R</w:t>
      </w:r>
      <w:r w:rsidRPr="0072099B">
        <w:t>eserves</w:t>
      </w:r>
      <w:r>
        <w:t xml:space="preserve"> and </w:t>
      </w:r>
      <w:r w:rsidRPr="0072099B">
        <w:t>hybrid securitie</w:t>
      </w:r>
      <w:r>
        <w:t xml:space="preserve">s that are </w:t>
      </w:r>
      <w:r w:rsidRPr="0072099B">
        <w:t>less liquid and more difficult to measure</w:t>
      </w:r>
    </w:p>
    <w:p w14:paraId="45155EB8" w14:textId="1F15A19C" w:rsidR="0072099B" w:rsidRPr="001418DD" w:rsidRDefault="0072099B" w:rsidP="0072099B">
      <w:pPr>
        <w:pStyle w:val="ListParagraph"/>
        <w:numPr>
          <w:ilvl w:val="1"/>
          <w:numId w:val="3"/>
        </w:numPr>
      </w:pPr>
      <w:r>
        <w:t xml:space="preserve">Risk-Weighted Assets - </w:t>
      </w:r>
      <w:r>
        <w:rPr>
          <w:rFonts w:ascii="Segoe UI" w:hAnsi="Segoe UI" w:cs="Segoe UI"/>
          <w:color w:val="374151"/>
          <w:shd w:val="clear" w:color="auto" w:fill="FFFFFF"/>
        </w:rPr>
        <w:t xml:space="preserve">different assets </w:t>
      </w:r>
      <w:r>
        <w:rPr>
          <w:rFonts w:ascii="Segoe UI" w:hAnsi="Segoe UI" w:cs="Segoe UI"/>
          <w:color w:val="374151"/>
          <w:shd w:val="clear" w:color="auto" w:fill="FFFFFF"/>
        </w:rPr>
        <w:t xml:space="preserve">classes </w:t>
      </w:r>
      <w:r>
        <w:rPr>
          <w:rFonts w:ascii="Segoe UI" w:hAnsi="Segoe UI" w:cs="Segoe UI"/>
          <w:color w:val="374151"/>
          <w:shd w:val="clear" w:color="auto" w:fill="FFFFFF"/>
        </w:rPr>
        <w:t>held by banks carry different risk weights</w:t>
      </w:r>
    </w:p>
    <w:p w14:paraId="6F1490F6" w14:textId="7D2DEB35" w:rsidR="001418DD" w:rsidRPr="00E66874" w:rsidRDefault="001418DD" w:rsidP="001418D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  <w:shd w:val="clear" w:color="auto" w:fill="FFFFFF"/>
        </w:rPr>
        <w:t>B</w:t>
      </w:r>
      <w:r>
        <w:rPr>
          <w:rFonts w:ascii="Segoe UI" w:hAnsi="Segoe UI" w:cs="Segoe UI"/>
          <w:color w:val="374151"/>
          <w:shd w:val="clear" w:color="auto" w:fill="FFFFFF"/>
        </w:rPr>
        <w:t>anks are required to have a Capital Adequacy Ratio of at least 8%</w:t>
      </w:r>
    </w:p>
    <w:p w14:paraId="650D77AC" w14:textId="61AA3F92" w:rsidR="00E66874" w:rsidRDefault="00E66874" w:rsidP="00E6687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  <w:shd w:val="clear" w:color="auto" w:fill="FFFFFF"/>
        </w:rPr>
        <w:t>Capital divided by Risk-Weighted Assets needs to be at least 6%</w:t>
      </w:r>
    </w:p>
    <w:p w14:paraId="13B23A5E" w14:textId="77777777" w:rsidR="0089561A" w:rsidRDefault="0089561A" w:rsidP="0089561A"/>
    <w:p w14:paraId="73B751B2" w14:textId="1E0728BA" w:rsidR="0072099B" w:rsidRDefault="00392065" w:rsidP="0089561A">
      <w:r>
        <w:t>Source</w:t>
      </w:r>
      <w:r w:rsidR="003500BE">
        <w:t>s</w:t>
      </w:r>
      <w:r>
        <w:t xml:space="preserve">: </w:t>
      </w:r>
    </w:p>
    <w:p w14:paraId="0DA2A555" w14:textId="383F51BB" w:rsidR="00494805" w:rsidRDefault="00392065" w:rsidP="00392065">
      <w:pPr>
        <w:pStyle w:val="ListParagraph"/>
        <w:numPr>
          <w:ilvl w:val="0"/>
          <w:numId w:val="1"/>
        </w:numPr>
      </w:pPr>
      <w:r>
        <w:t xml:space="preserve">Corporate Finance Institute </w:t>
      </w:r>
      <w:hyperlink r:id="rId6" w:history="1">
        <w:r w:rsidR="0072099B" w:rsidRPr="00A5798F">
          <w:rPr>
            <w:rStyle w:val="Hyperlink"/>
          </w:rPr>
          <w:t>https://corporatefinanceinstitute.com/resources/career-map/sell-side/risk-management/major-risks-for-banks/#:~:text=The%20major%20risks%20faced%20by,%2C%20market%2C%20and%20liquidity%20risks</w:t>
        </w:r>
      </w:hyperlink>
    </w:p>
    <w:p w14:paraId="702F5696" w14:textId="77777777" w:rsidR="0072099B" w:rsidRDefault="0072099B" w:rsidP="0072099B">
      <w:pPr>
        <w:pStyle w:val="ListParagraph"/>
      </w:pPr>
    </w:p>
    <w:p w14:paraId="4D382558" w14:textId="353780B8" w:rsidR="00494805" w:rsidRDefault="0072099B" w:rsidP="00D57B76">
      <w:pPr>
        <w:pStyle w:val="ListParagraph"/>
        <w:numPr>
          <w:ilvl w:val="0"/>
          <w:numId w:val="1"/>
        </w:numPr>
      </w:pPr>
      <w:hyperlink r:id="rId7" w:history="1">
        <w:r w:rsidRPr="00A5798F">
          <w:rPr>
            <w:rStyle w:val="Hyperlink"/>
          </w:rPr>
          <w:t>https://www.fdic.gov/resources/supervision-and-examinations/examination-policies-manual/section2-1.pdf</w:t>
        </w:r>
      </w:hyperlink>
    </w:p>
    <w:sectPr w:rsidR="00494805" w:rsidSect="008956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4898"/>
    <w:multiLevelType w:val="hybridMultilevel"/>
    <w:tmpl w:val="82FE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5F68"/>
    <w:multiLevelType w:val="hybridMultilevel"/>
    <w:tmpl w:val="E99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250BC"/>
    <w:multiLevelType w:val="multilevel"/>
    <w:tmpl w:val="0E0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383517">
    <w:abstractNumId w:val="0"/>
  </w:num>
  <w:num w:numId="2" w16cid:durableId="501554502">
    <w:abstractNumId w:val="2"/>
  </w:num>
  <w:num w:numId="3" w16cid:durableId="93181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05"/>
    <w:rsid w:val="001418DD"/>
    <w:rsid w:val="00145959"/>
    <w:rsid w:val="001A282E"/>
    <w:rsid w:val="001A7618"/>
    <w:rsid w:val="0025581A"/>
    <w:rsid w:val="002834ED"/>
    <w:rsid w:val="00285E80"/>
    <w:rsid w:val="002F771F"/>
    <w:rsid w:val="003133D0"/>
    <w:rsid w:val="0032073D"/>
    <w:rsid w:val="003500BE"/>
    <w:rsid w:val="00384B7C"/>
    <w:rsid w:val="00392065"/>
    <w:rsid w:val="003A3E53"/>
    <w:rsid w:val="0040472C"/>
    <w:rsid w:val="0041416A"/>
    <w:rsid w:val="00494805"/>
    <w:rsid w:val="004B5409"/>
    <w:rsid w:val="005A3664"/>
    <w:rsid w:val="00674978"/>
    <w:rsid w:val="00700162"/>
    <w:rsid w:val="0072099B"/>
    <w:rsid w:val="0083277A"/>
    <w:rsid w:val="0089561A"/>
    <w:rsid w:val="008F7EE8"/>
    <w:rsid w:val="009B02B9"/>
    <w:rsid w:val="009B35E3"/>
    <w:rsid w:val="009B6660"/>
    <w:rsid w:val="00A855A6"/>
    <w:rsid w:val="00AA0F6C"/>
    <w:rsid w:val="00AB2784"/>
    <w:rsid w:val="00AD1635"/>
    <w:rsid w:val="00B544E9"/>
    <w:rsid w:val="00BB3B37"/>
    <w:rsid w:val="00C26DED"/>
    <w:rsid w:val="00D57B76"/>
    <w:rsid w:val="00E66874"/>
    <w:rsid w:val="00E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B2BA4"/>
  <w15:chartTrackingRefBased/>
  <w15:docId w15:val="{28DE6DAD-025E-E14F-ACDD-BCF08F13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dic.gov/resources/supervision-and-examinations/examination-policies-manual/section2-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career-map/sell-side/risk-management/major-risks-for-banks/#:~:text=The%20major%20risks%20faced%20by,%2C%20market%2C%20and%20liquidity%20risks" TargetMode="External"/><Relationship Id="rId5" Type="http://schemas.openxmlformats.org/officeDocument/2006/relationships/hyperlink" Target="https://www.thenorthernecho.co.uk/news/15532030.pictures-ten-years-run-northern-rock/#gallery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Johnson</dc:creator>
  <cp:keywords/>
  <dc:description/>
  <cp:lastModifiedBy>Mark Johnson</cp:lastModifiedBy>
  <cp:revision>28</cp:revision>
  <cp:lastPrinted>2024-12-12T16:46:00Z</cp:lastPrinted>
  <dcterms:created xsi:type="dcterms:W3CDTF">2024-12-11T21:31:00Z</dcterms:created>
  <dcterms:modified xsi:type="dcterms:W3CDTF">2024-12-12T19:11:00Z</dcterms:modified>
</cp:coreProperties>
</file>