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Kata Submission Priorities</w:t>
      </w:r>
    </w:p>
    <w:p>
      <w:pPr>
        <w:spacing w:after="240"/>
      </w:pPr>
      <w:r>
        <w:rPr>
          <w:i/>
          <w:sz w:val="24"/>
        </w:rPr>
        <w:t>How to give Von Digitalis Estates a strong semi-final submission</w:t>
      </w:r>
    </w:p>
    <w:p>
      <w:r>
        <w:rPr>
          <w:b/>
        </w:rPr>
        <w:t xml:space="preserve">Recommendation. </w:t>
      </w:r>
      <w:r>
        <w:t>Submit a concise, evidence-led architecture proposal: make the business outcomes, trade-offs, AI boundaries and delivery path immediately visible. The judges are looking for architectural thinking and communication, not the largest document set.</w:t>
      </w:r>
    </w:p>
    <w:p>
      <w:pPr>
        <w:pStyle w:val="Heading1"/>
      </w:pPr>
      <w:r>
        <w:t>What the judges are signalling</w:t>
      </w:r>
    </w:p>
    <w:p>
      <w:pPr>
        <w:pStyle w:val="ListBullet"/>
        <w:spacing w:after="60"/>
      </w:pPr>
      <w:r>
        <w:t>Clear thought and clear communication: why a decision was made, not merely what was selected.</w:t>
      </w:r>
    </w:p>
    <w:p>
      <w:pPr>
        <w:pStyle w:val="ListBullet"/>
        <w:spacing w:after="60"/>
      </w:pPr>
      <w:r>
        <w:t>Business-outcome focus and deliberate prioritisation.</w:t>
      </w:r>
    </w:p>
    <w:p>
      <w:pPr>
        <w:pStyle w:val="ListBullet"/>
        <w:spacing w:after="60"/>
      </w:pPr>
      <w:r>
        <w:t>Strong ADRs with alternatives and consequences.</w:t>
      </w:r>
    </w:p>
    <w:p>
      <w:pPr>
        <w:pStyle w:val="ListBullet"/>
        <w:spacing w:after="60"/>
      </w:pPr>
      <w:r>
        <w:t>AI that creates real value, can tolerate vendor or model change, and is validated and monitored.</w:t>
      </w:r>
    </w:p>
    <w:p>
      <w:pPr>
        <w:pStyle w:val="ListBullet"/>
        <w:spacing w:after="60"/>
      </w:pPr>
      <w:r>
        <w:t>The appropriate level of detail: enough to establish credibility without AI-generated volume.</w:t>
      </w:r>
    </w:p>
    <w:p>
      <w:pPr>
        <w:pStyle w:val="Heading1"/>
      </w:pPr>
      <w:r>
        <w:t>Prioritised submission checklist</w:t>
      </w:r>
    </w:p>
    <w:p>
      <w:pPr>
        <w:pStyle w:val="Heading2"/>
      </w:pPr>
      <w:r>
        <w:t>1. Executive narrative</w:t>
      </w:r>
    </w:p>
    <w:p>
      <w:pPr>
        <w:spacing w:after="80"/>
      </w:pPr>
      <w:r>
        <w:rPr>
          <w:b/>
        </w:rPr>
        <w:t xml:space="preserve">Why it matters: </w:t>
      </w:r>
      <w:r>
        <w:t>It establishes the decision frame before a judge sees a technology choice.</w:t>
      </w:r>
    </w:p>
    <w:p>
      <w:pPr>
        <w:pStyle w:val="ListBullet"/>
        <w:spacing w:after="60"/>
      </w:pPr>
      <w:r>
        <w:t>Two to three pages: business outcomes, constraints, assumptions and the architecture thesis.</w:t>
      </w:r>
    </w:p>
    <w:p>
      <w:pPr>
        <w:pStyle w:val="ListBullet"/>
        <w:spacing w:after="60"/>
      </w:pPr>
      <w:r>
        <w:t>For the estate: profitable growth, safer operations, animal welfare, ride reliability and scale from 5,000 to 15,000 visitors per day.</w:t>
      </w:r>
    </w:p>
    <w:p>
      <w:pPr>
        <w:pStyle w:val="ListBullet"/>
        <w:spacing w:after="60"/>
      </w:pPr>
      <w:r>
        <w:t>State the three to five decisions that most affect the plan and the trade-offs accepted.</w:t>
      </w:r>
    </w:p>
    <w:p>
      <w:pPr>
        <w:pStyle w:val="Heading2"/>
      </w:pPr>
      <w:r>
        <w:t>2. Small, coherent diagram set</w:t>
      </w:r>
    </w:p>
    <w:p>
      <w:pPr>
        <w:spacing w:after="80"/>
      </w:pPr>
      <w:r>
        <w:rPr>
          <w:b/>
        </w:rPr>
        <w:t xml:space="preserve">Why it matters: </w:t>
      </w:r>
      <w:r>
        <w:t>The diagrams must let business and technical judges navigate the solution in minutes.</w:t>
      </w:r>
    </w:p>
    <w:p>
      <w:pPr>
        <w:pStyle w:val="ListBullet"/>
        <w:spacing w:after="60"/>
      </w:pPr>
      <w:r>
        <w:t>C4 context: visitors, operations staff, vets, maintenance crews, suppliers, payment services, estate devices and external data.</w:t>
      </w:r>
    </w:p>
    <w:p>
      <w:pPr>
        <w:pStyle w:val="ListBullet"/>
        <w:spacing w:after="60"/>
      </w:pPr>
      <w:r>
        <w:t>Container/system diagram: ticketing and family passes; visitor and queue telemetry; rides; animal-care records; event/data platform; AI services.</w:t>
      </w:r>
    </w:p>
    <w:p>
      <w:pPr>
        <w:pStyle w:val="ListBullet"/>
        <w:spacing w:after="60"/>
      </w:pPr>
      <w:r>
        <w:t>One or two critical journeys: ride anomaly to maintenance intervention, and animal-health alert to accountable human veterinary action.</w:t>
      </w:r>
    </w:p>
    <w:p>
      <w:pPr>
        <w:pStyle w:val="Heading2"/>
      </w:pPr>
      <w:r>
        <w:t>3. Five to ten decision-grade ADRs</w:t>
      </w:r>
    </w:p>
    <w:p>
      <w:pPr>
        <w:spacing w:after="80"/>
      </w:pPr>
      <w:r>
        <w:rPr>
          <w:b/>
        </w:rPr>
        <w:t xml:space="preserve">Why it matters: </w:t>
      </w:r>
      <w:r>
        <w:t>ADRs are the clearest evidence of reasoning and trade-offs.</w:t>
      </w:r>
    </w:p>
    <w:p>
      <w:pPr>
        <w:pStyle w:val="ListBullet"/>
        <w:spacing w:after="60"/>
      </w:pPr>
      <w:r>
        <w:t>Each ADR: context, options, choice, consequences, rejected alternative, and how it will be enforced or revisited.</w:t>
      </w:r>
    </w:p>
    <w:p>
      <w:pPr>
        <w:pStyle w:val="ListBullet"/>
        <w:spacing w:after="60"/>
      </w:pPr>
      <w:r>
        <w:t>Cover boundaries, event-driven versus synchronous flows, device ingestion, data ownership, safety, privacy, resilience and build-versus-buy.</w:t>
      </w:r>
    </w:p>
    <w:p>
      <w:pPr>
        <w:pStyle w:val="ListBullet"/>
        <w:spacing w:after="60"/>
      </w:pPr>
      <w:r>
        <w:t>Make every major diagram element traceable to a requirement and ADR.</w:t>
      </w:r>
    </w:p>
    <w:p>
      <w:pPr>
        <w:pStyle w:val="Heading2"/>
      </w:pPr>
      <w:r>
        <w:t>4. AI design and governance</w:t>
      </w:r>
    </w:p>
    <w:p>
      <w:pPr>
        <w:spacing w:after="80"/>
      </w:pPr>
      <w:r>
        <w:rPr>
          <w:b/>
        </w:rPr>
        <w:t xml:space="preserve">Why it matters: </w:t>
      </w:r>
      <w:r>
        <w:t>AI must be useful, controllable and credible in a safety-sensitive physical estate.</w:t>
      </w:r>
    </w:p>
    <w:p>
      <w:pPr>
        <w:pStyle w:val="ListBullet"/>
        <w:spacing w:after="60"/>
      </w:pPr>
      <w:r>
        <w:t>Specify value cases: queue and demand prediction, ride maintenance prediction, visitor recommendations, and animal-health anomaly detection.</w:t>
      </w:r>
    </w:p>
    <w:p>
      <w:pPr>
        <w:pStyle w:val="ListBullet"/>
        <w:spacing w:after="60"/>
      </w:pPr>
      <w:r>
        <w:t>State the hard boundaries: generative AI is advisory only; it must not autonomously treat animals, override safety controls or make accountable operational decisions.</w:t>
      </w:r>
    </w:p>
    <w:p>
      <w:pPr>
        <w:pStyle w:val="ListBullet"/>
        <w:spacing w:after="60"/>
      </w:pPr>
      <w:r>
        <w:t>Describe evaluation, human review, monitoring and drift detection, fallback behaviour, audit trails and model/provider replacement.</w:t>
      </w:r>
    </w:p>
    <w:p>
      <w:pPr>
        <w:pStyle w:val="Heading2"/>
      </w:pPr>
      <w:r>
        <w:t>5. Requirement and outcome traceability</w:t>
      </w:r>
    </w:p>
    <w:p>
      <w:pPr>
        <w:spacing w:after="80"/>
      </w:pPr>
      <w:r>
        <w:rPr>
          <w:b/>
        </w:rPr>
        <w:t xml:space="preserve">Why it matters: </w:t>
      </w:r>
      <w:r>
        <w:t>This prevents a technically attractive proposal from feeling disconnected from the brief.</w:t>
      </w:r>
    </w:p>
    <w:p>
      <w:pPr>
        <w:pStyle w:val="ListBullet"/>
        <w:spacing w:after="60"/>
      </w:pPr>
      <w:r>
        <w:t>Use one compact matrix: requirement, capability, architecture element, ADR and measure of success.</w:t>
      </w:r>
    </w:p>
    <w:p>
      <w:pPr>
        <w:pStyle w:val="ListBullet"/>
        <w:spacing w:after="60"/>
      </w:pPr>
      <w:r>
        <w:t>Include functional requirements, quality attributes, assumptions and explicit constraints.</w:t>
      </w:r>
    </w:p>
    <w:p>
      <w:pPr>
        <w:pStyle w:val="Heading2"/>
      </w:pPr>
      <w:r>
        <w:t>6. Phased delivery roadmap</w:t>
      </w:r>
    </w:p>
    <w:p>
      <w:pPr>
        <w:spacing w:after="80"/>
      </w:pPr>
      <w:r>
        <w:rPr>
          <w:b/>
        </w:rPr>
        <w:t xml:space="preserve">Why it matters: </w:t>
      </w:r>
      <w:r>
        <w:t>A credible sequence shows the proposal can create value before its most ambitious capabilities arrive.</w:t>
      </w:r>
    </w:p>
    <w:p>
      <w:pPr>
        <w:pStyle w:val="ListBullet"/>
        <w:spacing w:after="60"/>
      </w:pPr>
      <w:r>
        <w:t>Phase 1: ticketing/family passes, basic operational telemetry, observability and data foundation.</w:t>
      </w:r>
    </w:p>
    <w:p>
      <w:pPr>
        <w:pStyle w:val="ListBullet"/>
        <w:spacing w:after="60"/>
      </w:pPr>
      <w:r>
        <w:t>Phase 2: ride maintenance and animal-care monitoring, with human-led response workflows.</w:t>
      </w:r>
    </w:p>
    <w:p>
      <w:pPr>
        <w:pStyle w:val="ListBullet"/>
        <w:spacing w:after="60"/>
      </w:pPr>
      <w:r>
        <w:t>Phase 3: demand management, personalisation and carefully governed conversational AI.</w:t>
      </w:r>
    </w:p>
    <w:p>
      <w:pPr>
        <w:pStyle w:val="ListBullet"/>
        <w:spacing w:after="60"/>
      </w:pPr>
      <w:r>
        <w:t>Show dependencies, indicative cost, risk and expected benefit by phase.</w:t>
      </w:r>
    </w:p>
    <w:p>
      <w:pPr>
        <w:pStyle w:val="Heading2"/>
      </w:pPr>
      <w:r>
        <w:t>7. Operational proof</w:t>
      </w:r>
    </w:p>
    <w:p>
      <w:pPr>
        <w:spacing w:after="80"/>
      </w:pPr>
      <w:r>
        <w:rPr>
          <w:b/>
        </w:rPr>
        <w:t xml:space="preserve">Why it matters: </w:t>
      </w:r>
      <w:r>
        <w:t>Production readiness is demonstrated by measurable, owned controls rather than a long technology list.</w:t>
      </w:r>
    </w:p>
    <w:p>
      <w:pPr>
        <w:pStyle w:val="ListBullet"/>
        <w:spacing w:after="60"/>
      </w:pPr>
      <w:r>
        <w:t>Set fitness functions: ticketing availability, queue-time reduction, maintenance alert lead time, animal-health alert response, repeat visits and AI quality.</w:t>
      </w:r>
    </w:p>
    <w:p>
      <w:pPr>
        <w:pStyle w:val="ListBullet"/>
        <w:spacing w:after="60"/>
      </w:pPr>
      <w:r>
        <w:t>Cover device identity, privacy and retention, security, observability, incident response and testing.</w:t>
      </w:r>
    </w:p>
    <w:p>
      <w:pPr>
        <w:pStyle w:val="Heading2"/>
      </w:pPr>
      <w:r>
        <w:t>8. Reviewer experience</w:t>
      </w:r>
    </w:p>
    <w:p>
      <w:pPr>
        <w:spacing w:after="80"/>
      </w:pPr>
      <w:r>
        <w:rPr>
          <w:b/>
        </w:rPr>
        <w:t xml:space="preserve">Why it matters: </w:t>
      </w:r>
      <w:r>
        <w:t>A well-structured repository and presentation allow the quality of the thinking to be seen.</w:t>
      </w:r>
    </w:p>
    <w:p>
      <w:pPr>
        <w:pStyle w:val="ListBullet"/>
        <w:spacing w:after="60"/>
      </w:pPr>
      <w:r>
        <w:t>Use a short README: problem, outcomes, diagrams, ADRs and roadmap.</w:t>
      </w:r>
    </w:p>
    <w:p>
      <w:pPr>
        <w:pStyle w:val="ListBullet"/>
        <w:spacing w:after="60"/>
      </w:pPr>
      <w:r>
        <w:t>Keep a glossary and link diagrams directly to the decisions they illustrate.</w:t>
      </w:r>
    </w:p>
    <w:p>
      <w:pPr>
        <w:pStyle w:val="ListBullet"/>
        <w:spacing w:after="60"/>
      </w:pPr>
      <w:r>
        <w:t>Tell one business story in the presentation rather than narrating every component.</w:t>
      </w:r>
    </w:p>
    <w:p>
      <w:r>
        <w:br w:type="page"/>
      </w:r>
    </w:p>
    <w:p>
      <w:pPr>
        <w:pStyle w:val="Heading1"/>
      </w:pPr>
      <w:r>
        <w:t>What the Q4 2025 finalists supplied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Finalist</w:t>
            </w:r>
          </w:p>
        </w:tc>
        <w:tc>
          <w:tcPr>
            <w:tcW w:type="dxa" w:w="3384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Evidence supplied</w:t>
            </w:r>
          </w:p>
        </w:tc>
        <w:tc>
          <w:tcPr>
            <w:tcW w:type="dxa" w:w="5256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Lesson to adopt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Five Nines</w:t>
              <w:br/>
              <w:t>1st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End-to-end documentation; requirements and capability mapping; ADRs; high-level designs; risk and mitigation; phased plan; explicit AI, IoT, streaming and data-platform design.</w:t>
            </w:r>
          </w:p>
        </w:tc>
        <w:tc>
          <w:tcPr>
            <w:tcW w:type="dxa" w:w="52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Trace requirements to capabilities, ADRs and diagrams. Make the architecture an argument for business outcomes, not an inventory of cloud services.</w:t>
            </w:r>
          </w:p>
        </w:tc>
      </w:tr>
      <w:tr>
        <w:tc>
          <w:tcPr>
            <w:tcW w:type="dxa" w:w="1728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Nimrods</w:t>
              <w:br/>
              <w:t>2nd</w:t>
            </w:r>
          </w:p>
        </w:tc>
        <w:tc>
          <w:tcPr>
            <w:tcW w:type="dxa" w:w="3384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C4 context plus separate C2/C3 diagrams for reservation, operations and data intelligence; value-stream systems; ADRs; ML forecasting, mathematical optimisation and agentic workflows; roadmap with costs.</w:t>
            </w:r>
          </w:p>
        </w:tc>
        <w:tc>
          <w:tcPr>
            <w:tcW w:type="dxa" w:w="5256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progressive diagrams and organise the solution by the value streams people recognise, such as visitor journeys, estate operations and data intelligence.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Kata-na</w:t>
              <w:br/>
              <w:t>3rd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C1/C2/C3 views; 16 ADRs; threat model; testing; fitness functions; cost analysis; phased delivery; complete MLOps pipeline and explicit limits on generative AI in financial or safety-critical areas.</w:t>
            </w:r>
          </w:p>
        </w:tc>
        <w:tc>
          <w:tcPr>
            <w:tcW w:type="dxa" w:w="52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Pair AI ambition with governance, measurable outcomes and a clear prohibition on unsafe autonomous decisions.</w:t>
            </w:r>
          </w:p>
        </w:tc>
      </w:tr>
    </w:tbl>
    <w:p>
      <w:pPr>
        <w:pStyle w:val="Heading1"/>
      </w:pPr>
      <w:r>
        <w:t>The common winning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4997"/>
            <w:shd w:fill="17365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Business problem to architecture traceability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Shows prioritisation rather than solutioneering.</w:t>
            </w:r>
          </w:p>
        </w:tc>
      </w:tr>
      <w:tr>
        <w:tc>
          <w:tcPr>
            <w:tcW w:type="dxa" w:w="4997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Progressive C4-style diagrams</w:t>
            </w:r>
          </w:p>
        </w:tc>
        <w:tc>
          <w:tcPr>
            <w:tcW w:type="dxa" w:w="4997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Allows business and technical reviewers to enter at the right level.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ADRs with alternatives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Makes architectural judgement and trade-offs inspectable.</w:t>
            </w:r>
          </w:p>
        </w:tc>
      </w:tr>
      <w:tr>
        <w:tc>
          <w:tcPr>
            <w:tcW w:type="dxa" w:w="4997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Operable AI lifecycle</w:t>
            </w:r>
          </w:p>
        </w:tc>
        <w:tc>
          <w:tcPr>
            <w:tcW w:type="dxa" w:w="4997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Shows models can be evaluated, monitored, governed and changed.</w:t>
            </w:r>
          </w:p>
        </w:tc>
      </w:tr>
      <w:tr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Phased value with costs and metrics</w:t>
            </w:r>
          </w:p>
        </w:tc>
        <w:tc>
          <w:tcPr>
            <w:tcW w:type="dxa" w:w="49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Makes the architecture credible as an investment and delivery plan.</w:t>
            </w:r>
          </w:p>
        </w:tc>
      </w:tr>
      <w:tr>
        <w:tc>
          <w:tcPr>
            <w:tcW w:type="dxa" w:w="4997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Security, reliability and governance</w:t>
            </w:r>
          </w:p>
        </w:tc>
        <w:tc>
          <w:tcPr>
            <w:tcW w:type="dxa" w:w="4997"/>
            <w:shd w:fill="F4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Demonstrates responsibility for a production physical-world system.</w:t>
            </w:r>
          </w:p>
        </w:tc>
      </w:tr>
    </w:tbl>
    <w:p>
      <w:pPr>
        <w:pStyle w:val="Heading1"/>
      </w:pPr>
      <w:r>
        <w:t>Minimum viable semi-final package</w:t>
      </w:r>
    </w:p>
    <w:p>
      <w:pPr>
        <w:pStyle w:val="ListBullet"/>
        <w:spacing w:after="60"/>
      </w:pPr>
      <w:r>
        <w:t>Executive narrative (2-3 pages).</w:t>
      </w:r>
    </w:p>
    <w:p>
      <w:pPr>
        <w:pStyle w:val="ListBullet"/>
        <w:spacing w:after="60"/>
      </w:pPr>
      <w:r>
        <w:t>Context and container diagrams, plus two critical journey diagrams.</w:t>
      </w:r>
    </w:p>
    <w:p>
      <w:pPr>
        <w:pStyle w:val="ListBullet"/>
        <w:spacing w:after="60"/>
      </w:pPr>
      <w:r>
        <w:t>Five to ten ADRs and a compact requirement-to-outcome matrix.</w:t>
      </w:r>
    </w:p>
    <w:p>
      <w:pPr>
        <w:pStyle w:val="ListBullet"/>
        <w:spacing w:after="60"/>
      </w:pPr>
      <w:r>
        <w:t>AI governance and safety section, with evaluation and fallback design.</w:t>
      </w:r>
    </w:p>
    <w:p>
      <w:pPr>
        <w:pStyle w:val="ListBullet"/>
        <w:spacing w:after="60"/>
      </w:pPr>
      <w:r>
        <w:t>Phased roadmap, risks, costs and measurable fitness functions.</w:t>
      </w:r>
    </w:p>
    <w:p>
      <w:pPr>
        <w:pStyle w:val="ListBullet"/>
        <w:spacing w:after="60"/>
      </w:pPr>
      <w:r>
        <w:t>Concise repository README and a presentation built around business outcomes.</w:t>
      </w:r>
    </w:p>
    <w:p>
      <w:pPr>
        <w:pStyle w:val="Heading1"/>
      </w:pPr>
      <w:r>
        <w:t>Sources reviewed</w:t>
      </w:r>
    </w:p>
    <w:p>
      <w:pPr>
        <w:pStyle w:val="ListBullet"/>
      </w:pPr>
      <w:r>
        <w:t>Architecture Kata Intro Judging Rubric Summary.docx (local rubric summary)</w:t>
      </w:r>
    </w:p>
    <w:p>
      <w:pPr>
        <w:pStyle w:val="ListBullet"/>
      </w:pPr>
      <w:r>
        <w:t>Five Nines Q4 2025 finalist: https://github.com/Oleggio/five-nines-arch-katas</w:t>
      </w:r>
    </w:p>
    <w:p>
      <w:pPr>
        <w:pStyle w:val="ListBullet"/>
      </w:pPr>
      <w:r>
        <w:t>Nimrods Q4 2025 finalist: https://github.com/jonmanahan/Architectural-Katas-Q4-2025-AI-Enabled-Architecture-Team-Nimrod</w:t>
      </w:r>
    </w:p>
    <w:p>
      <w:pPr>
        <w:pStyle w:val="ListBullet"/>
      </w:pPr>
      <w:r>
        <w:t>Kata-na Q4 2025 finalist: https://github.com/TheKataLog/Kata-na</w:t>
      </w:r>
    </w:p>
    <w:sectPr w:rsidR="00FC693F" w:rsidRPr="0006063C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