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2A9D8F"/>
        </w:rPr>
        <w:t>VON DIGITALIS ESTATES</w:t>
      </w:r>
    </w:p>
    <w:p>
      <w:pPr>
        <w:pStyle w:val="Title"/>
      </w:pPr>
      <w:r>
        <w:t>Crowd &amp; Site Operations</w:t>
      </w:r>
    </w:p>
    <w:p>
      <w:pPr>
        <w:pStyle w:val="Subtitle"/>
      </w:pPr>
      <w:r>
        <w:t>Architecture Kata Capability Submission</w:t>
      </w:r>
    </w:p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2A9D8F"/>
              </w:rPr>
              <w:t xml:space="preserve">ARCHITECTURE THESIS  </w:t>
            </w:r>
            <w:r>
              <w:t>A resilient event-driven platform turns distributed occupancy, throughput and operational signals into reliable queue estimates, staff tasks and park-wide awareness. AI forecasts demand and recommends responses; duty managers retain control.</w:t>
            </w:r>
          </w:p>
        </w:tc>
      </w:tr>
    </w:tbl>
    <w:p>
      <w:pPr>
        <w:spacing w:after="20"/>
      </w:pPr>
    </w:p>
    <w:p>
      <w:r>
        <w:br/>
      </w:r>
    </w:p>
    <w:p>
      <w:pPr>
        <w:pStyle w:val="Heading2"/>
      </w:pPr>
      <w:r>
        <w:t>Submission focus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Outcome</w:t>
            </w:r>
          </w:p>
        </w:tc>
        <w:tc>
          <w:tcPr>
            <w:tcW w:type="dxa" w:w="7056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Design response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8"/>
              </w:rPr>
              <w:t>Improve visitor flow</w:t>
            </w:r>
          </w:p>
        </w:tc>
        <w:tc>
          <w:tcPr>
            <w:tcW w:type="dxa" w:w="7056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8"/>
              </w:rPr>
              <w:t>Near-real-time occupancy, queue estimates and approved guidance.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8"/>
              </w:rPr>
              <w:t>Understand popularity</w:t>
            </w:r>
          </w:p>
        </w:tc>
        <w:tc>
          <w:tcPr>
            <w:tcW w:type="dxa" w:w="7056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8"/>
              </w:rPr>
              <w:t>Comparable attraction and zone utilisation analytics.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8"/>
              </w:rPr>
              <w:t>Coordinate operations</w:t>
            </w:r>
          </w:p>
        </w:tc>
        <w:tc>
          <w:tcPr>
            <w:tcW w:type="dxa" w:w="7056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8"/>
              </w:rPr>
              <w:t>Shared incidents, tasks and staffing signals.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8"/>
              </w:rPr>
              <w:t>Tolerate connectivity loss</w:t>
            </w:r>
          </w:p>
        </w:tc>
        <w:tc>
          <w:tcPr>
            <w:tcW w:type="dxa" w:w="7056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8"/>
              </w:rPr>
              <w:t>Local collection, buffering and replay through zoned gateways.</w:t>
            </w:r>
          </w:p>
        </w:tc>
      </w:tr>
    </w:tbl>
    <w:p>
      <w:pPr>
        <w:spacing w:after="20"/>
      </w:pPr>
    </w:p>
    <w:p>
      <w:pPr>
        <w:pStyle w:val="Heading3"/>
      </w:pPr>
      <w:r>
        <w:t>Scope note</w:t>
      </w:r>
    </w:p>
    <w:p>
      <w:r>
        <w:t>The brief asks the estate to understand how popular different parts of the park are and permits MQTT-capable devices despite patchy Wi-Fi. Queue sensing and operational targets below are proposed design choices.</w:t>
      </w:r>
    </w:p>
    <w:p>
      <w:r>
        <w:br w:type="page"/>
      </w:r>
    </w:p>
    <w:p>
      <w:pPr>
        <w:pStyle w:val="Heading1"/>
      </w:pPr>
      <w:r>
        <w:t>1. Business outcome and design principles</w:t>
      </w:r>
    </w:p>
    <w:p>
      <w:r>
        <w:t>Crowd pressure and poor visibility of site conditions reduce visitor satisfaction and complicate staffing. The capability provides a consistent view of occupancy, queues, attraction availability and operational incidents, while continuing to collect observations through connectivity disruption.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2A9D8F"/>
              </w:rPr>
              <w:t xml:space="preserve">CORE BOUNDARY  </w:t>
            </w:r>
            <w:r>
              <w:t>Edge devices observe occupancy and throughput. The Crowd &amp; Site Operations Platform owns queue estimates, operational state, response workflows and published site guidance.</w:t>
            </w:r>
          </w:p>
        </w:tc>
      </w:tr>
    </w:tbl>
    <w:p>
      <w:pPr>
        <w:spacing w:after="20"/>
      </w:pPr>
    </w:p>
    <w:p>
      <w:pPr>
        <w:pStyle w:val="Heading2"/>
      </w:pPr>
      <w:r>
        <w:t>Design principles</w:t>
      </w:r>
    </w:p>
    <w:p>
      <w:pPr>
        <w:pStyle w:val="ListBullet"/>
        <w:spacing w:after="40"/>
      </w:pPr>
      <w:r>
        <w:t>Privacy by design: prefer anonymous counts over identity tracking.</w:t>
      </w:r>
    </w:p>
    <w:p>
      <w:pPr>
        <w:pStyle w:val="ListBullet"/>
        <w:spacing w:after="40"/>
      </w:pPr>
      <w:r>
        <w:t>Operational accountability: duty managers approve consequential responses.</w:t>
      </w:r>
    </w:p>
    <w:p>
      <w:pPr>
        <w:pStyle w:val="ListBullet"/>
        <w:spacing w:after="40"/>
      </w:pPr>
      <w:r>
        <w:t>Edge resilience: temporary network loss must not erase observations.</w:t>
      </w:r>
    </w:p>
    <w:p>
      <w:pPr>
        <w:pStyle w:val="ListBullet"/>
        <w:spacing w:after="40"/>
      </w:pPr>
      <w:r>
        <w:t>Event-driven integration: ride, animal and visitor capabilities exchange curated events.</w:t>
      </w:r>
    </w:p>
    <w:p>
      <w:pPr>
        <w:pStyle w:val="ListBullet"/>
        <w:spacing w:after="40"/>
      </w:pPr>
      <w:r>
        <w:t>AI remains advisory and falls back to deterministic rules and operator judgement.</w:t>
      </w:r>
    </w:p>
    <w:p>
      <w:pPr>
        <w:pStyle w:val="Heading2"/>
      </w:pPr>
      <w:r>
        <w:t>Capability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92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Capability</w:t>
            </w:r>
          </w:p>
        </w:tc>
        <w:tc>
          <w:tcPr>
            <w:tcW w:type="dxa" w:w="7344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Responsibilities</w:t>
            </w:r>
          </w:p>
        </w:tc>
      </w:tr>
      <w:t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7"/>
              </w:rPr>
              <w:t>Occupancy and queue estimation</w:t>
            </w:r>
          </w:p>
        </w:tc>
        <w:tc>
          <w:tcPr>
            <w:tcW w:type="dxa" w:w="7344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7"/>
              </w:rPr>
              <w:t>Ingest counters and sensors; calculate quality-rated wait-time estimates.</w:t>
            </w:r>
          </w:p>
        </w:tc>
      </w:tr>
      <w:t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7"/>
              </w:rPr>
              <w:t>Site status management</w:t>
            </w:r>
          </w:p>
        </w:tc>
        <w:tc>
          <w:tcPr>
            <w:tcW w:type="dxa" w:w="7344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7"/>
              </w:rPr>
              <w:t>Track attraction, zone and facility availability and restrictions.</w:t>
            </w:r>
          </w:p>
        </w:tc>
      </w:tr>
      <w:t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7"/>
              </w:rPr>
              <w:t>Operations workflow</w:t>
            </w:r>
          </w:p>
        </w:tc>
        <w:tc>
          <w:tcPr>
            <w:tcW w:type="dxa" w:w="7344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7"/>
              </w:rPr>
              <w:t>Create, assign, escalate and close incidents and staff tasks.</w:t>
            </w:r>
          </w:p>
        </w:tc>
      </w:tr>
      <w:t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7"/>
              </w:rPr>
              <w:t>Demand forecasting</w:t>
            </w:r>
          </w:p>
        </w:tc>
        <w:tc>
          <w:tcPr>
            <w:tcW w:type="dxa" w:w="7344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7"/>
              </w:rPr>
              <w:t>Forecast zone pressure and resource needs with monitored models.</w:t>
            </w:r>
          </w:p>
        </w:tc>
      </w:tr>
      <w:t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7"/>
              </w:rPr>
              <w:t>Public guidance</w:t>
            </w:r>
          </w:p>
        </w:tc>
        <w:tc>
          <w:tcPr>
            <w:tcW w:type="dxa" w:w="7344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7"/>
              </w:rPr>
              <w:t>Publish approved queue, closure and alternative-attraction messages.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2. C4 Level 2: container architecture</w:t>
      </w:r>
    </w:p>
    <w:p>
      <w:r>
        <w:drawing>
          <wp:inline xmlns:a="http://schemas.openxmlformats.org/drawingml/2006/main" xmlns:pic="http://schemas.openxmlformats.org/drawingml/2006/picture">
            <wp:extent cx="6400800" cy="33210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wd_c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21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Figure 1. C2 containers for crowd sensing, queue estimation, operations workflow and approved guidance.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2A9D8F"/>
              </w:rPr>
              <w:t xml:space="preserve">ARCHITECTURAL INTENT  </w:t>
            </w:r>
            <w:r>
              <w:t>Separates raw observations, estimated queues, operational authority and public guidance.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C4 Level 3: critical service components</w:t>
      </w:r>
    </w:p>
    <w:p>
      <w:r>
        <w:drawing>
          <wp:inline xmlns:a="http://schemas.openxmlformats.org/drawingml/2006/main" xmlns:pic="http://schemas.openxmlformats.org/drawingml/2006/picture">
            <wp:extent cx="6400800" cy="33210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wd_c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21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Figure 2. C3 components within the Queue Estimation Service.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2A9D8F"/>
              </w:rPr>
              <w:t xml:space="preserve">ARCHITECTURAL INTENT  </w:t>
            </w:r>
            <w:r>
              <w:t>Makes count validation, estimation and confidence policy independently testable.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4. Deployment and resilience view</w:t>
      </w:r>
    </w:p>
    <w:p>
      <w:r>
        <w:drawing>
          <wp:inline xmlns:a="http://schemas.openxmlformats.org/drawingml/2006/main" xmlns:pic="http://schemas.openxmlformats.org/drawingml/2006/picture">
            <wp:extent cx="6400800" cy="33210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wd_deplo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21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Figure 3. Zoned collection and buffering for anonymous site observations.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2A9D8F"/>
              </w:rPr>
              <w:t xml:space="preserve">ARCHITECTURAL INTENT  </w:t>
            </w:r>
            <w:r>
              <w:t>Supports the brief’s patchy-connectivity constraint without presenting stale observations as current.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5. Dynamic view: critical journey</w:t>
      </w:r>
    </w:p>
    <w:p>
      <w:r>
        <w:drawing>
          <wp:inline xmlns:a="http://schemas.openxmlformats.org/drawingml/2006/main" xmlns:pic="http://schemas.openxmlformats.org/drawingml/2006/picture">
            <wp:extent cx="6400800" cy="33210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wd_journe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21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Figure 4. Crowd pressure progresses from observation to approved operational response.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2A9D8F"/>
              </w:rPr>
              <w:t xml:space="preserve">ARCHITECTURAL INTENT  </w:t>
            </w:r>
            <w:r>
              <w:t>Combines deterministic estimates and advisory forecasting with accountable duty-manager decisions.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6. AI strategy and guardrails</w:t>
      </w:r>
    </w:p>
    <w:p>
      <w:r>
        <w:t>AI is used for bounded demand forecasting and recommendation ranking, not for emergency command or autonomous crowd control.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80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Business need</w:t>
            </w:r>
          </w:p>
        </w:tc>
        <w:tc>
          <w:tcPr>
            <w:tcW w:type="dxa" w:w="4032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AI capability</w:t>
            </w:r>
          </w:p>
        </w:tc>
        <w:tc>
          <w:tcPr>
            <w:tcW w:type="dxa" w:w="3024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Required human control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Anticipate pressure</w:t>
            </w:r>
          </w:p>
        </w:tc>
        <w:tc>
          <w:tcPr>
            <w:tcW w:type="dxa" w:w="4032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Short-horizon demand forecast by zone and attraction.</w:t>
            </w:r>
          </w:p>
        </w:tc>
        <w:tc>
          <w:tcPr>
            <w:tcW w:type="dxa" w:w="3024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Duty manager approves response.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6"/>
              </w:rPr>
              <w:t>Improve alternatives</w:t>
            </w:r>
          </w:p>
        </w:tc>
        <w:tc>
          <w:tcPr>
            <w:tcW w:type="dxa" w:w="4032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6"/>
              </w:rPr>
              <w:t>Rank suitable attractions using status, capacity and predicted demand.</w:t>
            </w:r>
          </w:p>
        </w:tc>
        <w:tc>
          <w:tcPr>
            <w:tcW w:type="dxa" w:w="3024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6"/>
              </w:rPr>
              <w:t>Operations approves published guidance.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Find emerging patterns</w:t>
            </w:r>
          </w:p>
        </w:tc>
        <w:tc>
          <w:tcPr>
            <w:tcW w:type="dxa" w:w="4032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Anomaly detection across occupancy and throughput.</w:t>
            </w:r>
          </w:p>
        </w:tc>
        <w:tc>
          <w:tcPr>
            <w:tcW w:type="dxa" w:w="3024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Operator investigates data and conditions.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6"/>
              </w:rPr>
              <w:t>Support handover</w:t>
            </w:r>
          </w:p>
        </w:tc>
        <w:tc>
          <w:tcPr>
            <w:tcW w:type="dxa" w:w="4032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6"/>
              </w:rPr>
              <w:t>Cited summary of incidents and actions.</w:t>
            </w:r>
          </w:p>
        </w:tc>
        <w:tc>
          <w:tcPr>
            <w:tcW w:type="dxa" w:w="3024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6"/>
              </w:rPr>
              <w:t>Staff verify the operational record.</w:t>
            </w:r>
          </w:p>
        </w:tc>
      </w:tr>
    </w:tbl>
    <w:p>
      <w:pPr>
        <w:spacing w:after="20"/>
      </w:pPr>
    </w:p>
    <w:p>
      <w:pPr>
        <w:pStyle w:val="Heading2"/>
      </w:pPr>
      <w:r>
        <w:t>Guardrails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968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AI may</w:t>
            </w:r>
          </w:p>
        </w:tc>
        <w:tc>
          <w:tcPr>
            <w:tcW w:type="dxa" w:w="4968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AI may not</w:t>
            </w:r>
          </w:p>
        </w:tc>
      </w:tr>
      <w:tr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7"/>
              </w:rPr>
              <w:t>Forecast demand and rank options.</w:t>
            </w:r>
          </w:p>
        </w:tc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7"/>
              </w:rPr>
              <w:t>Issue emergency instructions autonomously.</w:t>
            </w:r>
          </w:p>
        </w:tc>
      </w:tr>
      <w:tr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7"/>
              </w:rPr>
              <w:t>Flag sensor anomalies and stale estimates.</w:t>
            </w:r>
          </w:p>
        </w:tc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7"/>
              </w:rPr>
              <w:t>Identify or track individuals.</w:t>
            </w:r>
          </w:p>
        </w:tc>
      </w:tr>
      <w:tr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7"/>
              </w:rPr>
              <w:t>Recommend staffing or message changes.</w:t>
            </w:r>
          </w:p>
        </w:tc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7"/>
              </w:rPr>
              <w:t>Close zones or publish unapproved guidance.</w:t>
            </w:r>
          </w:p>
        </w:tc>
      </w:tr>
      <w:tr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7"/>
              </w:rPr>
              <w:t>Summarise approved operational records.</w:t>
            </w:r>
          </w:p>
        </w:tc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7"/>
              </w:rPr>
              <w:t>Override safety or security procedures.</w:t>
            </w:r>
          </w:p>
        </w:tc>
      </w:tr>
    </w:tbl>
    <w:p>
      <w:pPr>
        <w:spacing w:after="20"/>
      </w:pPr>
    </w:p>
    <w:p>
      <w:pPr>
        <w:pStyle w:val="Heading2"/>
      </w:pPr>
      <w:r>
        <w:t>Validation and fallback</w:t>
      </w:r>
    </w:p>
    <w:p>
      <w:pPr>
        <w:pStyle w:val="ListBullet"/>
        <w:spacing w:after="40"/>
      </w:pPr>
      <w:r>
        <w:t>Validate queue estimates against periodic manual observations across operating conditions.</w:t>
      </w:r>
    </w:p>
    <w:p>
      <w:pPr>
        <w:pStyle w:val="ListBullet"/>
        <w:spacing w:after="40"/>
      </w:pPr>
      <w:r>
        <w:t>Monitor sensor completeness, estimate error, stale-data duration, drift and overridden recommendations.</w:t>
      </w:r>
    </w:p>
    <w:p>
      <w:pPr>
        <w:pStyle w:val="ListBullet"/>
        <w:spacing w:after="40"/>
      </w:pPr>
      <w:r>
        <w:t>When AI is unavailable, continue deterministic estimates, operator workflows and stale-data labelling.</w:t>
      </w:r>
    </w:p>
    <w:p>
      <w:pPr>
        <w:pStyle w:val="ListBullet"/>
        <w:spacing w:after="40"/>
      </w:pPr>
      <w:r>
        <w:t>Retain versioned model contracts, evidence and outcome feedback independently of the provider.</w:t>
      </w:r>
    </w:p>
    <w:p>
      <w:r>
        <w:br w:type="page"/>
      </w:r>
    </w:p>
    <w:p>
      <w:pPr>
        <w:pStyle w:val="Heading1"/>
      </w:pPr>
      <w:r>
        <w:t>7. Architectural decision records</w:t>
      </w:r>
    </w:p>
    <w:p>
      <w:r>
        <w:t>These concise ADRs capture the decisions that most strongly shape the capability.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232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 / decision</w:t>
            </w:r>
          </w:p>
        </w:tc>
        <w:tc>
          <w:tcPr>
            <w:tcW w:type="dxa" w:w="2304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Context</w:t>
            </w:r>
          </w:p>
        </w:tc>
        <w:tc>
          <w:tcPr>
            <w:tcW w:type="dxa" w:w="3096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Decision</w:t>
            </w:r>
          </w:p>
        </w:tc>
        <w:tc>
          <w:tcPr>
            <w:tcW w:type="dxa" w:w="2376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Consequence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4"/>
              </w:rPr>
              <w:t>ADR-CS-01</w:t>
              <w:br/>
              <w:t>Anonymous counting by default</w:t>
            </w:r>
          </w:p>
        </w:tc>
        <w:tc>
          <w:tcPr>
            <w:tcW w:type="dxa" w:w="2304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4"/>
              </w:rPr>
              <w:t>Popularity insight does not require personal identity.</w:t>
            </w:r>
          </w:p>
        </w:tc>
        <w:tc>
          <w:tcPr>
            <w:tcW w:type="dxa" w:w="3096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4"/>
              </w:rPr>
              <w:t>Use counts and throughput; prohibit biometric identity processing.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4"/>
              </w:rPr>
              <w:t>Reduces privacy risk; limits individual-level analysis.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4"/>
              </w:rPr>
              <w:t>ADR-CS-02</w:t>
              <w:br/>
              <w:t>Queue estimates are derived state</w:t>
            </w:r>
          </w:p>
        </w:tc>
        <w:tc>
          <w:tcPr>
            <w:tcW w:type="dxa" w:w="2304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4"/>
              </w:rPr>
              <w:t>Sensors provide observations, not authoritative waiting time.</w:t>
            </w:r>
          </w:p>
        </w:tc>
        <w:tc>
          <w:tcPr>
            <w:tcW w:type="dxa" w:w="3096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4"/>
              </w:rPr>
              <w:t>Calculate estimates with confidence and freshness metadata.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4"/>
              </w:rPr>
              <w:t>Supports quality-aware guidance; requires calibration.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4"/>
              </w:rPr>
              <w:t>ADR-CS-03</w:t>
              <w:br/>
              <w:t>Edge-first ingestion</w:t>
            </w:r>
          </w:p>
        </w:tc>
        <w:tc>
          <w:tcPr>
            <w:tcW w:type="dxa" w:w="2304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4"/>
              </w:rPr>
              <w:t>Connectivity is patchy.</w:t>
            </w:r>
          </w:p>
        </w:tc>
        <w:tc>
          <w:tcPr>
            <w:tcW w:type="dxa" w:w="3096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4"/>
              </w:rPr>
              <w:t>Use zoned gateways with buffer, replay and device health.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4"/>
              </w:rPr>
              <w:t>Preserves observations; adds managed hardware.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4"/>
              </w:rPr>
              <w:t>ADR-CS-04</w:t>
              <w:br/>
              <w:t>Event-driven integration</w:t>
            </w:r>
          </w:p>
        </w:tc>
        <w:tc>
          <w:tcPr>
            <w:tcW w:type="dxa" w:w="2304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4"/>
              </w:rPr>
              <w:t>Ride and site status change independently.</w:t>
            </w:r>
          </w:p>
        </w:tc>
        <w:tc>
          <w:tcPr>
            <w:tcW w:type="dxa" w:w="3096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4"/>
              </w:rPr>
              <w:t>Exchange curated events through the estate backbone.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4"/>
              </w:rPr>
              <w:t>Loose coupling; requires contract governance.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4"/>
              </w:rPr>
              <w:t>ADR-CS-05</w:t>
              <w:br/>
              <w:t>AI is advisory</w:t>
            </w:r>
          </w:p>
        </w:tc>
        <w:tc>
          <w:tcPr>
            <w:tcW w:type="dxa" w:w="2304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4"/>
              </w:rPr>
              <w:t>Forecasts can be wrong during unusual conditions.</w:t>
            </w:r>
          </w:p>
        </w:tc>
        <w:tc>
          <w:tcPr>
            <w:tcW w:type="dxa" w:w="3096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4"/>
              </w:rPr>
              <w:t>Require duty-manager approval for consequential actions.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4"/>
              </w:rPr>
              <w:t>Maintains accountability; limits automation.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4"/>
              </w:rPr>
              <w:t>ADR-CS-06</w:t>
              <w:br/>
              <w:t>Separate operational and public views</w:t>
            </w:r>
          </w:p>
        </w:tc>
        <w:tc>
          <w:tcPr>
            <w:tcW w:type="dxa" w:w="2304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Internal incidents may contain sensitive detail.</w:t>
            </w:r>
          </w:p>
        </w:tc>
        <w:tc>
          <w:tcPr>
            <w:tcW w:type="dxa" w:w="3096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4"/>
              </w:rPr>
              <w:t>Publish sanitised status and guidance projections.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4"/>
              </w:rPr>
              <w:t>Protects data; requires projection logic.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8. Architecture fitness functions</w:t>
      </w:r>
    </w:p>
    <w:p>
      <w:r>
        <w:t>Targets are proposed starting points and require validation against operational baselines.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936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088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Fitness function</w:t>
            </w:r>
          </w:p>
        </w:tc>
        <w:tc>
          <w:tcPr>
            <w:tcW w:type="dxa" w:w="4680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Proposed success measure</w:t>
            </w:r>
          </w:p>
        </w:tc>
        <w:tc>
          <w:tcPr>
            <w:tcW w:type="dxa" w:w="2232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Evidence</w:t>
            </w:r>
          </w:p>
        </w:tc>
      </w:tr>
      <w:tr>
        <w:tc>
          <w:tcPr>
            <w:tcW w:type="dxa" w:w="936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4"/>
              </w:rPr>
              <w:t>FF-CS-01</w:t>
            </w:r>
          </w:p>
        </w:tc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4"/>
              </w:rPr>
              <w:t>Queue estimate accuracy</w:t>
            </w:r>
          </w:p>
        </w:tc>
        <w:tc>
          <w:tcPr>
            <w:tcW w:type="dxa" w:w="4680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Median absolute error within an agreed threshold after calibration.</w:t>
            </w:r>
          </w:p>
        </w:tc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4"/>
              </w:rPr>
              <w:t>Manual sample comparison.</w:t>
            </w:r>
          </w:p>
        </w:tc>
      </w:tr>
      <w:tr>
        <w:tc>
          <w:tcPr>
            <w:tcW w:type="dxa" w:w="936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4"/>
              </w:rPr>
              <w:t>FF-CS-02</w:t>
            </w:r>
          </w:p>
        </w:tc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4"/>
              </w:rPr>
              <w:t>Estimate freshness</w:t>
            </w:r>
          </w:p>
        </w:tc>
        <w:tc>
          <w:tcPr>
            <w:tcW w:type="dxa" w:w="4680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4"/>
              </w:rPr>
              <w:t>At least 99% of published estimates carry current freshness and confidence metadata.</w:t>
            </w:r>
          </w:p>
        </w:tc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4"/>
              </w:rPr>
              <w:t>Schema and dashboard check.</w:t>
            </w:r>
          </w:p>
        </w:tc>
      </w:tr>
      <w:tr>
        <w:tc>
          <w:tcPr>
            <w:tcW w:type="dxa" w:w="936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4"/>
              </w:rPr>
              <w:t>FF-CS-03</w:t>
            </w:r>
          </w:p>
        </w:tc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4"/>
              </w:rPr>
              <w:t>Telemetry durability</w:t>
            </w:r>
          </w:p>
        </w:tc>
        <w:tc>
          <w:tcPr>
            <w:tcW w:type="dxa" w:w="4680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4"/>
              </w:rPr>
              <w:t>Less than 0.1% loss in a simulated 24-hour backhaul outage.</w:t>
            </w:r>
          </w:p>
        </w:tc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4"/>
              </w:rPr>
              <w:t>Quarterly resilience test.</w:t>
            </w:r>
          </w:p>
        </w:tc>
      </w:tr>
      <w:tr>
        <w:tc>
          <w:tcPr>
            <w:tcW w:type="dxa" w:w="936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4"/>
              </w:rPr>
              <w:t>FF-CS-04</w:t>
            </w:r>
          </w:p>
        </w:tc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4"/>
              </w:rPr>
              <w:t>Stale-data safety</w:t>
            </w:r>
          </w:p>
        </w:tc>
        <w:tc>
          <w:tcPr>
            <w:tcW w:type="dxa" w:w="4680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4"/>
              </w:rPr>
              <w:t>100% of stale estimates withdrawn or visibly labelled within the agreed threshold.</w:t>
            </w:r>
          </w:p>
        </w:tc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4"/>
              </w:rPr>
              <w:t>Automated policy test.</w:t>
            </w:r>
          </w:p>
        </w:tc>
      </w:tr>
      <w:tr>
        <w:tc>
          <w:tcPr>
            <w:tcW w:type="dxa" w:w="936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4"/>
              </w:rPr>
              <w:t>FF-CS-05</w:t>
            </w:r>
          </w:p>
        </w:tc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4"/>
              </w:rPr>
              <w:t>Incident acknowledgement</w:t>
            </w:r>
          </w:p>
        </w:tc>
        <w:tc>
          <w:tcPr>
            <w:tcW w:type="dxa" w:w="4680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4"/>
              </w:rPr>
              <w:t>At least 95% of priority tasks acknowledged within target.</w:t>
            </w:r>
          </w:p>
        </w:tc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4"/>
              </w:rPr>
              <w:t>Workflow telemetry.</w:t>
            </w:r>
          </w:p>
        </w:tc>
      </w:tr>
      <w:tr>
        <w:tc>
          <w:tcPr>
            <w:tcW w:type="dxa" w:w="936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4"/>
              </w:rPr>
              <w:t>FF-CS-06</w:t>
            </w:r>
          </w:p>
        </w:tc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4"/>
              </w:rPr>
              <w:t>Event delivery</w:t>
            </w:r>
          </w:p>
        </w:tc>
        <w:tc>
          <w:tcPr>
            <w:tcW w:type="dxa" w:w="4680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4"/>
              </w:rPr>
              <w:t>At least 99.95% successful publication with replay.</w:t>
            </w:r>
          </w:p>
        </w:tc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4"/>
              </w:rPr>
              <w:t>Event-platform SLO.</w:t>
            </w:r>
          </w:p>
        </w:tc>
      </w:tr>
      <w:tr>
        <w:tc>
          <w:tcPr>
            <w:tcW w:type="dxa" w:w="936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4"/>
              </w:rPr>
              <w:t>FF-CS-07</w:t>
            </w:r>
          </w:p>
        </w:tc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4"/>
              </w:rPr>
              <w:t>Forecast usefulness</w:t>
            </w:r>
          </w:p>
        </w:tc>
        <w:tc>
          <w:tcPr>
            <w:tcW w:type="dxa" w:w="4680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4"/>
              </w:rPr>
              <w:t>At least 70% of recommendations judged actionable after evaluation.</w:t>
            </w:r>
          </w:p>
        </w:tc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4"/>
              </w:rPr>
              <w:t>Duty-manager disposition.</w:t>
            </w:r>
          </w:p>
        </w:tc>
      </w:tr>
      <w:tr>
        <w:tc>
          <w:tcPr>
            <w:tcW w:type="dxa" w:w="936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4"/>
              </w:rPr>
              <w:t>FF-CS-08</w:t>
            </w:r>
          </w:p>
        </w:tc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4"/>
              </w:rPr>
              <w:t>AI evidence</w:t>
            </w:r>
          </w:p>
        </w:tc>
        <w:tc>
          <w:tcPr>
            <w:tcW w:type="dxa" w:w="4680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4"/>
              </w:rPr>
              <w:t>100% of recommendations include evidence, confidence and model version.</w:t>
            </w:r>
          </w:p>
        </w:tc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4"/>
              </w:rPr>
              <w:t>Schema validation.</w:t>
            </w:r>
          </w:p>
        </w:tc>
      </w:tr>
      <w:tr>
        <w:tc>
          <w:tcPr>
            <w:tcW w:type="dxa" w:w="936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4"/>
              </w:rPr>
              <w:t>FF-CS-09</w:t>
            </w:r>
          </w:p>
        </w:tc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4"/>
              </w:rPr>
              <w:t>Privacy control</w:t>
            </w:r>
          </w:p>
        </w:tc>
        <w:tc>
          <w:tcPr>
            <w:tcW w:type="dxa" w:w="4680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4"/>
              </w:rPr>
              <w:t>No prohibited identifiers in occupancy event contracts.</w:t>
            </w:r>
          </w:p>
        </w:tc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4"/>
              </w:rPr>
              <w:t>Contract and privacy tests.</w:t>
            </w:r>
          </w:p>
        </w:tc>
      </w:tr>
      <w:tr>
        <w:tc>
          <w:tcPr>
            <w:tcW w:type="dxa" w:w="936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4"/>
              </w:rPr>
              <w:t>FF-CS-10</w:t>
            </w:r>
          </w:p>
        </w:tc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4"/>
              </w:rPr>
              <w:t>Device health</w:t>
            </w:r>
          </w:p>
        </w:tc>
        <w:tc>
          <w:tcPr>
            <w:tcW w:type="dxa" w:w="4680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4"/>
              </w:rPr>
              <w:t>100% of expected devices report health or create an owned incident.</w:t>
            </w:r>
          </w:p>
        </w:tc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4"/>
              </w:rPr>
              <w:t>Device operations dashboard.</w:t>
            </w:r>
          </w:p>
        </w:tc>
      </w:tr>
    </w:tbl>
    <w:p>
      <w:pPr>
        <w:spacing w:after="20"/>
      </w:pPr>
    </w:p>
    <w:p>
      <w:pPr>
        <w:pStyle w:val="Heading2"/>
      </w:pPr>
      <w:r>
        <w:t>Traceability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016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Outcome</w:t>
            </w:r>
          </w:p>
        </w:tc>
        <w:tc>
          <w:tcPr>
            <w:tcW w:type="dxa" w:w="3888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Architecture response</w:t>
            </w:r>
          </w:p>
        </w:tc>
        <w:tc>
          <w:tcPr>
            <w:tcW w:type="dxa" w:w="1440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ADRs</w:t>
            </w:r>
          </w:p>
        </w:tc>
        <w:tc>
          <w:tcPr>
            <w:tcW w:type="dxa" w:w="2520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Fitness functions</w:t>
            </w:r>
          </w:p>
        </w:tc>
      </w:tr>
      <w:tr>
        <w:tc>
          <w:tcPr>
            <w:tcW w:type="dxa" w:w="2016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Visitor flow</w:t>
            </w:r>
          </w:p>
        </w:tc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Queue estimates and approved guidance</w:t>
            </w:r>
          </w:p>
        </w:tc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01, 02, 06</w:t>
            </w:r>
          </w:p>
        </w:tc>
        <w:tc>
          <w:tcPr>
            <w:tcW w:type="dxa" w:w="2520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01, 02, 04</w:t>
            </w:r>
          </w:p>
        </w:tc>
      </w:tr>
      <w:tr>
        <w:tc>
          <w:tcPr>
            <w:tcW w:type="dxa" w:w="2016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5"/>
              </w:rPr>
              <w:t>Resilient operation</w:t>
            </w:r>
          </w:p>
        </w:tc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5"/>
              </w:rPr>
              <w:t>Zoned gateways and replay</w:t>
            </w:r>
          </w:p>
        </w:tc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5"/>
              </w:rPr>
              <w:t>03</w:t>
            </w:r>
          </w:p>
        </w:tc>
        <w:tc>
          <w:tcPr>
            <w:tcW w:type="dxa" w:w="2520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5"/>
              </w:rPr>
              <w:t>03, 10</w:t>
            </w:r>
          </w:p>
        </w:tc>
      </w:tr>
      <w:tr>
        <w:tc>
          <w:tcPr>
            <w:tcW w:type="dxa" w:w="2016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Safe AI</w:t>
            </w:r>
          </w:p>
        </w:tc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Advisory forecasts and approval</w:t>
            </w:r>
          </w:p>
        </w:tc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05</w:t>
            </w:r>
          </w:p>
        </w:tc>
        <w:tc>
          <w:tcPr>
            <w:tcW w:type="dxa" w:w="2520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07, 08</w:t>
            </w:r>
          </w:p>
        </w:tc>
      </w:tr>
      <w:tr>
        <w:tc>
          <w:tcPr>
            <w:tcW w:type="dxa" w:w="2016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5"/>
              </w:rPr>
              <w:t>Cross-estate coordination</w:t>
            </w:r>
          </w:p>
        </w:tc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5"/>
              </w:rPr>
              <w:t>Curated status events</w:t>
            </w:r>
          </w:p>
        </w:tc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5"/>
              </w:rPr>
              <w:t>04, 06</w:t>
            </w:r>
          </w:p>
        </w:tc>
        <w:tc>
          <w:tcPr>
            <w:tcW w:type="dxa" w:w="2520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5"/>
              </w:rPr>
              <w:t>05, 06</w:t>
            </w:r>
          </w:p>
        </w:tc>
      </w:tr>
      <w:tr>
        <w:tc>
          <w:tcPr>
            <w:tcW w:type="dxa" w:w="2016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Privacy</w:t>
            </w:r>
          </w:p>
        </w:tc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Anonymous counts and contract tests</w:t>
            </w:r>
          </w:p>
        </w:tc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01</w:t>
            </w:r>
          </w:p>
        </w:tc>
        <w:tc>
          <w:tcPr>
            <w:tcW w:type="dxa" w:w="2520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09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9. Delivery sequence and conclusion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type="dxa" w:w="5400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Scope</w:t>
            </w:r>
          </w:p>
        </w:tc>
        <w:tc>
          <w:tcPr>
            <w:tcW w:type="dxa" w:w="2736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1800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1. Operations foundation</w:t>
            </w:r>
          </w:p>
        </w:tc>
        <w:tc>
          <w:tcPr>
            <w:tcW w:type="dxa" w:w="5400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Site status, incidents, staff tasks and basic counters.</w:t>
            </w:r>
          </w:p>
        </w:tc>
        <w:tc>
          <w:tcPr>
            <w:tcW w:type="dxa" w:w="2736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Creates accountable operating data.</w:t>
            </w:r>
          </w:p>
        </w:tc>
      </w:tr>
      <w:tr>
        <w:tc>
          <w:tcPr>
            <w:tcW w:type="dxa" w:w="1800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6"/>
              </w:rPr>
              <w:t>2. Queue visibility</w:t>
            </w:r>
          </w:p>
        </w:tc>
        <w:tc>
          <w:tcPr>
            <w:tcW w:type="dxa" w:w="5400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6"/>
              </w:rPr>
              <w:t>Calibrated estimates, freshness and public guidance.</w:t>
            </w:r>
          </w:p>
        </w:tc>
        <w:tc>
          <w:tcPr>
            <w:tcW w:type="dxa" w:w="2736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6"/>
              </w:rPr>
              <w:t>Improves visitor flow decisions.</w:t>
            </w:r>
          </w:p>
        </w:tc>
      </w:tr>
      <w:tr>
        <w:tc>
          <w:tcPr>
            <w:tcW w:type="dxa" w:w="1800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3. Governed forecasting</w:t>
            </w:r>
          </w:p>
        </w:tc>
        <w:tc>
          <w:tcPr>
            <w:tcW w:type="dxa" w:w="5400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Demand models, evaluation and recommendation feedback.</w:t>
            </w:r>
          </w:p>
        </w:tc>
        <w:tc>
          <w:tcPr>
            <w:tcW w:type="dxa" w:w="2736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Supports earlier intervention.</w:t>
            </w:r>
          </w:p>
        </w:tc>
      </w:tr>
      <w:tr>
        <w:tc>
          <w:tcPr>
            <w:tcW w:type="dxa" w:w="1800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6"/>
              </w:rPr>
              <w:t>4. Estate optimisation</w:t>
            </w:r>
          </w:p>
        </w:tc>
        <w:tc>
          <w:tcPr>
            <w:tcW w:type="dxa" w:w="5400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6"/>
              </w:rPr>
              <w:t>Cross-domain staffing, ride and visitor analytics.</w:t>
            </w:r>
          </w:p>
        </w:tc>
        <w:tc>
          <w:tcPr>
            <w:tcW w:type="dxa" w:w="2736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6"/>
              </w:rPr>
              <w:t>Improves estate-wide coordination.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2A9D8F"/>
              </w:rPr>
              <w:t xml:space="preserve">FINAL POSITION  </w:t>
            </w:r>
            <w:r>
              <w:t>The design makes queue information useful without confusing raw sensor readings with truth. Privacy-preserving observations, resilient ingestion and human-approved guidance connect site conditions to park operations.</w:t>
            </w:r>
          </w:p>
        </w:tc>
      </w:tr>
    </w:tbl>
    <w:p>
      <w:pPr>
        <w:spacing w:after="20"/>
      </w:pPr>
    </w:p>
    <w:p>
      <w:pPr>
        <w:pStyle w:val="Heading2"/>
      </w:pPr>
      <w:r>
        <w:t>Source basis</w:t>
      </w:r>
    </w:p>
    <w:p>
      <w:r>
        <w:t>Prepared from the supplied Architecture Kata 2026 brief and accompanying working documents. The brief explicitly requires ticketing, insight into park popularity, visitor growth and profitability, and notes patchy Wi-Fi with budget for MQTT-capable devices. Detailed architecture and numerical targets are proposed by this submission and require stakeholder validation.</w:t>
      </w:r>
    </w:p>
    <w:sectPr w:rsidR="00FC693F" w:rsidRPr="0006063C" w:rsidSect="00034616">
      <w:headerReference w:type="default" r:id="rId13"/>
      <w:footerReference w:type="default" r:id="rId14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Architecture Kata Capability Submission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B6573"/>
        <w:sz w:val="15"/>
      </w:rPr>
      <w:t>VON DIGITALIS ESTATES  |  CROWD &amp; SITE OPERATIONS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36B8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rPr>
      <w:rFonts w:ascii="Aptos" w:hAnsi="Aptos"/>
      <w:i/>
      <w:color w:val="5B657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Crowd &amp; Site Operations</dc:title>
  <dc:subject/>
  <dc:creator>Matt Gould</dc:creator>
  <keywords/>
  <dc:description>generated by python-docx</dc:description>
  <lastModifiedBy>Matt Gould</lastModifiedBy>
  <revision>1</revision>
  <dcterms:created xsi:type="dcterms:W3CDTF">2026-09-12T14:24:02.3536645Z</dcterms:created>
  <dcterms:modified xsi:type="dcterms:W3CDTF">2026-09-12T14:24:02.3536645Z</dcterms:modified>
  <category/>
</coreProperties>
</file>