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2A9D8F"/>
          <w:sz w:val="20"/>
        </w:rPr>
        <w:t>VON DIGITALIS ESTATES</w:t>
      </w:r>
    </w:p>
    <w:p>
      <w:pPr>
        <w:pStyle w:val="Title"/>
      </w:pPr>
      <w:r>
        <w:t>Ride Operations &amp;</w:t>
        <w:br/>
        <w:t>Asset Reliability</w:t>
      </w:r>
    </w:p>
    <w:p>
      <w:pPr>
        <w:pStyle w:val="Subtitle"/>
      </w:pPr>
      <w:r>
        <w:rPr>
          <w:color w:val="236B8E"/>
        </w:rPr>
        <w:t>Architecture Kata Submission Section</w:t>
      </w:r>
    </w:p>
    <w:p>
      <w:r>
        <w:br/>
      </w:r>
    </w:p>
    <w:tbl>
      <w:tblPr>
        <w:tblW w:type="auto" w:w="0"/>
        <w:tblLook w:firstColumn="1" w:firstRow="1" w:lastColumn="0" w:lastRow="0" w:noHBand="0" w:noVBand="1" w:val="04A0"/>
      </w:tblPr>
      <w:tblGrid>
        <w:gridCol w:w="10166"/>
      </w:tblGrid>
      <w:tr>
        <w:tc>
          <w:tcPr>
            <w:tcW w:type="dxa" w:w="10166"/>
            <w:shd w:fill="EAF3F7"/>
            <w:tcMar>
              <w:top w:w="150" w:type="dxa"/>
              <w:start w:w="180" w:type="dxa"/>
              <w:bottom w:w="150" w:type="dxa"/>
              <w:end w:w="180" w:type="dxa"/>
            </w:tcMar>
          </w:tcPr>
          <w:p>
            <w:pPr>
              <w:spacing w:after="40"/>
            </w:pPr>
            <w:r>
              <w:rPr>
                <w:b/>
                <w:color w:val="2A9D8F"/>
              </w:rPr>
              <w:t xml:space="preserve">ARCHITECTURE THESIS  </w:t>
            </w:r>
            <w:r>
              <w:t>A resilient Ride Operations Platform combines inspections, operational telemetry, maintenance workflows and governed AI to improve availability and reduce unplanned downtime. AI supports engineers; deterministic safety controls and authorised people retain accountability.</w:t>
            </w:r>
          </w:p>
        </w:tc>
      </w:tr>
    </w:tbl>
    <w:p>
      <w:pPr>
        <w:spacing w:after="20"/>
      </w:pPr>
    </w:p>
    <w:p>
      <w:r>
        <w:br/>
      </w:r>
    </w:p>
    <w:p>
      <w:pPr>
        <w:pStyle w:val="Heading2"/>
      </w:pPr>
      <w:r>
        <w:t>Submission focus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tcMar>
              <w:top w:w="100" w:type="dxa"/>
              <w:start w:w="120" w:type="dxa"/>
              <w:bottom w:w="100" w:type="dxa"/>
              <w:end w:w="120" w:type="dxa"/>
            </w:tcMar>
          </w:tcPr>
          <w:p>
            <w:pPr>
              <w:jc w:val="center"/>
            </w:pPr>
            <w:r>
              <w:rPr>
                <w:b/>
                <w:color w:val="FFFFFF"/>
                <w:sz w:val="18"/>
              </w:rPr>
              <w:t>Outcome</w:t>
            </w:r>
          </w:p>
        </w:tc>
        <w:tc>
          <w:tcPr>
            <w:tcW w:type="dxa" w:w="7056"/>
            <w:shd w:fill="17324D"/>
            <w:tcMar>
              <w:top w:w="100" w:type="dxa"/>
              <w:start w:w="120" w:type="dxa"/>
              <w:bottom w:w="100" w:type="dxa"/>
              <w:end w:w="120" w:type="dxa"/>
            </w:tcMar>
          </w:tcPr>
          <w:p>
            <w:pPr>
              <w:jc w:val="center"/>
            </w:pPr>
            <w:r>
              <w:rPr>
                <w:b/>
                <w:color w:val="FFFFFF"/>
                <w:sz w:val="18"/>
              </w:rPr>
              <w:t>Design response</w:t>
            </w:r>
          </w:p>
        </w:tc>
      </w:tr>
      <w:tr>
        <w:tc>
          <w:tcPr>
            <w:tcW w:type="dxa" w:w="2880"/>
            <w:tcMar>
              <w:top w:w="100" w:type="dxa"/>
              <w:start w:w="120" w:type="dxa"/>
              <w:bottom w:w="100" w:type="dxa"/>
              <w:end w:w="120" w:type="dxa"/>
            </w:tcMar>
            <w:vAlign w:val="center"/>
          </w:tcPr>
          <w:p>
            <w:pPr>
              <w:spacing w:after="0"/>
            </w:pPr>
            <w:r>
              <w:rPr>
                <w:sz w:val="18"/>
              </w:rPr>
              <w:t>Improve ride reliability</w:t>
            </w:r>
          </w:p>
        </w:tc>
        <w:tc>
          <w:tcPr>
            <w:tcW w:type="dxa" w:w="7056"/>
            <w:tcMar>
              <w:top w:w="100" w:type="dxa"/>
              <w:start w:w="120" w:type="dxa"/>
              <w:bottom w:w="100" w:type="dxa"/>
              <w:end w:w="120" w:type="dxa"/>
            </w:tcMar>
            <w:vAlign w:val="center"/>
          </w:tcPr>
          <w:p>
            <w:pPr>
              <w:spacing w:after="0"/>
            </w:pPr>
            <w:r>
              <w:rPr>
                <w:sz w:val="18"/>
              </w:rPr>
              <w:t>Unified ride health, inspection and maintenance history.</w:t>
            </w:r>
          </w:p>
        </w:tc>
      </w:tr>
      <w:tr>
        <w:tc>
          <w:tcPr>
            <w:tcW w:type="dxa" w:w="2880"/>
            <w:tcMar>
              <w:top w:w="100" w:type="dxa"/>
              <w:start w:w="120" w:type="dxa"/>
              <w:bottom w:w="100" w:type="dxa"/>
              <w:end w:w="120" w:type="dxa"/>
            </w:tcMar>
            <w:vAlign w:val="center"/>
            <w:shd w:fill="F3F6F8"/>
          </w:tcPr>
          <w:p>
            <w:pPr>
              <w:spacing w:after="0"/>
            </w:pPr>
            <w:r>
              <w:rPr>
                <w:sz w:val="18"/>
              </w:rPr>
              <w:t>Reduce unplanned downtime</w:t>
            </w:r>
          </w:p>
        </w:tc>
        <w:tc>
          <w:tcPr>
            <w:tcW w:type="dxa" w:w="7056"/>
            <w:tcMar>
              <w:top w:w="100" w:type="dxa"/>
              <w:start w:w="120" w:type="dxa"/>
              <w:bottom w:w="100" w:type="dxa"/>
              <w:end w:w="120" w:type="dxa"/>
            </w:tcMar>
            <w:vAlign w:val="center"/>
            <w:shd w:fill="F3F6F8"/>
          </w:tcPr>
          <w:p>
            <w:pPr>
              <w:spacing w:after="0"/>
            </w:pPr>
            <w:r>
              <w:rPr>
                <w:sz w:val="18"/>
              </w:rPr>
              <w:t>Telemetry-based anomaly detection and planned intervention.</w:t>
            </w:r>
          </w:p>
        </w:tc>
      </w:tr>
      <w:tr>
        <w:tc>
          <w:tcPr>
            <w:tcW w:type="dxa" w:w="2880"/>
            <w:tcMar>
              <w:top w:w="100" w:type="dxa"/>
              <w:start w:w="120" w:type="dxa"/>
              <w:bottom w:w="100" w:type="dxa"/>
              <w:end w:w="120" w:type="dxa"/>
            </w:tcMar>
            <w:vAlign w:val="center"/>
          </w:tcPr>
          <w:p>
            <w:pPr>
              <w:spacing w:after="0"/>
            </w:pPr>
            <w:r>
              <w:rPr>
                <w:sz w:val="18"/>
              </w:rPr>
              <w:t>Operate through connectivity loss</w:t>
            </w:r>
          </w:p>
        </w:tc>
        <w:tc>
          <w:tcPr>
            <w:tcW w:type="dxa" w:w="7056"/>
            <w:tcMar>
              <w:top w:w="100" w:type="dxa"/>
              <w:start w:w="120" w:type="dxa"/>
              <w:bottom w:w="100" w:type="dxa"/>
              <w:end w:w="120" w:type="dxa"/>
            </w:tcMar>
            <w:vAlign w:val="center"/>
          </w:tcPr>
          <w:p>
            <w:pPr>
              <w:spacing w:after="0"/>
            </w:pPr>
            <w:r>
              <w:rPr>
                <w:sz w:val="18"/>
              </w:rPr>
              <w:t>Zoned gateways with durable buffering and replay.</w:t>
            </w:r>
          </w:p>
        </w:tc>
      </w:tr>
      <w:tr>
        <w:tc>
          <w:tcPr>
            <w:tcW w:type="dxa" w:w="2880"/>
            <w:tcMar>
              <w:top w:w="100" w:type="dxa"/>
              <w:start w:w="120" w:type="dxa"/>
              <w:bottom w:w="100" w:type="dxa"/>
              <w:end w:w="120" w:type="dxa"/>
            </w:tcMar>
            <w:vAlign w:val="center"/>
            <w:shd w:fill="F3F6F8"/>
          </w:tcPr>
          <w:p>
            <w:pPr>
              <w:spacing w:after="0"/>
            </w:pPr>
            <w:r>
              <w:rPr>
                <w:sz w:val="18"/>
              </w:rPr>
              <w:t>Inform the wider estate</w:t>
            </w:r>
          </w:p>
        </w:tc>
        <w:tc>
          <w:tcPr>
            <w:tcW w:type="dxa" w:w="7056"/>
            <w:tcMar>
              <w:top w:w="100" w:type="dxa"/>
              <w:start w:w="120" w:type="dxa"/>
              <w:bottom w:w="100" w:type="dxa"/>
              <w:end w:w="120" w:type="dxa"/>
            </w:tcMar>
            <w:vAlign w:val="center"/>
            <w:shd w:fill="F3F6F8"/>
          </w:tcPr>
          <w:p>
            <w:pPr>
              <w:spacing w:after="0"/>
            </w:pPr>
            <w:r>
              <w:rPr>
                <w:sz w:val="18"/>
              </w:rPr>
              <w:t>Ride status, capacity and maintenance events for operations, queues, staffing and analytics.</w:t>
            </w:r>
          </w:p>
        </w:tc>
      </w:tr>
    </w:tbl>
    <w:p>
      <w:pPr>
        <w:spacing w:after="20"/>
      </w:pPr>
    </w:p>
    <w:p>
      <w:pPr>
        <w:pStyle w:val="Heading3"/>
      </w:pPr>
      <w:r>
        <w:t>Scope note</w:t>
      </w:r>
    </w:p>
    <w:p>
      <w:r>
        <w:t>The brief states that the estate contains 40 historically important rides and identifies patchy Wi-Fi as a constraint. Proposed numerical fitness targets are initial architecture targets and require validation with ride engineers, operations leaders and safety specialists.</w:t>
      </w:r>
    </w:p>
    <w:p>
      <w:r>
        <w:br w:type="page"/>
      </w:r>
    </w:p>
    <w:p>
      <w:pPr>
        <w:pStyle w:val="Heading1"/>
      </w:pPr>
      <w:r>
        <w:t>1. Business outcome and design principles</w:t>
      </w:r>
    </w:p>
    <w:p>
      <w:r>
        <w:t>Ride failures reduce capacity, disrupt the visitor experience and create reactive engineering work. The proposed capability establishes a reliable operational record of each ride, correlating inspections, defects, work orders, runtime and condition telemetry. It also shares approved ride-status and demand events with wider park systems.</w:t>
      </w:r>
    </w:p>
    <w:tbl>
      <w:tblPr>
        <w:tblW w:type="auto" w:w="0"/>
        <w:tblLook w:firstColumn="1" w:firstRow="1" w:lastColumn="0" w:lastRow="0" w:noHBand="0" w:noVBand="1" w:val="04A0"/>
      </w:tblPr>
      <w:tblGrid>
        <w:gridCol w:w="10166"/>
      </w:tblGrid>
      <w:tr>
        <w:tc>
          <w:tcPr>
            <w:tcW w:type="dxa" w:w="10166"/>
            <w:shd w:fill="EAF3F7"/>
            <w:tcMar>
              <w:top w:w="150" w:type="dxa"/>
              <w:start w:w="180" w:type="dxa"/>
              <w:bottom w:w="150" w:type="dxa"/>
              <w:end w:w="180" w:type="dxa"/>
            </w:tcMar>
          </w:tcPr>
          <w:p>
            <w:pPr>
              <w:spacing w:after="40"/>
            </w:pPr>
            <w:r>
              <w:rPr>
                <w:b/>
                <w:color w:val="2A9D8F"/>
              </w:rPr>
              <w:t xml:space="preserve">CORE BOUNDARY  </w:t>
            </w:r>
            <w:r>
              <w:t>MQTT transports operational telemetry and events. The Ride Operations Platform owns ride status, inspections, defects, maintenance records and accountability.</w:t>
            </w:r>
          </w:p>
        </w:tc>
      </w:tr>
    </w:tbl>
    <w:p>
      <w:pPr>
        <w:spacing w:after="20"/>
      </w:pPr>
    </w:p>
    <w:p>
      <w:pPr>
        <w:pStyle w:val="Heading2"/>
      </w:pPr>
      <w:r>
        <w:t>Design principles</w:t>
      </w:r>
    </w:p>
    <w:p>
      <w:pPr>
        <w:pStyle w:val="ListBullet"/>
        <w:spacing w:after="40"/>
      </w:pPr>
      <w:r>
        <w:t>Safety first: existing ride safety systems and interlocks remain deterministic, local and independent.</w:t>
      </w:r>
    </w:p>
    <w:p>
      <w:pPr>
        <w:pStyle w:val="ListBullet"/>
        <w:spacing w:after="40"/>
      </w:pPr>
      <w:r>
        <w:t>Human authorisation: qualified engineers approve maintenance, closure and return-to-service decisions.</w:t>
      </w:r>
    </w:p>
    <w:p>
      <w:pPr>
        <w:pStyle w:val="ListBullet"/>
        <w:spacing w:after="40"/>
      </w:pPr>
      <w:r>
        <w:t>Clear ownership: the Ride Operations Platform is authoritative for operational and maintenance records.</w:t>
      </w:r>
    </w:p>
    <w:p>
      <w:pPr>
        <w:pStyle w:val="ListBullet"/>
        <w:spacing w:after="40"/>
      </w:pPr>
      <w:r>
        <w:t>Loose coupling: park capabilities consume governed events rather than direct database integrations.</w:t>
      </w:r>
    </w:p>
    <w:p>
      <w:pPr>
        <w:pStyle w:val="ListBullet"/>
        <w:spacing w:after="40"/>
      </w:pPr>
      <w:r>
        <w:t>Evolvable AI: maintenance models are explainable, monitored and replaceable.</w:t>
      </w:r>
    </w:p>
    <w:p>
      <w:pPr>
        <w:pStyle w:val="Heading2"/>
      </w:pPr>
      <w:r>
        <w:t>Capability scope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24D"/>
            <w:tcMar>
              <w:top w:w="100" w:type="dxa"/>
              <w:start w:w="120" w:type="dxa"/>
              <w:bottom w:w="100" w:type="dxa"/>
              <w:end w:w="120" w:type="dxa"/>
            </w:tcMar>
          </w:tcPr>
          <w:p>
            <w:pPr>
              <w:jc w:val="center"/>
            </w:pPr>
            <w:r>
              <w:rPr>
                <w:b/>
                <w:color w:val="FFFFFF"/>
                <w:sz w:val="17"/>
              </w:rPr>
              <w:t>Capability</w:t>
            </w:r>
          </w:p>
        </w:tc>
        <w:tc>
          <w:tcPr>
            <w:tcW w:type="dxa" w:w="7344"/>
            <w:shd w:fill="17324D"/>
            <w:tcMar>
              <w:top w:w="100" w:type="dxa"/>
              <w:start w:w="120" w:type="dxa"/>
              <w:bottom w:w="100" w:type="dxa"/>
              <w:end w:w="120" w:type="dxa"/>
            </w:tcMar>
          </w:tcPr>
          <w:p>
            <w:pPr>
              <w:jc w:val="center"/>
            </w:pPr>
            <w:r>
              <w:rPr>
                <w:b/>
                <w:color w:val="FFFFFF"/>
                <w:sz w:val="17"/>
              </w:rPr>
              <w:t>Responsibilities</w:t>
            </w:r>
          </w:p>
        </w:tc>
      </w:tr>
      <w:tr>
        <w:tc>
          <w:tcPr>
            <w:tcW w:type="dxa" w:w="2592"/>
            <w:tcMar>
              <w:top w:w="100" w:type="dxa"/>
              <w:start w:w="120" w:type="dxa"/>
              <w:bottom w:w="100" w:type="dxa"/>
              <w:end w:w="120" w:type="dxa"/>
            </w:tcMar>
            <w:vAlign w:val="center"/>
          </w:tcPr>
          <w:p>
            <w:pPr>
              <w:spacing w:after="0"/>
            </w:pPr>
            <w:r>
              <w:rPr>
                <w:sz w:val="17"/>
              </w:rPr>
              <w:t>Ride and asset register</w:t>
            </w:r>
          </w:p>
        </w:tc>
        <w:tc>
          <w:tcPr>
            <w:tcW w:type="dxa" w:w="7344"/>
            <w:tcMar>
              <w:top w:w="100" w:type="dxa"/>
              <w:start w:w="120" w:type="dxa"/>
              <w:bottom w:w="100" w:type="dxa"/>
              <w:end w:w="120" w:type="dxa"/>
            </w:tcMar>
            <w:vAlign w:val="center"/>
          </w:tcPr>
          <w:p>
            <w:pPr>
              <w:spacing w:after="0"/>
            </w:pPr>
            <w:r>
              <w:rPr>
                <w:sz w:val="17"/>
              </w:rPr>
              <w:t>Ride identity, components, location, criticality and service history.</w:t>
            </w:r>
          </w:p>
        </w:tc>
      </w:tr>
      <w:tr>
        <w:tc>
          <w:tcPr>
            <w:tcW w:type="dxa" w:w="2592"/>
            <w:tcMar>
              <w:top w:w="100" w:type="dxa"/>
              <w:start w:w="120" w:type="dxa"/>
              <w:bottom w:w="100" w:type="dxa"/>
              <w:end w:w="120" w:type="dxa"/>
            </w:tcMar>
            <w:vAlign w:val="center"/>
            <w:shd w:fill="F3F6F8"/>
          </w:tcPr>
          <w:p>
            <w:pPr>
              <w:spacing w:after="0"/>
            </w:pPr>
            <w:r>
              <w:rPr>
                <w:sz w:val="17"/>
              </w:rPr>
              <w:t>Inspection and defect management</w:t>
            </w:r>
          </w:p>
        </w:tc>
        <w:tc>
          <w:tcPr>
            <w:tcW w:type="dxa" w:w="7344"/>
            <w:tcMar>
              <w:top w:w="100" w:type="dxa"/>
              <w:start w:w="120" w:type="dxa"/>
              <w:bottom w:w="100" w:type="dxa"/>
              <w:end w:w="120" w:type="dxa"/>
            </w:tcMar>
            <w:vAlign w:val="center"/>
            <w:shd w:fill="F3F6F8"/>
          </w:tcPr>
          <w:p>
            <w:pPr>
              <w:spacing w:after="0"/>
            </w:pPr>
            <w:r>
              <w:rPr>
                <w:sz w:val="17"/>
              </w:rPr>
              <w:t>Checks, findings, evidence, severity, ownership and closure.</w:t>
            </w:r>
          </w:p>
        </w:tc>
      </w:tr>
      <w:tr>
        <w:tc>
          <w:tcPr>
            <w:tcW w:type="dxa" w:w="2592"/>
            <w:tcMar>
              <w:top w:w="100" w:type="dxa"/>
              <w:start w:w="120" w:type="dxa"/>
              <w:bottom w:w="100" w:type="dxa"/>
              <w:end w:w="120" w:type="dxa"/>
            </w:tcMar>
            <w:vAlign w:val="center"/>
          </w:tcPr>
          <w:p>
            <w:pPr>
              <w:spacing w:after="0"/>
            </w:pPr>
            <w:r>
              <w:rPr>
                <w:sz w:val="17"/>
              </w:rPr>
              <w:t>Maintenance planning</w:t>
            </w:r>
          </w:p>
        </w:tc>
        <w:tc>
          <w:tcPr>
            <w:tcW w:type="dxa" w:w="7344"/>
            <w:tcMar>
              <w:top w:w="100" w:type="dxa"/>
              <w:start w:w="120" w:type="dxa"/>
              <w:bottom w:w="100" w:type="dxa"/>
              <w:end w:w="120" w:type="dxa"/>
            </w:tcMar>
            <w:vAlign w:val="center"/>
          </w:tcPr>
          <w:p>
            <w:pPr>
              <w:spacing w:after="0"/>
            </w:pPr>
            <w:r>
              <w:rPr>
                <w:sz w:val="17"/>
              </w:rPr>
              <w:t>Preventive work, approved work orders, parts, resources and completion evidence.</w:t>
            </w:r>
          </w:p>
        </w:tc>
      </w:tr>
      <w:tr>
        <w:tc>
          <w:tcPr>
            <w:tcW w:type="dxa" w:w="2592"/>
            <w:tcMar>
              <w:top w:w="100" w:type="dxa"/>
              <w:start w:w="120" w:type="dxa"/>
              <w:bottom w:w="100" w:type="dxa"/>
              <w:end w:w="120" w:type="dxa"/>
            </w:tcMar>
            <w:vAlign w:val="center"/>
            <w:shd w:fill="F3F6F8"/>
          </w:tcPr>
          <w:p>
            <w:pPr>
              <w:spacing w:after="0"/>
            </w:pPr>
            <w:r>
              <w:rPr>
                <w:sz w:val="17"/>
              </w:rPr>
              <w:t>Ride operations</w:t>
            </w:r>
          </w:p>
        </w:tc>
        <w:tc>
          <w:tcPr>
            <w:tcW w:type="dxa" w:w="7344"/>
            <w:tcMar>
              <w:top w:w="100" w:type="dxa"/>
              <w:start w:w="120" w:type="dxa"/>
              <w:bottom w:w="100" w:type="dxa"/>
              <w:end w:w="120" w:type="dxa"/>
            </w:tcMar>
            <w:vAlign w:val="center"/>
            <w:shd w:fill="F3F6F8"/>
          </w:tcPr>
          <w:p>
            <w:pPr>
              <w:spacing w:after="0"/>
            </w:pPr>
            <w:r>
              <w:rPr>
                <w:sz w:val="17"/>
              </w:rPr>
              <w:t>Opening status, runtime, cycles, capacity, interruptions and incident workflow.</w:t>
            </w:r>
          </w:p>
        </w:tc>
      </w:tr>
      <w:tr>
        <w:tc>
          <w:tcPr>
            <w:tcW w:type="dxa" w:w="2592"/>
            <w:tcMar>
              <w:top w:w="100" w:type="dxa"/>
              <w:start w:w="120" w:type="dxa"/>
              <w:bottom w:w="100" w:type="dxa"/>
              <w:end w:w="120" w:type="dxa"/>
            </w:tcMar>
            <w:vAlign w:val="center"/>
          </w:tcPr>
          <w:p>
            <w:pPr>
              <w:spacing w:after="0"/>
            </w:pPr>
            <w:r>
              <w:rPr>
                <w:sz w:val="17"/>
              </w:rPr>
              <w:t>Telemetry-linked health</w:t>
            </w:r>
          </w:p>
        </w:tc>
        <w:tc>
          <w:tcPr>
            <w:tcW w:type="dxa" w:w="7344"/>
            <w:tcMar>
              <w:top w:w="100" w:type="dxa"/>
              <w:start w:w="120" w:type="dxa"/>
              <w:bottom w:w="100" w:type="dxa"/>
              <w:end w:w="120" w:type="dxa"/>
            </w:tcMar>
            <w:vAlign w:val="center"/>
          </w:tcPr>
          <w:p>
            <w:pPr>
              <w:spacing w:after="0"/>
            </w:pPr>
            <w:r>
              <w:rPr>
                <w:sz w:val="17"/>
              </w:rPr>
              <w:t>Condition data, data-quality status, trends and anomaly evidence.</w:t>
            </w:r>
          </w:p>
        </w:tc>
      </w:tr>
    </w:tbl>
    <w:p>
      <w:pPr>
        <w:spacing w:after="20"/>
      </w:pPr>
    </w:p>
    <w:p>
      <w:r>
        <w:br w:type="page"/>
      </w:r>
    </w:p>
    <w:p>
      <w:pPr>
        <w:pStyle w:val="Heading1"/>
      </w:pPr>
      <w:r>
        <w:t>2. C4 Level 2: container architecture</w:t>
      </w:r>
    </w:p>
    <w:p>
      <w:pPr>
        <w:jc w:val="center"/>
      </w:pPr>
      <w:r>
        <w:drawing>
          <wp:inline xmlns:a="http://schemas.openxmlformats.org/drawingml/2006/main" xmlns:pic="http://schemas.openxmlformats.org/drawingml/2006/picture">
            <wp:extent cx="6400800" cy="3321083"/>
            <wp:docPr id="6" name="Picture 6"/>
            <wp:cNvGraphicFramePr>
              <a:graphicFrameLocks noChangeAspect="1"/>
            </wp:cNvGraphicFramePr>
            <a:graphic>
              <a:graphicData uri="http://schemas.openxmlformats.org/drawingml/2006/picture">
                <pic:pic>
                  <pic:nvPicPr>
                    <pic:cNvPr id="0" name="ride_c2_final.png"/>
                    <pic:cNvPicPr/>
                  </pic:nvPicPr>
                  <pic:blipFill>
                    <a:blip r:embed="rId16"/>
                    <a:stretch>
                      <a:fillRect/>
                    </a:stretch>
                  </pic:blipFill>
                  <pic:spPr>
                    <a:xfrm>
                      <a:off x="0" y="0"/>
                      <a:ext cx="6400800" cy="3321083"/>
                    </a:xfrm>
                    <a:prstGeom prst="rect"/>
                  </pic:spPr>
                </pic:pic>
              </a:graphicData>
            </a:graphic>
          </wp:inline>
        </w:drawing>
      </w:r>
    </w:p>
    <w:p>
      <w:pPr>
        <w:pStyle w:val="FigureCaption"/>
        <w:jc w:val="center"/>
      </w:pPr>
      <w:r>
        <w:t>Figure 1. The Ride Operations Platform owns ride health and maintenance accountability; wider estate services consume curated events.</w:t>
      </w:r>
    </w:p>
    <w:tbl>
      <w:tblPr>
        <w:tblW w:type="auto" w:w="0"/>
        <w:tblLook w:firstColumn="1" w:firstRow="1" w:lastColumn="0" w:lastRow="0" w:noHBand="0" w:noVBand="1" w:val="04A0"/>
      </w:tblPr>
      <w:tblGrid>
        <w:gridCol w:w="10166"/>
      </w:tblGrid>
      <w:tr>
        <w:tc>
          <w:tcPr>
            <w:tcW w:type="dxa" w:w="10166"/>
            <w:shd w:fill="EAF3F7"/>
            <w:tcMar>
              <w:top w:w="150" w:type="dxa"/>
              <w:start w:w="180" w:type="dxa"/>
              <w:bottom w:w="150" w:type="dxa"/>
              <w:end w:w="180" w:type="dxa"/>
            </w:tcMar>
          </w:tcPr>
          <w:p>
            <w:pPr>
              <w:spacing w:after="40"/>
            </w:pPr>
            <w:r>
              <w:rPr>
                <w:b/>
                <w:color w:val="2A9D8F"/>
              </w:rPr>
              <w:t xml:space="preserve">ARCHITECTURAL INTENT  </w:t>
            </w:r>
            <w:r>
              <w:t>This boundary lets ride operations evolve independently while providing park operations, workforce planning, visitor services and analytics with approved operational signals.</w:t>
            </w:r>
          </w:p>
        </w:tc>
      </w:tr>
    </w:tbl>
    <w:p>
      <w:pPr>
        <w:spacing w:after="20"/>
      </w:pPr>
    </w:p>
    <w:p>
      <w:r>
        <w:br w:type="page"/>
      </w:r>
    </w:p>
    <w:p>
      <w:pPr>
        <w:pStyle w:val="Heading1"/>
      </w:pPr>
      <w:r>
        <w:t>3. C4 Level 3: critical service components</w:t>
      </w:r>
    </w:p>
    <w:p>
      <w:pPr>
        <w:jc w:val="center"/>
      </w:pPr>
      <w:r>
        <w:drawing>
          <wp:inline xmlns:a="http://schemas.openxmlformats.org/drawingml/2006/main" xmlns:pic="http://schemas.openxmlformats.org/drawingml/2006/picture">
            <wp:extent cx="6400800" cy="3321083"/>
            <wp:docPr id="7" name="Picture 7"/>
            <wp:cNvGraphicFramePr>
              <a:graphicFrameLocks noChangeAspect="1"/>
            </wp:cNvGraphicFramePr>
            <a:graphic>
              <a:graphicData uri="http://schemas.openxmlformats.org/drawingml/2006/picture">
                <pic:pic>
                  <pic:nvPicPr>
                    <pic:cNvPr id="0" name="ride_c3_final.png"/>
                    <pic:cNvPicPr/>
                  </pic:nvPicPr>
                  <pic:blipFill>
                    <a:blip r:embed="rId17"/>
                    <a:stretch>
                      <a:fillRect/>
                    </a:stretch>
                  </pic:blipFill>
                  <pic:spPr>
                    <a:xfrm>
                      <a:off x="0" y="0"/>
                      <a:ext cx="6400800" cy="3321083"/>
                    </a:xfrm>
                    <a:prstGeom prst="rect"/>
                  </pic:spPr>
                </pic:pic>
              </a:graphicData>
            </a:graphic>
          </wp:inline>
        </w:drawing>
      </w:r>
    </w:p>
    <w:p>
      <w:pPr>
        <w:pStyle w:val="FigureCaption"/>
        <w:jc w:val="center"/>
      </w:pPr>
      <w:r>
        <w:t>Figure 2. Component view of the Maintenance Intelligence Service.</w:t>
      </w:r>
    </w:p>
    <w:tbl>
      <w:tblPr>
        <w:tblW w:type="auto" w:w="0"/>
        <w:tblLook w:firstColumn="1" w:firstRow="1" w:lastColumn="0" w:lastRow="0" w:noHBand="0" w:noVBand="1" w:val="04A0"/>
      </w:tblPr>
      <w:tblGrid>
        <w:gridCol w:w="10166"/>
      </w:tblGrid>
      <w:tr>
        <w:tc>
          <w:tcPr>
            <w:tcW w:type="dxa" w:w="10166"/>
            <w:shd w:fill="EAF3F7"/>
          </w:tcPr>
          <w:p>
            <w:r>
              <w:rPr>
                <w:b/>
                <w:color w:val="2A9D8F"/>
              </w:rPr>
              <w:t xml:space="preserve">ARCHITECTURAL INTENT  </w:t>
            </w:r>
            <w:r>
              <w:t>Separates feature preparation, model invocation, recommendation policy and evidence publication so each can be validated independently.</w:t>
            </w:r>
          </w:p>
        </w:tc>
      </w:tr>
    </w:tbl>
    <w:p>
      <w:r>
        <w:br/>
      </w:r>
    </w:p>
    <w:p>
      <w:pPr>
        <w:pStyle w:val="Heading1"/>
        <w:pageBreakBefore/>
      </w:pPr>
      <w:r>
        <w:t>4. Deployment and resilience view</w:t>
      </w:r>
    </w:p>
    <w:p>
      <w:r>
        <w:drawing>
          <wp:inline xmlns:a="http://schemas.openxmlformats.org/drawingml/2006/main" xmlns:pic="http://schemas.openxmlformats.org/drawingml/2006/picture">
            <wp:extent cx="6400800" cy="3321083"/>
            <wp:docPr id="2" name="Picture 2"/>
            <wp:cNvGraphicFramePr>
              <a:graphicFrameLocks noChangeAspect="1"/>
            </wp:cNvGraphicFramePr>
            <a:graphic>
              <a:graphicData uri="http://schemas.openxmlformats.org/drawingml/2006/picture">
                <pic:pic>
                  <pic:nvPicPr>
                    <pic:cNvPr id="0" name="edge.png"/>
                    <pic:cNvPicPr/>
                  </pic:nvPicPr>
                  <pic:blipFill>
                    <a:blip r:embed="rId10"/>
                    <a:stretch>
                      <a:fillRect/>
                    </a:stretch>
                  </pic:blipFill>
                  <pic:spPr>
                    <a:xfrm>
                      <a:off x="0" y="0"/>
                      <a:ext cx="6400800" cy="3321083"/>
                    </a:xfrm>
                    <a:prstGeom prst="rect"/>
                  </pic:spPr>
                </pic:pic>
              </a:graphicData>
            </a:graphic>
          </wp:inline>
        </w:drawing>
      </w:r>
    </w:p>
    <w:p>
      <w:pPr>
        <w:pStyle w:val="FigureCaption"/>
        <w:jc w:val="center"/>
      </w:pPr>
      <w:r>
        <w:t>Figure 3. Zoned gateways collect and buffer ride telemetry without replacing local safety controls.</w:t>
      </w:r>
    </w:p>
    <w:tbl>
      <w:tblPr>
        <w:tblW w:type="auto" w:w="0"/>
        <w:tblLook w:firstColumn="1" w:firstRow="1" w:lastColumn="0" w:lastRow="0" w:noHBand="0" w:noVBand="1" w:val="04A0"/>
      </w:tblPr>
      <w:tblGrid>
        <w:gridCol w:w="10166"/>
      </w:tblGrid>
      <w:tr>
        <w:tc>
          <w:tcPr>
            <w:tcW w:type="dxa" w:w="10166"/>
            <w:shd w:fill="EAF3F7"/>
            <w:tcMar>
              <w:top w:w="150" w:type="dxa"/>
              <w:start w:w="180" w:type="dxa"/>
              <w:bottom w:w="150" w:type="dxa"/>
              <w:end w:w="180" w:type="dxa"/>
            </w:tcMar>
          </w:tcPr>
          <w:p>
            <w:pPr>
              <w:spacing w:after="40"/>
            </w:pPr>
            <w:r>
              <w:rPr>
                <w:b/>
                <w:color w:val="2A9D8F"/>
              </w:rPr>
              <w:t xml:space="preserve">ARCHITECTURAL INTENT  </w:t>
            </w:r>
            <w:r>
              <w:t>Telemetry supports analysis and planning. It does not become the safety-control path, and temporary network loss does not erase operational observations.</w:t>
            </w:r>
          </w:p>
        </w:tc>
      </w:tr>
    </w:tbl>
    <w:p>
      <w:pPr>
        <w:spacing w:after="20"/>
      </w:pPr>
    </w:p>
    <w:p>
      <w:r>
        <w:br w:type="page"/>
      </w:r>
    </w:p>
    <w:p>
      <w:pPr>
        <w:pStyle w:val="Heading1"/>
      </w:pPr>
      <w:r>
        <w:t>5. Dynamic view: predictive maintenance journey</w:t>
      </w:r>
    </w:p>
    <w:p>
      <w:r>
        <w:drawing>
          <wp:inline xmlns:a="http://schemas.openxmlformats.org/drawingml/2006/main" xmlns:pic="http://schemas.openxmlformats.org/drawingml/2006/picture">
            <wp:extent cx="6400800" cy="3321083"/>
            <wp:docPr id="3" name="Picture 3"/>
            <wp:cNvGraphicFramePr>
              <a:graphicFrameLocks noChangeAspect="1"/>
            </wp:cNvGraphicFramePr>
            <a:graphic>
              <a:graphicData uri="http://schemas.openxmlformats.org/drawingml/2006/picture">
                <pic:pic>
                  <pic:nvPicPr>
                    <pic:cNvPr id="0" name="journey.png"/>
                    <pic:cNvPicPr/>
                  </pic:nvPicPr>
                  <pic:blipFill>
                    <a:blip r:embed="rId11"/>
                    <a:stretch>
                      <a:fillRect/>
                    </a:stretch>
                  </pic:blipFill>
                  <pic:spPr>
                    <a:xfrm>
                      <a:off x="0" y="0"/>
                      <a:ext cx="6400800" cy="3321083"/>
                    </a:xfrm>
                    <a:prstGeom prst="rect"/>
                  </pic:spPr>
                </pic:pic>
              </a:graphicData>
            </a:graphic>
          </wp:inline>
        </w:drawing>
      </w:r>
    </w:p>
    <w:p>
      <w:pPr>
        <w:pStyle w:val="FigureCaption"/>
        <w:jc w:val="center"/>
      </w:pPr>
      <w:r>
        <w:t>Figure 4. Telemetry and inspections lead to evidence-backed recommendations, engineer review, approved maintenance and authorised return to service.</w:t>
      </w:r>
    </w:p>
    <w:tbl>
      <w:tblPr>
        <w:tblW w:type="auto" w:w="0"/>
        <w:tblLook w:firstColumn="1" w:firstRow="1" w:lastColumn="0" w:lastRow="0" w:noHBand="0" w:noVBand="1" w:val="04A0"/>
      </w:tblPr>
      <w:tblGrid>
        <w:gridCol w:w="10166"/>
      </w:tblGrid>
      <w:tr>
        <w:tc>
          <w:tcPr>
            <w:tcW w:type="dxa" w:w="10166"/>
            <w:shd w:fill="EAF3F7"/>
            <w:tcMar>
              <w:top w:w="150" w:type="dxa"/>
              <w:start w:w="180" w:type="dxa"/>
              <w:bottom w:w="150" w:type="dxa"/>
              <w:end w:w="180" w:type="dxa"/>
            </w:tcMar>
          </w:tcPr>
          <w:p>
            <w:pPr>
              <w:spacing w:after="40"/>
            </w:pPr>
            <w:r>
              <w:rPr>
                <w:b/>
                <w:color w:val="2A9D8F"/>
              </w:rPr>
              <w:t xml:space="preserve">ARCHITECTURAL INTENT  </w:t>
            </w:r>
            <w:r>
              <w:t>AI recommends and prioritises. Engineers remain accountable for investigation, work approval and return-to-service decisions.</w:t>
            </w:r>
          </w:p>
        </w:tc>
      </w:tr>
    </w:tbl>
    <w:p>
      <w:pPr>
        <w:spacing w:after="20"/>
      </w:pPr>
    </w:p>
    <w:p>
      <w:r>
        <w:br w:type="page"/>
      </w:r>
    </w:p>
    <w:p>
      <w:pPr>
        <w:pStyle w:val="Heading1"/>
      </w:pPr>
      <w:r>
        <w:t>6. AI strategy and guardrails</w:t>
      </w:r>
    </w:p>
    <w:p>
      <w:r>
        <w:t>AI is applied to bounded operational questions where recommendations can be tested against engineering outcomes and where failure cannot bypass safety controls.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7324D"/>
            <w:tcMar>
              <w:top w:w="100" w:type="dxa"/>
              <w:start w:w="120" w:type="dxa"/>
              <w:bottom w:w="100" w:type="dxa"/>
              <w:end w:w="120" w:type="dxa"/>
            </w:tcMar>
          </w:tcPr>
          <w:p>
            <w:pPr>
              <w:jc w:val="center"/>
            </w:pPr>
            <w:r>
              <w:rPr>
                <w:b/>
                <w:color w:val="FFFFFF"/>
                <w:sz w:val="16"/>
              </w:rPr>
              <w:t>Business need</w:t>
            </w:r>
          </w:p>
        </w:tc>
        <w:tc>
          <w:tcPr>
            <w:tcW w:type="dxa" w:w="4032"/>
            <w:shd w:fill="17324D"/>
            <w:tcMar>
              <w:top w:w="100" w:type="dxa"/>
              <w:start w:w="120" w:type="dxa"/>
              <w:bottom w:w="100" w:type="dxa"/>
              <w:end w:w="120" w:type="dxa"/>
            </w:tcMar>
          </w:tcPr>
          <w:p>
            <w:pPr>
              <w:jc w:val="center"/>
            </w:pPr>
            <w:r>
              <w:rPr>
                <w:b/>
                <w:color w:val="FFFFFF"/>
                <w:sz w:val="16"/>
              </w:rPr>
              <w:t>AI capability</w:t>
            </w:r>
          </w:p>
        </w:tc>
        <w:tc>
          <w:tcPr>
            <w:tcW w:type="dxa" w:w="3024"/>
            <w:shd w:fill="17324D"/>
            <w:tcMar>
              <w:top w:w="100" w:type="dxa"/>
              <w:start w:w="120" w:type="dxa"/>
              <w:bottom w:w="100" w:type="dxa"/>
              <w:end w:w="120" w:type="dxa"/>
            </w:tcMar>
          </w:tcPr>
          <w:p>
            <w:pPr>
              <w:jc w:val="center"/>
            </w:pPr>
            <w:r>
              <w:rPr>
                <w:b/>
                <w:color w:val="FFFFFF"/>
                <w:sz w:val="16"/>
              </w:rPr>
              <w:t>Required human control</w:t>
            </w:r>
          </w:p>
        </w:tc>
      </w:tr>
      <w:tr>
        <w:tc>
          <w:tcPr>
            <w:tcW w:type="dxa" w:w="2880"/>
            <w:tcMar>
              <w:top w:w="100" w:type="dxa"/>
              <w:start w:w="120" w:type="dxa"/>
              <w:bottom w:w="100" w:type="dxa"/>
              <w:end w:w="120" w:type="dxa"/>
            </w:tcMar>
            <w:vAlign w:val="center"/>
          </w:tcPr>
          <w:p>
            <w:pPr>
              <w:spacing w:after="0"/>
            </w:pPr>
            <w:r>
              <w:rPr>
                <w:sz w:val="16"/>
              </w:rPr>
              <w:t>Earlier fault indication</w:t>
            </w:r>
          </w:p>
        </w:tc>
        <w:tc>
          <w:tcPr>
            <w:tcW w:type="dxa" w:w="4032"/>
            <w:tcMar>
              <w:top w:w="100" w:type="dxa"/>
              <w:start w:w="120" w:type="dxa"/>
              <w:bottom w:w="100" w:type="dxa"/>
              <w:end w:w="120" w:type="dxa"/>
            </w:tcMar>
            <w:vAlign w:val="center"/>
          </w:tcPr>
          <w:p>
            <w:pPr>
              <w:spacing w:after="0"/>
            </w:pPr>
            <w:r>
              <w:rPr>
                <w:sz w:val="16"/>
              </w:rPr>
              <w:t>Condition and anomaly detection across runtime, vibration, temperature, current and maintenance history.</w:t>
            </w:r>
          </w:p>
        </w:tc>
        <w:tc>
          <w:tcPr>
            <w:tcW w:type="dxa" w:w="3024"/>
            <w:tcMar>
              <w:top w:w="100" w:type="dxa"/>
              <w:start w:w="120" w:type="dxa"/>
              <w:bottom w:w="100" w:type="dxa"/>
              <w:end w:w="120" w:type="dxa"/>
            </w:tcMar>
            <w:vAlign w:val="center"/>
          </w:tcPr>
          <w:p>
            <w:pPr>
              <w:spacing w:after="0"/>
            </w:pPr>
            <w:r>
              <w:rPr>
                <w:sz w:val="16"/>
              </w:rPr>
              <w:t>Engineer investigates and determines significance.</w:t>
            </w:r>
          </w:p>
        </w:tc>
      </w:tr>
      <w:tr>
        <w:tc>
          <w:tcPr>
            <w:tcW w:type="dxa" w:w="2880"/>
            <w:tcMar>
              <w:top w:w="100" w:type="dxa"/>
              <w:start w:w="120" w:type="dxa"/>
              <w:bottom w:w="100" w:type="dxa"/>
              <w:end w:w="120" w:type="dxa"/>
            </w:tcMar>
            <w:vAlign w:val="center"/>
            <w:shd w:fill="F3F6F8"/>
          </w:tcPr>
          <w:p>
            <w:pPr>
              <w:spacing w:after="0"/>
            </w:pPr>
            <w:r>
              <w:rPr>
                <w:sz w:val="16"/>
              </w:rPr>
              <w:t>Better maintenance timing</w:t>
            </w:r>
          </w:p>
        </w:tc>
        <w:tc>
          <w:tcPr>
            <w:tcW w:type="dxa" w:w="4032"/>
            <w:tcMar>
              <w:top w:w="100" w:type="dxa"/>
              <w:start w:w="120" w:type="dxa"/>
              <w:bottom w:w="100" w:type="dxa"/>
              <w:end w:w="120" w:type="dxa"/>
            </w:tcMar>
            <w:vAlign w:val="center"/>
            <w:shd w:fill="F3F6F8"/>
          </w:tcPr>
          <w:p>
            <w:pPr>
              <w:spacing w:after="0"/>
            </w:pPr>
            <w:r>
              <w:rPr>
                <w:sz w:val="16"/>
              </w:rPr>
              <w:t>Failure-risk and remaining-useful-life estimates where sufficient evidence exists.</w:t>
            </w:r>
          </w:p>
        </w:tc>
        <w:tc>
          <w:tcPr>
            <w:tcW w:type="dxa" w:w="3024"/>
            <w:tcMar>
              <w:top w:w="100" w:type="dxa"/>
              <w:start w:w="120" w:type="dxa"/>
              <w:bottom w:w="100" w:type="dxa"/>
              <w:end w:w="120" w:type="dxa"/>
            </w:tcMar>
            <w:vAlign w:val="center"/>
            <w:shd w:fill="F3F6F8"/>
          </w:tcPr>
          <w:p>
            <w:pPr>
              <w:spacing w:after="0"/>
            </w:pPr>
            <w:r>
              <w:rPr>
                <w:sz w:val="16"/>
              </w:rPr>
              <w:t>Engineer approves work and timing.</w:t>
            </w:r>
          </w:p>
        </w:tc>
      </w:tr>
      <w:tr>
        <w:tc>
          <w:tcPr>
            <w:tcW w:type="dxa" w:w="2880"/>
            <w:tcMar>
              <w:top w:w="100" w:type="dxa"/>
              <w:start w:w="120" w:type="dxa"/>
              <w:bottom w:w="100" w:type="dxa"/>
              <w:end w:w="120" w:type="dxa"/>
            </w:tcMar>
            <w:vAlign w:val="center"/>
          </w:tcPr>
          <w:p>
            <w:pPr>
              <w:spacing w:after="0"/>
            </w:pPr>
            <w:r>
              <w:rPr>
                <w:sz w:val="16"/>
              </w:rPr>
              <w:t>Anticipate ride demand</w:t>
            </w:r>
          </w:p>
        </w:tc>
        <w:tc>
          <w:tcPr>
            <w:tcW w:type="dxa" w:w="4032"/>
            <w:tcMar>
              <w:top w:w="100" w:type="dxa"/>
              <w:start w:w="120" w:type="dxa"/>
              <w:bottom w:w="100" w:type="dxa"/>
              <w:end w:w="120" w:type="dxa"/>
            </w:tcMar>
            <w:vAlign w:val="center"/>
          </w:tcPr>
          <w:p>
            <w:pPr>
              <w:spacing w:after="0"/>
            </w:pPr>
            <w:r>
              <w:rPr>
                <w:sz w:val="16"/>
              </w:rPr>
              <w:t>Demand forecasting using historical throughput and park conditions.</w:t>
            </w:r>
          </w:p>
        </w:tc>
        <w:tc>
          <w:tcPr>
            <w:tcW w:type="dxa" w:w="3024"/>
            <w:tcMar>
              <w:top w:w="100" w:type="dxa"/>
              <w:start w:w="120" w:type="dxa"/>
              <w:bottom w:w="100" w:type="dxa"/>
              <w:end w:w="120" w:type="dxa"/>
            </w:tcMar>
            <w:vAlign w:val="center"/>
          </w:tcPr>
          <w:p>
            <w:pPr>
              <w:spacing w:after="0"/>
            </w:pPr>
            <w:r>
              <w:rPr>
                <w:sz w:val="16"/>
              </w:rPr>
              <w:t>Duty manager approves staffing and visitor-flow response.</w:t>
            </w:r>
          </w:p>
        </w:tc>
      </w:tr>
      <w:tr>
        <w:tc>
          <w:tcPr>
            <w:tcW w:type="dxa" w:w="2880"/>
            <w:tcMar>
              <w:top w:w="100" w:type="dxa"/>
              <w:start w:w="120" w:type="dxa"/>
              <w:bottom w:w="100" w:type="dxa"/>
              <w:end w:w="120" w:type="dxa"/>
            </w:tcMar>
            <w:vAlign w:val="center"/>
            <w:shd w:fill="F3F6F8"/>
          </w:tcPr>
          <w:p>
            <w:pPr>
              <w:spacing w:after="0"/>
            </w:pPr>
            <w:r>
              <w:rPr>
                <w:sz w:val="16"/>
              </w:rPr>
              <w:t>Faster troubleshooting</w:t>
            </w:r>
          </w:p>
        </w:tc>
        <w:tc>
          <w:tcPr>
            <w:tcW w:type="dxa" w:w="4032"/>
            <w:tcMar>
              <w:top w:w="100" w:type="dxa"/>
              <w:start w:w="120" w:type="dxa"/>
              <w:bottom w:w="100" w:type="dxa"/>
              <w:end w:w="120" w:type="dxa"/>
            </w:tcMar>
            <w:vAlign w:val="center"/>
            <w:shd w:fill="F3F6F8"/>
          </w:tcPr>
          <w:p>
            <w:pPr>
              <w:spacing w:after="0"/>
            </w:pPr>
            <w:r>
              <w:rPr>
                <w:sz w:val="16"/>
              </w:rPr>
              <w:t>Retrieval-based assistant over approved manuals, inspections and service history.</w:t>
            </w:r>
          </w:p>
        </w:tc>
        <w:tc>
          <w:tcPr>
            <w:tcW w:type="dxa" w:w="3024"/>
            <w:tcMar>
              <w:top w:w="100" w:type="dxa"/>
              <w:start w:w="120" w:type="dxa"/>
              <w:bottom w:w="100" w:type="dxa"/>
              <w:end w:w="120" w:type="dxa"/>
            </w:tcMar>
            <w:vAlign w:val="center"/>
            <w:shd w:fill="F3F6F8"/>
          </w:tcPr>
          <w:p>
            <w:pPr>
              <w:spacing w:after="0"/>
            </w:pPr>
            <w:r>
              <w:rPr>
                <w:sz w:val="16"/>
              </w:rPr>
              <w:t>Engineer validates cited guidance before use.</w:t>
            </w:r>
          </w:p>
        </w:tc>
      </w:tr>
    </w:tbl>
    <w:p>
      <w:pPr>
        <w:spacing w:after="20"/>
      </w:pPr>
    </w:p>
    <w:p>
      <w:pPr>
        <w:pStyle w:val="Heading2"/>
      </w:pPr>
      <w:r>
        <w:t>Guardrails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968"/>
            <w:shd w:fill="17324D"/>
            <w:tcMar>
              <w:top w:w="100" w:type="dxa"/>
              <w:start w:w="120" w:type="dxa"/>
              <w:bottom w:w="100" w:type="dxa"/>
              <w:end w:w="120" w:type="dxa"/>
            </w:tcMar>
          </w:tcPr>
          <w:p>
            <w:pPr>
              <w:jc w:val="center"/>
            </w:pPr>
            <w:r>
              <w:rPr>
                <w:b/>
                <w:color w:val="FFFFFF"/>
                <w:sz w:val="17"/>
              </w:rPr>
              <w:t>AI may</w:t>
            </w:r>
          </w:p>
        </w:tc>
        <w:tc>
          <w:tcPr>
            <w:tcW w:type="dxa" w:w="4968"/>
            <w:shd w:fill="17324D"/>
            <w:tcMar>
              <w:top w:w="100" w:type="dxa"/>
              <w:start w:w="120" w:type="dxa"/>
              <w:bottom w:w="100" w:type="dxa"/>
              <w:end w:w="120" w:type="dxa"/>
            </w:tcMar>
          </w:tcPr>
          <w:p>
            <w:pPr>
              <w:jc w:val="center"/>
            </w:pPr>
            <w:r>
              <w:rPr>
                <w:b/>
                <w:color w:val="FFFFFF"/>
                <w:sz w:val="17"/>
              </w:rPr>
              <w:t>AI may not</w:t>
            </w:r>
          </w:p>
        </w:tc>
      </w:tr>
      <w:tr>
        <w:tc>
          <w:tcPr>
            <w:tcW w:type="dxa" w:w="4968"/>
            <w:tcMar>
              <w:top w:w="100" w:type="dxa"/>
              <w:start w:w="120" w:type="dxa"/>
              <w:bottom w:w="100" w:type="dxa"/>
              <w:end w:w="120" w:type="dxa"/>
            </w:tcMar>
            <w:vAlign w:val="center"/>
          </w:tcPr>
          <w:p>
            <w:pPr>
              <w:spacing w:after="0"/>
            </w:pPr>
            <w:r>
              <w:rPr>
                <w:sz w:val="17"/>
              </w:rPr>
              <w:t>Identify anomalies and maintenance risk.</w:t>
            </w:r>
          </w:p>
        </w:tc>
        <w:tc>
          <w:tcPr>
            <w:tcW w:type="dxa" w:w="4968"/>
            <w:tcMar>
              <w:top w:w="100" w:type="dxa"/>
              <w:start w:w="120" w:type="dxa"/>
              <w:bottom w:w="100" w:type="dxa"/>
              <w:end w:w="120" w:type="dxa"/>
            </w:tcMar>
            <w:vAlign w:val="center"/>
          </w:tcPr>
          <w:p>
            <w:pPr>
              <w:spacing w:after="0"/>
            </w:pPr>
            <w:r>
              <w:rPr>
                <w:sz w:val="17"/>
              </w:rPr>
              <w:t>Override ride controls or safety interlocks.</w:t>
            </w:r>
          </w:p>
        </w:tc>
      </w:tr>
      <w:tr>
        <w:tc>
          <w:tcPr>
            <w:tcW w:type="dxa" w:w="4968"/>
            <w:tcMar>
              <w:top w:w="100" w:type="dxa"/>
              <w:start w:w="120" w:type="dxa"/>
              <w:bottom w:w="100" w:type="dxa"/>
              <w:end w:w="120" w:type="dxa"/>
            </w:tcMar>
            <w:vAlign w:val="center"/>
            <w:shd w:fill="F3F6F8"/>
          </w:tcPr>
          <w:p>
            <w:pPr>
              <w:spacing w:after="0"/>
            </w:pPr>
            <w:r>
              <w:rPr>
                <w:sz w:val="17"/>
              </w:rPr>
              <w:t>Recommend investigation and maintenance windows.</w:t>
            </w:r>
          </w:p>
        </w:tc>
        <w:tc>
          <w:tcPr>
            <w:tcW w:type="dxa" w:w="4968"/>
            <w:tcMar>
              <w:top w:w="100" w:type="dxa"/>
              <w:start w:w="120" w:type="dxa"/>
              <w:bottom w:w="100" w:type="dxa"/>
              <w:end w:w="120" w:type="dxa"/>
            </w:tcMar>
            <w:vAlign w:val="center"/>
            <w:shd w:fill="F3F6F8"/>
          </w:tcPr>
          <w:p>
            <w:pPr>
              <w:spacing w:after="0"/>
            </w:pPr>
            <w:r>
              <w:rPr>
                <w:sz w:val="17"/>
              </w:rPr>
              <w:t>Shut down, open or return a ride to service autonomously.</w:t>
            </w:r>
          </w:p>
        </w:tc>
      </w:tr>
      <w:tr>
        <w:tc>
          <w:tcPr>
            <w:tcW w:type="dxa" w:w="4968"/>
            <w:tcMar>
              <w:top w:w="100" w:type="dxa"/>
              <w:start w:w="120" w:type="dxa"/>
              <w:bottom w:w="100" w:type="dxa"/>
              <w:end w:w="120" w:type="dxa"/>
            </w:tcMar>
            <w:vAlign w:val="center"/>
          </w:tcPr>
          <w:p>
            <w:pPr>
              <w:spacing w:after="0"/>
            </w:pPr>
            <w:r>
              <w:rPr>
                <w:sz w:val="17"/>
              </w:rPr>
              <w:t>Forecast demand and capacity pressure.</w:t>
            </w:r>
          </w:p>
        </w:tc>
        <w:tc>
          <w:tcPr>
            <w:tcW w:type="dxa" w:w="4968"/>
            <w:tcMar>
              <w:top w:w="100" w:type="dxa"/>
              <w:start w:w="120" w:type="dxa"/>
              <w:bottom w:w="100" w:type="dxa"/>
              <w:end w:w="120" w:type="dxa"/>
            </w:tcMar>
            <w:vAlign w:val="center"/>
          </w:tcPr>
          <w:p>
            <w:pPr>
              <w:spacing w:after="0"/>
            </w:pPr>
            <w:r>
              <w:rPr>
                <w:sz w:val="17"/>
              </w:rPr>
              <w:t>Approve maintenance work or certify safety.</w:t>
            </w:r>
          </w:p>
        </w:tc>
      </w:tr>
      <w:tr>
        <w:tc>
          <w:tcPr>
            <w:tcW w:type="dxa" w:w="4968"/>
            <w:tcMar>
              <w:top w:w="100" w:type="dxa"/>
              <w:start w:w="120" w:type="dxa"/>
              <w:bottom w:w="100" w:type="dxa"/>
              <w:end w:w="120" w:type="dxa"/>
            </w:tcMar>
            <w:vAlign w:val="center"/>
            <w:shd w:fill="F3F6F8"/>
          </w:tcPr>
          <w:p>
            <w:pPr>
              <w:spacing w:after="0"/>
            </w:pPr>
            <w:r>
              <w:rPr>
                <w:sz w:val="17"/>
              </w:rPr>
              <w:t>Summarise and cite approved engineering information.</w:t>
            </w:r>
          </w:p>
        </w:tc>
        <w:tc>
          <w:tcPr>
            <w:tcW w:type="dxa" w:w="4968"/>
            <w:tcMar>
              <w:top w:w="100" w:type="dxa"/>
              <w:start w:w="120" w:type="dxa"/>
              <w:bottom w:w="100" w:type="dxa"/>
              <w:end w:w="120" w:type="dxa"/>
            </w:tcMar>
            <w:vAlign w:val="center"/>
            <w:shd w:fill="F3F6F8"/>
          </w:tcPr>
          <w:p>
            <w:pPr>
              <w:spacing w:after="0"/>
            </w:pPr>
            <w:r>
              <w:rPr>
                <w:sz w:val="17"/>
              </w:rPr>
              <w:t>Conceal deterministic alarms or present unsupported conclusions.</w:t>
            </w:r>
          </w:p>
        </w:tc>
      </w:tr>
    </w:tbl>
    <w:p>
      <w:pPr>
        <w:spacing w:after="20"/>
      </w:pPr>
    </w:p>
    <w:p>
      <w:pPr>
        <w:pStyle w:val="Heading2"/>
      </w:pPr>
      <w:r>
        <w:t>Validation and fallback</w:t>
      </w:r>
    </w:p>
    <w:p>
      <w:pPr>
        <w:pStyle w:val="ListBullet"/>
        <w:spacing w:after="40"/>
      </w:pPr>
      <w:r>
        <w:t>Validate against known defects, normal operation, seasonal variation and simulated missing or faulty telemetry.</w:t>
      </w:r>
    </w:p>
    <w:p>
      <w:pPr>
        <w:pStyle w:val="ListBullet"/>
        <w:spacing w:after="40"/>
      </w:pPr>
      <w:r>
        <w:t>Monitor data quality, drift, recommendation acceptance, false alerts and missed-failure reviews.</w:t>
      </w:r>
    </w:p>
    <w:p>
      <w:pPr>
        <w:pStyle w:val="ListBullet"/>
        <w:spacing w:after="40"/>
      </w:pPr>
      <w:r>
        <w:t>When a model is unavailable or outside its approved conditions, continue inspections, preventive schedules and deterministic alarms.</w:t>
      </w:r>
    </w:p>
    <w:p>
      <w:pPr>
        <w:pStyle w:val="ListBullet"/>
        <w:spacing w:after="40"/>
      </w:pPr>
      <w:r>
        <w:t>Use versioned internal inference contracts so models and providers can be replaced without changing operational workflows.</w:t>
      </w:r>
    </w:p>
    <w:p>
      <w:r>
        <w:br w:type="page"/>
      </w:r>
    </w:p>
    <w:p>
      <w:pPr>
        <w:pStyle w:val="Heading1"/>
      </w:pPr>
      <w:r>
        <w:t>7. Architectural decision records</w:t>
      </w:r>
    </w:p>
    <w:p>
      <w:r>
        <w:t>These concise ADRs capture the decisions that most strongly shape the capability.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232"/>
            <w:shd w:fill="17324D"/>
            <w:tcMar>
              <w:top w:w="100" w:type="dxa"/>
              <w:start w:w="120" w:type="dxa"/>
              <w:bottom w:w="100" w:type="dxa"/>
              <w:end w:w="120" w:type="dxa"/>
            </w:tcMar>
          </w:tcPr>
          <w:p>
            <w:pPr>
              <w:jc w:val="center"/>
            </w:pPr>
            <w:r>
              <w:rPr>
                <w:b/>
                <w:color w:val="FFFFFF"/>
                <w:sz w:val="14"/>
              </w:rPr>
              <w:t>ID / decision</w:t>
            </w:r>
          </w:p>
        </w:tc>
        <w:tc>
          <w:tcPr>
            <w:tcW w:type="dxa" w:w="2304"/>
            <w:shd w:fill="17324D"/>
            <w:tcMar>
              <w:top w:w="100" w:type="dxa"/>
              <w:start w:w="120" w:type="dxa"/>
              <w:bottom w:w="100" w:type="dxa"/>
              <w:end w:w="120" w:type="dxa"/>
            </w:tcMar>
          </w:tcPr>
          <w:p>
            <w:pPr>
              <w:jc w:val="center"/>
            </w:pPr>
            <w:r>
              <w:rPr>
                <w:b/>
                <w:color w:val="FFFFFF"/>
                <w:sz w:val="14"/>
              </w:rPr>
              <w:t>Context</w:t>
            </w:r>
          </w:p>
        </w:tc>
        <w:tc>
          <w:tcPr>
            <w:tcW w:type="dxa" w:w="3096"/>
            <w:shd w:fill="17324D"/>
            <w:tcMar>
              <w:top w:w="100" w:type="dxa"/>
              <w:start w:w="120" w:type="dxa"/>
              <w:bottom w:w="100" w:type="dxa"/>
              <w:end w:w="120" w:type="dxa"/>
            </w:tcMar>
          </w:tcPr>
          <w:p>
            <w:pPr>
              <w:jc w:val="center"/>
            </w:pPr>
            <w:r>
              <w:rPr>
                <w:b/>
                <w:color w:val="FFFFFF"/>
                <w:sz w:val="14"/>
              </w:rPr>
              <w:t>Decision</w:t>
            </w:r>
          </w:p>
        </w:tc>
        <w:tc>
          <w:tcPr>
            <w:tcW w:type="dxa" w:w="2376"/>
            <w:shd w:fill="17324D"/>
            <w:tcMar>
              <w:top w:w="100" w:type="dxa"/>
              <w:start w:w="120" w:type="dxa"/>
              <w:bottom w:w="100" w:type="dxa"/>
              <w:end w:w="120" w:type="dxa"/>
            </w:tcMar>
          </w:tcPr>
          <w:p>
            <w:pPr>
              <w:jc w:val="center"/>
            </w:pPr>
            <w:r>
              <w:rPr>
                <w:b/>
                <w:color w:val="FFFFFF"/>
                <w:sz w:val="14"/>
              </w:rPr>
              <w:t>Consequence</w:t>
            </w:r>
          </w:p>
        </w:tc>
      </w:tr>
      <w:tr>
        <w:tc>
          <w:tcPr>
            <w:tcW w:type="dxa" w:w="2232"/>
            <w:tcMar>
              <w:top w:w="100" w:type="dxa"/>
              <w:start w:w="120" w:type="dxa"/>
              <w:bottom w:w="100" w:type="dxa"/>
              <w:end w:w="120" w:type="dxa"/>
            </w:tcMar>
            <w:vAlign w:val="center"/>
          </w:tcPr>
          <w:p>
            <w:pPr>
              <w:spacing w:after="0"/>
            </w:pPr>
            <w:r>
              <w:rPr>
                <w:sz w:val="14"/>
              </w:rPr>
              <w:t>ADR-RO-01</w:t>
              <w:br/>
              <w:t>Ride Operations Platform as system of record</w:t>
            </w:r>
          </w:p>
        </w:tc>
        <w:tc>
          <w:tcPr>
            <w:tcW w:type="dxa" w:w="2304"/>
            <w:tcMar>
              <w:top w:w="100" w:type="dxa"/>
              <w:start w:w="120" w:type="dxa"/>
              <w:bottom w:w="100" w:type="dxa"/>
              <w:end w:w="120" w:type="dxa"/>
            </w:tcMar>
            <w:vAlign w:val="center"/>
          </w:tcPr>
          <w:p>
            <w:pPr>
              <w:spacing w:after="0"/>
            </w:pPr>
            <w:r>
              <w:rPr>
                <w:sz w:val="14"/>
              </w:rPr>
              <w:t>Data arrives from engineers, operations and devices.</w:t>
            </w:r>
          </w:p>
        </w:tc>
        <w:tc>
          <w:tcPr>
            <w:tcW w:type="dxa" w:w="3096"/>
            <w:tcMar>
              <w:top w:w="100" w:type="dxa"/>
              <w:start w:w="120" w:type="dxa"/>
              <w:bottom w:w="100" w:type="dxa"/>
              <w:end w:w="120" w:type="dxa"/>
            </w:tcMar>
            <w:vAlign w:val="center"/>
          </w:tcPr>
          <w:p>
            <w:pPr>
              <w:spacing w:after="0"/>
            </w:pPr>
            <w:r>
              <w:rPr>
                <w:sz w:val="14"/>
              </w:rPr>
              <w:t>Own status, inspections, defects and maintenance history in the Ride Operations Platform.</w:t>
            </w:r>
          </w:p>
        </w:tc>
        <w:tc>
          <w:tcPr>
            <w:tcW w:type="dxa" w:w="2376"/>
            <w:tcMar>
              <w:top w:w="100" w:type="dxa"/>
              <w:start w:w="120" w:type="dxa"/>
              <w:bottom w:w="100" w:type="dxa"/>
              <w:end w:w="120" w:type="dxa"/>
            </w:tcMar>
            <w:vAlign w:val="center"/>
          </w:tcPr>
          <w:p>
            <w:pPr>
              <w:spacing w:after="0"/>
            </w:pPr>
            <w:r>
              <w:rPr>
                <w:sz w:val="14"/>
              </w:rPr>
              <w:t>Clear accountability and auditability; requires integration from telemetry and estate systems.</w:t>
            </w:r>
          </w:p>
        </w:tc>
      </w:tr>
      <w:tr>
        <w:tc>
          <w:tcPr>
            <w:tcW w:type="dxa" w:w="2232"/>
            <w:tcMar>
              <w:top w:w="100" w:type="dxa"/>
              <w:start w:w="120" w:type="dxa"/>
              <w:bottom w:w="100" w:type="dxa"/>
              <w:end w:w="120" w:type="dxa"/>
            </w:tcMar>
            <w:vAlign w:val="center"/>
            <w:shd w:fill="F3F6F8"/>
          </w:tcPr>
          <w:p>
            <w:pPr>
              <w:spacing w:after="0"/>
            </w:pPr>
            <w:r>
              <w:rPr>
                <w:sz w:val="14"/>
              </w:rPr>
              <w:t>ADR-RO-02</w:t>
              <w:br/>
              <w:t>Safety controls remain local and deterministic</w:t>
            </w:r>
          </w:p>
        </w:tc>
        <w:tc>
          <w:tcPr>
            <w:tcW w:type="dxa" w:w="2304"/>
            <w:tcMar>
              <w:top w:w="100" w:type="dxa"/>
              <w:start w:w="120" w:type="dxa"/>
              <w:bottom w:w="100" w:type="dxa"/>
              <w:end w:w="120" w:type="dxa"/>
            </w:tcMar>
            <w:vAlign w:val="center"/>
            <w:shd w:fill="F3F6F8"/>
          </w:tcPr>
          <w:p>
            <w:pPr>
              <w:spacing w:after="0"/>
            </w:pPr>
            <w:r>
              <w:rPr>
                <w:sz w:val="14"/>
              </w:rPr>
              <w:t>Connectivity and AI cannot be trusted for immediate safety action.</w:t>
            </w:r>
          </w:p>
        </w:tc>
        <w:tc>
          <w:tcPr>
            <w:tcW w:type="dxa" w:w="3096"/>
            <w:tcMar>
              <w:top w:w="100" w:type="dxa"/>
              <w:start w:w="120" w:type="dxa"/>
              <w:bottom w:w="100" w:type="dxa"/>
              <w:end w:w="120" w:type="dxa"/>
            </w:tcMar>
            <w:vAlign w:val="center"/>
            <w:shd w:fill="F3F6F8"/>
          </w:tcPr>
          <w:p>
            <w:pPr>
              <w:spacing w:after="0"/>
            </w:pPr>
            <w:r>
              <w:rPr>
                <w:sz w:val="14"/>
              </w:rPr>
              <w:t>Keep certified ride controls and interlocks outside the cloud and AI path.</w:t>
            </w:r>
          </w:p>
        </w:tc>
        <w:tc>
          <w:tcPr>
            <w:tcW w:type="dxa" w:w="2376"/>
            <w:tcMar>
              <w:top w:w="100" w:type="dxa"/>
              <w:start w:w="120" w:type="dxa"/>
              <w:bottom w:w="100" w:type="dxa"/>
              <w:end w:w="120" w:type="dxa"/>
            </w:tcMar>
            <w:vAlign w:val="center"/>
            <w:shd w:fill="F3F6F8"/>
          </w:tcPr>
          <w:p>
            <w:pPr>
              <w:spacing w:after="0"/>
            </w:pPr>
            <w:r>
              <w:rPr>
                <w:sz w:val="14"/>
              </w:rPr>
              <w:t>Preserves safety independence; limits remote automation.</w:t>
            </w:r>
          </w:p>
        </w:tc>
      </w:tr>
      <w:tr>
        <w:tc>
          <w:tcPr>
            <w:tcW w:type="dxa" w:w="2232"/>
            <w:tcMar>
              <w:top w:w="100" w:type="dxa"/>
              <w:start w:w="120" w:type="dxa"/>
              <w:bottom w:w="100" w:type="dxa"/>
              <w:end w:w="120" w:type="dxa"/>
            </w:tcMar>
            <w:vAlign w:val="center"/>
          </w:tcPr>
          <w:p>
            <w:pPr>
              <w:spacing w:after="0"/>
            </w:pPr>
            <w:r>
              <w:rPr>
                <w:sz w:val="14"/>
              </w:rPr>
              <w:t>ADR-RO-03</w:t>
              <w:br/>
              <w:t>Edge-first telemetry resilience</w:t>
            </w:r>
          </w:p>
        </w:tc>
        <w:tc>
          <w:tcPr>
            <w:tcW w:type="dxa" w:w="2304"/>
            <w:tcMar>
              <w:top w:w="100" w:type="dxa"/>
              <w:start w:w="120" w:type="dxa"/>
              <w:bottom w:w="100" w:type="dxa"/>
              <w:end w:w="120" w:type="dxa"/>
            </w:tcMar>
            <w:vAlign w:val="center"/>
          </w:tcPr>
          <w:p>
            <w:pPr>
              <w:spacing w:after="0"/>
            </w:pPr>
            <w:r>
              <w:rPr>
                <w:sz w:val="14"/>
              </w:rPr>
              <w:t>Estate connectivity is patchy.</w:t>
            </w:r>
          </w:p>
        </w:tc>
        <w:tc>
          <w:tcPr>
            <w:tcW w:type="dxa" w:w="3096"/>
            <w:tcMar>
              <w:top w:w="100" w:type="dxa"/>
              <w:start w:w="120" w:type="dxa"/>
              <w:bottom w:w="100" w:type="dxa"/>
              <w:end w:w="120" w:type="dxa"/>
            </w:tcMar>
            <w:vAlign w:val="center"/>
          </w:tcPr>
          <w:p>
            <w:pPr>
              <w:spacing w:after="0"/>
            </w:pPr>
            <w:r>
              <w:rPr>
                <w:sz w:val="14"/>
              </w:rPr>
              <w:t>Use zoned gateways with buffering, health checks and replay.</w:t>
            </w:r>
          </w:p>
        </w:tc>
        <w:tc>
          <w:tcPr>
            <w:tcW w:type="dxa" w:w="2376"/>
            <w:tcMar>
              <w:top w:w="100" w:type="dxa"/>
              <w:start w:w="120" w:type="dxa"/>
              <w:bottom w:w="100" w:type="dxa"/>
              <w:end w:w="120" w:type="dxa"/>
            </w:tcMar>
            <w:vAlign w:val="center"/>
          </w:tcPr>
          <w:p>
            <w:pPr>
              <w:spacing w:after="0"/>
            </w:pPr>
            <w:r>
              <w:rPr>
                <w:sz w:val="14"/>
              </w:rPr>
              <w:t>Retains operational data through outages; adds managed estate hardware.</w:t>
            </w:r>
          </w:p>
        </w:tc>
      </w:tr>
      <w:tr>
        <w:tc>
          <w:tcPr>
            <w:tcW w:type="dxa" w:w="2232"/>
            <w:tcMar>
              <w:top w:w="100" w:type="dxa"/>
              <w:start w:w="120" w:type="dxa"/>
              <w:bottom w:w="100" w:type="dxa"/>
              <w:end w:w="120" w:type="dxa"/>
            </w:tcMar>
            <w:vAlign w:val="center"/>
            <w:shd w:fill="F3F6F8"/>
          </w:tcPr>
          <w:p>
            <w:pPr>
              <w:spacing w:after="0"/>
            </w:pPr>
            <w:r>
              <w:rPr>
                <w:sz w:val="14"/>
              </w:rPr>
              <w:t>ADR-RO-04</w:t>
              <w:br/>
              <w:t>Event-driven estate integration</w:t>
            </w:r>
          </w:p>
        </w:tc>
        <w:tc>
          <w:tcPr>
            <w:tcW w:type="dxa" w:w="2304"/>
            <w:tcMar>
              <w:top w:w="100" w:type="dxa"/>
              <w:start w:w="120" w:type="dxa"/>
              <w:bottom w:w="100" w:type="dxa"/>
              <w:end w:w="120" w:type="dxa"/>
            </w:tcMar>
            <w:vAlign w:val="center"/>
            <w:shd w:fill="F3F6F8"/>
          </w:tcPr>
          <w:p>
            <w:pPr>
              <w:spacing w:after="0"/>
            </w:pPr>
            <w:r>
              <w:rPr>
                <w:sz w:val="14"/>
              </w:rPr>
              <w:t>Queue, visitor, workforce and analytics services need ride status.</w:t>
            </w:r>
          </w:p>
        </w:tc>
        <w:tc>
          <w:tcPr>
            <w:tcW w:type="dxa" w:w="3096"/>
            <w:tcMar>
              <w:top w:w="100" w:type="dxa"/>
              <w:start w:w="120" w:type="dxa"/>
              <w:bottom w:w="100" w:type="dxa"/>
              <w:end w:w="120" w:type="dxa"/>
            </w:tcMar>
            <w:vAlign w:val="center"/>
            <w:shd w:fill="F3F6F8"/>
          </w:tcPr>
          <w:p>
            <w:pPr>
              <w:spacing w:after="0"/>
            </w:pPr>
            <w:r>
              <w:rPr>
                <w:sz w:val="14"/>
              </w:rPr>
              <w:t>Publish curated ride domain events through the Estate Event Platform.</w:t>
            </w:r>
          </w:p>
        </w:tc>
        <w:tc>
          <w:tcPr>
            <w:tcW w:type="dxa" w:w="2376"/>
            <w:tcMar>
              <w:top w:w="100" w:type="dxa"/>
              <w:start w:w="120" w:type="dxa"/>
              <w:bottom w:w="100" w:type="dxa"/>
              <w:end w:w="120" w:type="dxa"/>
            </w:tcMar>
            <w:vAlign w:val="center"/>
            <w:shd w:fill="F3F6F8"/>
          </w:tcPr>
          <w:p>
            <w:pPr>
              <w:spacing w:after="0"/>
            </w:pPr>
            <w:r>
              <w:rPr>
                <w:sz w:val="14"/>
              </w:rPr>
              <w:t>Loose coupling; requires versioned event contracts and replay governance.</w:t>
            </w:r>
          </w:p>
        </w:tc>
      </w:tr>
      <w:tr>
        <w:tc>
          <w:tcPr>
            <w:tcW w:type="dxa" w:w="2232"/>
            <w:tcMar>
              <w:top w:w="100" w:type="dxa"/>
              <w:start w:w="120" w:type="dxa"/>
              <w:bottom w:w="100" w:type="dxa"/>
              <w:end w:w="120" w:type="dxa"/>
            </w:tcMar>
            <w:vAlign w:val="center"/>
          </w:tcPr>
          <w:p>
            <w:pPr>
              <w:spacing w:after="0"/>
            </w:pPr>
            <w:r>
              <w:rPr>
                <w:sz w:val="14"/>
              </w:rPr>
              <w:t>ADR-RO-05</w:t>
              <w:br/>
              <w:t>AI is advisory for maintenance</w:t>
            </w:r>
          </w:p>
        </w:tc>
        <w:tc>
          <w:tcPr>
            <w:tcW w:type="dxa" w:w="2304"/>
            <w:tcMar>
              <w:top w:w="100" w:type="dxa"/>
              <w:start w:w="120" w:type="dxa"/>
              <w:bottom w:w="100" w:type="dxa"/>
              <w:end w:w="120" w:type="dxa"/>
            </w:tcMar>
            <w:vAlign w:val="center"/>
          </w:tcPr>
          <w:p>
            <w:pPr>
              <w:spacing w:after="0"/>
            </w:pPr>
            <w:r>
              <w:rPr>
                <w:sz w:val="14"/>
              </w:rPr>
              <w:t>Predictions are non-deterministic and safety consequences are material.</w:t>
            </w:r>
          </w:p>
        </w:tc>
        <w:tc>
          <w:tcPr>
            <w:tcW w:type="dxa" w:w="3096"/>
            <w:tcMar>
              <w:top w:w="100" w:type="dxa"/>
              <w:start w:w="120" w:type="dxa"/>
              <w:bottom w:w="100" w:type="dxa"/>
              <w:end w:w="120" w:type="dxa"/>
            </w:tcMar>
            <w:vAlign w:val="center"/>
          </w:tcPr>
          <w:p>
            <w:pPr>
              <w:spacing w:after="0"/>
            </w:pPr>
            <w:r>
              <w:rPr>
                <w:sz w:val="14"/>
              </w:rPr>
              <w:t>AI creates evidence-backed recommendations; engineers authorise action.</w:t>
            </w:r>
          </w:p>
        </w:tc>
        <w:tc>
          <w:tcPr>
            <w:tcW w:type="dxa" w:w="2376"/>
            <w:tcMar>
              <w:top w:w="100" w:type="dxa"/>
              <w:start w:w="120" w:type="dxa"/>
              <w:bottom w:w="100" w:type="dxa"/>
              <w:end w:w="120" w:type="dxa"/>
            </w:tcMar>
            <w:vAlign w:val="center"/>
          </w:tcPr>
          <w:p>
            <w:pPr>
              <w:spacing w:after="0"/>
            </w:pPr>
            <w:r>
              <w:rPr>
                <w:sz w:val="14"/>
              </w:rPr>
              <w:t>Predictive value without delegating accountability; lower automation.</w:t>
            </w:r>
          </w:p>
        </w:tc>
      </w:tr>
      <w:tr>
        <w:tc>
          <w:tcPr>
            <w:tcW w:type="dxa" w:w="2232"/>
            <w:tcMar>
              <w:top w:w="100" w:type="dxa"/>
              <w:start w:w="120" w:type="dxa"/>
              <w:bottom w:w="100" w:type="dxa"/>
              <w:end w:w="120" w:type="dxa"/>
            </w:tcMar>
            <w:vAlign w:val="center"/>
            <w:shd w:fill="F3F6F8"/>
          </w:tcPr>
          <w:p>
            <w:pPr>
              <w:spacing w:after="0"/>
            </w:pPr>
            <w:r>
              <w:rPr>
                <w:sz w:val="14"/>
              </w:rPr>
              <w:t>ADR-RO-06</w:t>
              <w:br/>
              <w:t>Provider-neutral model boundary</w:t>
            </w:r>
          </w:p>
        </w:tc>
        <w:tc>
          <w:tcPr>
            <w:tcW w:type="dxa" w:w="2304"/>
            <w:tcMar>
              <w:top w:w="100" w:type="dxa"/>
              <w:start w:w="120" w:type="dxa"/>
              <w:bottom w:w="100" w:type="dxa"/>
              <w:end w:w="120" w:type="dxa"/>
            </w:tcMar>
            <w:vAlign w:val="center"/>
            <w:shd w:fill="F3F6F8"/>
          </w:tcPr>
          <w:p>
            <w:pPr>
              <w:spacing w:after="0"/>
            </w:pPr>
            <w:r>
              <w:rPr>
                <w:sz w:val="14"/>
              </w:rPr>
              <w:t>Models, providers and economics will change.</w:t>
            </w:r>
          </w:p>
        </w:tc>
        <w:tc>
          <w:tcPr>
            <w:tcW w:type="dxa" w:w="3096"/>
            <w:tcMar>
              <w:top w:w="100" w:type="dxa"/>
              <w:start w:w="120" w:type="dxa"/>
              <w:bottom w:w="100" w:type="dxa"/>
              <w:end w:w="120" w:type="dxa"/>
            </w:tcMar>
            <w:vAlign w:val="center"/>
            <w:shd w:fill="F3F6F8"/>
          </w:tcPr>
          <w:p>
            <w:pPr>
              <w:spacing w:after="0"/>
            </w:pPr>
            <w:r>
              <w:rPr>
                <w:sz w:val="14"/>
              </w:rPr>
              <w:t>Use internal versioned inference contracts and retain evaluation assets independently.</w:t>
            </w:r>
          </w:p>
        </w:tc>
        <w:tc>
          <w:tcPr>
            <w:tcW w:type="dxa" w:w="2376"/>
            <w:tcMar>
              <w:top w:w="100" w:type="dxa"/>
              <w:start w:w="120" w:type="dxa"/>
              <w:bottom w:w="100" w:type="dxa"/>
              <w:end w:w="120" w:type="dxa"/>
            </w:tcMar>
            <w:vAlign w:val="center"/>
            <w:shd w:fill="F3F6F8"/>
          </w:tcPr>
          <w:p>
            <w:pPr>
              <w:spacing w:after="0"/>
            </w:pPr>
            <w:r>
              <w:rPr>
                <w:sz w:val="14"/>
              </w:rPr>
              <w:t>Improves replaceability; adds abstraction and compatibility testing.</w:t>
            </w:r>
          </w:p>
        </w:tc>
      </w:tr>
    </w:tbl>
    <w:p>
      <w:pPr>
        <w:spacing w:after="20"/>
      </w:pPr>
    </w:p>
    <w:p>
      <w:r>
        <w:br w:type="page"/>
      </w:r>
    </w:p>
    <w:p>
      <w:pPr>
        <w:pStyle w:val="Heading1"/>
      </w:pPr>
      <w:r>
        <w:t>8. Architecture fitness functions</w:t>
      </w:r>
    </w:p>
    <w:p>
      <w:r>
        <w:t>Targets below are proposed starting points. Baselines and final thresholds should be agreed with ride engineering and operations teams.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936"/>
            <w:shd w:fill="17324D"/>
            <w:tcMar>
              <w:top w:w="100" w:type="dxa"/>
              <w:start w:w="120" w:type="dxa"/>
              <w:bottom w:w="100" w:type="dxa"/>
              <w:end w:w="120" w:type="dxa"/>
            </w:tcMar>
          </w:tcPr>
          <w:p>
            <w:pPr>
              <w:jc w:val="center"/>
            </w:pPr>
            <w:r>
              <w:rPr>
                <w:b/>
                <w:color w:val="FFFFFF"/>
                <w:sz w:val="14"/>
              </w:rPr>
              <w:t>ID</w:t>
            </w:r>
          </w:p>
        </w:tc>
        <w:tc>
          <w:tcPr>
            <w:tcW w:type="dxa" w:w="2088"/>
            <w:shd w:fill="17324D"/>
            <w:tcMar>
              <w:top w:w="100" w:type="dxa"/>
              <w:start w:w="120" w:type="dxa"/>
              <w:bottom w:w="100" w:type="dxa"/>
              <w:end w:w="120" w:type="dxa"/>
            </w:tcMar>
          </w:tcPr>
          <w:p>
            <w:pPr>
              <w:jc w:val="center"/>
            </w:pPr>
            <w:r>
              <w:rPr>
                <w:b/>
                <w:color w:val="FFFFFF"/>
                <w:sz w:val="14"/>
              </w:rPr>
              <w:t>Fitness function</w:t>
            </w:r>
          </w:p>
        </w:tc>
        <w:tc>
          <w:tcPr>
            <w:tcW w:type="dxa" w:w="4680"/>
            <w:shd w:fill="17324D"/>
            <w:tcMar>
              <w:top w:w="100" w:type="dxa"/>
              <w:start w:w="120" w:type="dxa"/>
              <w:bottom w:w="100" w:type="dxa"/>
              <w:end w:w="120" w:type="dxa"/>
            </w:tcMar>
          </w:tcPr>
          <w:p>
            <w:pPr>
              <w:jc w:val="center"/>
            </w:pPr>
            <w:r>
              <w:rPr>
                <w:b/>
                <w:color w:val="FFFFFF"/>
                <w:sz w:val="14"/>
              </w:rPr>
              <w:t>Proposed success measure</w:t>
            </w:r>
          </w:p>
        </w:tc>
        <w:tc>
          <w:tcPr>
            <w:tcW w:type="dxa" w:w="2232"/>
            <w:shd w:fill="17324D"/>
            <w:tcMar>
              <w:top w:w="100" w:type="dxa"/>
              <w:start w:w="120" w:type="dxa"/>
              <w:bottom w:w="100" w:type="dxa"/>
              <w:end w:w="120" w:type="dxa"/>
            </w:tcMar>
          </w:tcPr>
          <w:p>
            <w:pPr>
              <w:jc w:val="center"/>
            </w:pPr>
            <w:r>
              <w:rPr>
                <w:b/>
                <w:color w:val="FFFFFF"/>
                <w:sz w:val="14"/>
              </w:rPr>
              <w:t>Evidence</w:t>
            </w:r>
          </w:p>
        </w:tc>
      </w:tr>
      <w:tr>
        <w:tc>
          <w:tcPr>
            <w:tcW w:type="dxa" w:w="936"/>
            <w:tcMar>
              <w:top w:w="100" w:type="dxa"/>
              <w:start w:w="120" w:type="dxa"/>
              <w:bottom w:w="100" w:type="dxa"/>
              <w:end w:w="120" w:type="dxa"/>
            </w:tcMar>
            <w:vAlign w:val="center"/>
          </w:tcPr>
          <w:p>
            <w:pPr>
              <w:spacing w:after="0"/>
            </w:pPr>
            <w:r>
              <w:rPr>
                <w:sz w:val="14"/>
              </w:rPr>
              <w:t>FF-RO-01</w:t>
            </w:r>
          </w:p>
        </w:tc>
        <w:tc>
          <w:tcPr>
            <w:tcW w:type="dxa" w:w="2088"/>
            <w:tcMar>
              <w:top w:w="100" w:type="dxa"/>
              <w:start w:w="120" w:type="dxa"/>
              <w:bottom w:w="100" w:type="dxa"/>
              <w:end w:w="120" w:type="dxa"/>
            </w:tcMar>
            <w:vAlign w:val="center"/>
          </w:tcPr>
          <w:p>
            <w:pPr>
              <w:spacing w:after="0"/>
            </w:pPr>
            <w:r>
              <w:rPr>
                <w:sz w:val="14"/>
              </w:rPr>
              <w:t>Operating availability</w:t>
            </w:r>
          </w:p>
        </w:tc>
        <w:tc>
          <w:tcPr>
            <w:tcW w:type="dxa" w:w="4680"/>
            <w:tcMar>
              <w:top w:w="100" w:type="dxa"/>
              <w:start w:w="120" w:type="dxa"/>
              <w:bottom w:w="100" w:type="dxa"/>
              <w:end w:w="120" w:type="dxa"/>
            </w:tcMar>
            <w:vAlign w:val="center"/>
          </w:tcPr>
          <w:p>
            <w:pPr>
              <w:spacing w:after="0"/>
            </w:pPr>
            <w:r>
              <w:rPr>
                <w:sz w:val="14"/>
              </w:rPr>
              <w:t>At least 99% during scheduled operating hours, excluding approved planned maintenance.</w:t>
            </w:r>
          </w:p>
        </w:tc>
        <w:tc>
          <w:tcPr>
            <w:tcW w:type="dxa" w:w="2232"/>
            <w:tcMar>
              <w:top w:w="100" w:type="dxa"/>
              <w:start w:w="120" w:type="dxa"/>
              <w:bottom w:w="100" w:type="dxa"/>
              <w:end w:w="120" w:type="dxa"/>
            </w:tcMar>
            <w:vAlign w:val="center"/>
          </w:tcPr>
          <w:p>
            <w:pPr>
              <w:spacing w:after="0"/>
            </w:pPr>
            <w:r>
              <w:rPr>
                <w:sz w:val="14"/>
              </w:rPr>
              <w:t>Operations dashboard.</w:t>
            </w:r>
          </w:p>
        </w:tc>
      </w:tr>
      <w:tr>
        <w:tc>
          <w:tcPr>
            <w:tcW w:type="dxa" w:w="936"/>
            <w:tcMar>
              <w:top w:w="100" w:type="dxa"/>
              <w:start w:w="120" w:type="dxa"/>
              <w:bottom w:w="100" w:type="dxa"/>
              <w:end w:w="120" w:type="dxa"/>
            </w:tcMar>
            <w:vAlign w:val="center"/>
            <w:shd w:fill="F3F6F8"/>
          </w:tcPr>
          <w:p>
            <w:pPr>
              <w:spacing w:after="0"/>
            </w:pPr>
            <w:r>
              <w:rPr>
                <w:sz w:val="14"/>
              </w:rPr>
              <w:t>FF-RO-02</w:t>
            </w:r>
          </w:p>
        </w:tc>
        <w:tc>
          <w:tcPr>
            <w:tcW w:type="dxa" w:w="2088"/>
            <w:tcMar>
              <w:top w:w="100" w:type="dxa"/>
              <w:start w:w="120" w:type="dxa"/>
              <w:bottom w:w="100" w:type="dxa"/>
              <w:end w:w="120" w:type="dxa"/>
            </w:tcMar>
            <w:vAlign w:val="center"/>
            <w:shd w:fill="F3F6F8"/>
          </w:tcPr>
          <w:p>
            <w:pPr>
              <w:spacing w:after="0"/>
            </w:pPr>
            <w:r>
              <w:rPr>
                <w:sz w:val="14"/>
              </w:rPr>
              <w:t>Unplanned downtime</w:t>
            </w:r>
          </w:p>
        </w:tc>
        <w:tc>
          <w:tcPr>
            <w:tcW w:type="dxa" w:w="4680"/>
            <w:tcMar>
              <w:top w:w="100" w:type="dxa"/>
              <w:start w:w="120" w:type="dxa"/>
              <w:bottom w:w="100" w:type="dxa"/>
              <w:end w:w="120" w:type="dxa"/>
            </w:tcMar>
            <w:vAlign w:val="center"/>
            <w:shd w:fill="F3F6F8"/>
          </w:tcPr>
          <w:p>
            <w:pPr>
              <w:spacing w:after="0"/>
            </w:pPr>
            <w:r>
              <w:rPr>
                <w:sz w:val="14"/>
              </w:rPr>
              <w:t>30% reduction from an agreed baseline.</w:t>
            </w:r>
          </w:p>
        </w:tc>
        <w:tc>
          <w:tcPr>
            <w:tcW w:type="dxa" w:w="2232"/>
            <w:tcMar>
              <w:top w:w="100" w:type="dxa"/>
              <w:start w:w="120" w:type="dxa"/>
              <w:bottom w:w="100" w:type="dxa"/>
              <w:end w:w="120" w:type="dxa"/>
            </w:tcMar>
            <w:vAlign w:val="center"/>
            <w:shd w:fill="F3F6F8"/>
          </w:tcPr>
          <w:p>
            <w:pPr>
              <w:spacing w:after="0"/>
            </w:pPr>
            <w:r>
              <w:rPr>
                <w:sz w:val="14"/>
              </w:rPr>
              <w:t>Monthly reliability review.</w:t>
            </w:r>
          </w:p>
        </w:tc>
      </w:tr>
      <w:tr>
        <w:tc>
          <w:tcPr>
            <w:tcW w:type="dxa" w:w="936"/>
            <w:tcMar>
              <w:top w:w="100" w:type="dxa"/>
              <w:start w:w="120" w:type="dxa"/>
              <w:bottom w:w="100" w:type="dxa"/>
              <w:end w:w="120" w:type="dxa"/>
            </w:tcMar>
            <w:vAlign w:val="center"/>
          </w:tcPr>
          <w:p>
            <w:pPr>
              <w:spacing w:after="0"/>
            </w:pPr>
            <w:r>
              <w:rPr>
                <w:sz w:val="14"/>
              </w:rPr>
              <w:t>FF-RO-03</w:t>
            </w:r>
          </w:p>
        </w:tc>
        <w:tc>
          <w:tcPr>
            <w:tcW w:type="dxa" w:w="2088"/>
            <w:tcMar>
              <w:top w:w="100" w:type="dxa"/>
              <w:start w:w="120" w:type="dxa"/>
              <w:bottom w:w="100" w:type="dxa"/>
              <w:end w:w="120" w:type="dxa"/>
            </w:tcMar>
            <w:vAlign w:val="center"/>
          </w:tcPr>
          <w:p>
            <w:pPr>
              <w:spacing w:after="0"/>
            </w:pPr>
            <w:r>
              <w:rPr>
                <w:sz w:val="14"/>
              </w:rPr>
              <w:t>Maintenance warning lead time</w:t>
            </w:r>
          </w:p>
        </w:tc>
        <w:tc>
          <w:tcPr>
            <w:tcW w:type="dxa" w:w="4680"/>
            <w:tcMar>
              <w:top w:w="100" w:type="dxa"/>
              <w:start w:w="120" w:type="dxa"/>
              <w:bottom w:w="100" w:type="dxa"/>
              <w:end w:w="120" w:type="dxa"/>
            </w:tcMar>
            <w:vAlign w:val="center"/>
          </w:tcPr>
          <w:p>
            <w:pPr>
              <w:spacing w:after="0"/>
            </w:pPr>
            <w:r>
              <w:rPr>
                <w:sz w:val="14"/>
              </w:rPr>
              <w:t>For validated model classes, at least 80% of detectable faults warned 24 hours before failure.</w:t>
            </w:r>
          </w:p>
        </w:tc>
        <w:tc>
          <w:tcPr>
            <w:tcW w:type="dxa" w:w="2232"/>
            <w:tcMar>
              <w:top w:w="100" w:type="dxa"/>
              <w:start w:w="120" w:type="dxa"/>
              <w:bottom w:w="100" w:type="dxa"/>
              <w:end w:w="120" w:type="dxa"/>
            </w:tcMar>
            <w:vAlign w:val="center"/>
          </w:tcPr>
          <w:p>
            <w:pPr>
              <w:spacing w:after="0"/>
            </w:pPr>
            <w:r>
              <w:rPr>
                <w:sz w:val="14"/>
              </w:rPr>
              <w:t>Model outcome review.</w:t>
            </w:r>
          </w:p>
        </w:tc>
      </w:tr>
      <w:tr>
        <w:tc>
          <w:tcPr>
            <w:tcW w:type="dxa" w:w="936"/>
            <w:tcMar>
              <w:top w:w="100" w:type="dxa"/>
              <w:start w:w="120" w:type="dxa"/>
              <w:bottom w:w="100" w:type="dxa"/>
              <w:end w:w="120" w:type="dxa"/>
            </w:tcMar>
            <w:vAlign w:val="center"/>
            <w:shd w:fill="F3F6F8"/>
          </w:tcPr>
          <w:p>
            <w:pPr>
              <w:spacing w:after="0"/>
            </w:pPr>
            <w:r>
              <w:rPr>
                <w:sz w:val="14"/>
              </w:rPr>
              <w:t>FF-RO-04</w:t>
            </w:r>
          </w:p>
        </w:tc>
        <w:tc>
          <w:tcPr>
            <w:tcW w:type="dxa" w:w="2088"/>
            <w:tcMar>
              <w:top w:w="100" w:type="dxa"/>
              <w:start w:w="120" w:type="dxa"/>
              <w:bottom w:w="100" w:type="dxa"/>
              <w:end w:w="120" w:type="dxa"/>
            </w:tcMar>
            <w:vAlign w:val="center"/>
            <w:shd w:fill="F3F6F8"/>
          </w:tcPr>
          <w:p>
            <w:pPr>
              <w:spacing w:after="0"/>
            </w:pPr>
            <w:r>
              <w:rPr>
                <w:sz w:val="14"/>
              </w:rPr>
              <w:t>Telemetry durability</w:t>
            </w:r>
          </w:p>
        </w:tc>
        <w:tc>
          <w:tcPr>
            <w:tcW w:type="dxa" w:w="4680"/>
            <w:tcMar>
              <w:top w:w="100" w:type="dxa"/>
              <w:start w:w="120" w:type="dxa"/>
              <w:bottom w:w="100" w:type="dxa"/>
              <w:end w:w="120" w:type="dxa"/>
            </w:tcMar>
            <w:vAlign w:val="center"/>
            <w:shd w:fill="F3F6F8"/>
          </w:tcPr>
          <w:p>
            <w:pPr>
              <w:spacing w:after="0"/>
            </w:pPr>
            <w:r>
              <w:rPr>
                <w:sz w:val="14"/>
              </w:rPr>
              <w:t>Less than 0.1% loss during a simulated 24-hour backhaul outage.</w:t>
            </w:r>
          </w:p>
        </w:tc>
        <w:tc>
          <w:tcPr>
            <w:tcW w:type="dxa" w:w="2232"/>
            <w:tcMar>
              <w:top w:w="100" w:type="dxa"/>
              <w:start w:w="120" w:type="dxa"/>
              <w:bottom w:w="100" w:type="dxa"/>
              <w:end w:w="120" w:type="dxa"/>
            </w:tcMar>
            <w:vAlign w:val="center"/>
            <w:shd w:fill="F3F6F8"/>
          </w:tcPr>
          <w:p>
            <w:pPr>
              <w:spacing w:after="0"/>
            </w:pPr>
            <w:r>
              <w:rPr>
                <w:sz w:val="14"/>
              </w:rPr>
              <w:t>Quarterly resilience test.</w:t>
            </w:r>
          </w:p>
        </w:tc>
      </w:tr>
      <w:tr>
        <w:tc>
          <w:tcPr>
            <w:tcW w:type="dxa" w:w="936"/>
            <w:tcMar>
              <w:top w:w="100" w:type="dxa"/>
              <w:start w:w="120" w:type="dxa"/>
              <w:bottom w:w="100" w:type="dxa"/>
              <w:end w:w="120" w:type="dxa"/>
            </w:tcMar>
            <w:vAlign w:val="center"/>
          </w:tcPr>
          <w:p>
            <w:pPr>
              <w:spacing w:after="0"/>
            </w:pPr>
            <w:r>
              <w:rPr>
                <w:sz w:val="14"/>
              </w:rPr>
              <w:t>FF-RO-05</w:t>
            </w:r>
          </w:p>
        </w:tc>
        <w:tc>
          <w:tcPr>
            <w:tcW w:type="dxa" w:w="2088"/>
            <w:tcMar>
              <w:top w:w="100" w:type="dxa"/>
              <w:start w:w="120" w:type="dxa"/>
              <w:bottom w:w="100" w:type="dxa"/>
              <w:end w:w="120" w:type="dxa"/>
            </w:tcMar>
            <w:vAlign w:val="center"/>
          </w:tcPr>
          <w:p>
            <w:pPr>
              <w:spacing w:after="0"/>
            </w:pPr>
            <w:r>
              <w:rPr>
                <w:sz w:val="14"/>
              </w:rPr>
              <w:t>Inspection compliance</w:t>
            </w:r>
          </w:p>
        </w:tc>
        <w:tc>
          <w:tcPr>
            <w:tcW w:type="dxa" w:w="4680"/>
            <w:tcMar>
              <w:top w:w="100" w:type="dxa"/>
              <w:start w:w="120" w:type="dxa"/>
              <w:bottom w:w="100" w:type="dxa"/>
              <w:end w:w="120" w:type="dxa"/>
            </w:tcMar>
            <w:vAlign w:val="center"/>
          </w:tcPr>
          <w:p>
            <w:pPr>
              <w:spacing w:after="0"/>
            </w:pPr>
            <w:r>
              <w:rPr>
                <w:sz w:val="14"/>
              </w:rPr>
              <w:t>100% of mandatory pre-opening checks completed or ride remains unavailable.</w:t>
            </w:r>
          </w:p>
        </w:tc>
        <w:tc>
          <w:tcPr>
            <w:tcW w:type="dxa" w:w="2232"/>
            <w:tcMar>
              <w:top w:w="100" w:type="dxa"/>
              <w:start w:w="120" w:type="dxa"/>
              <w:bottom w:w="100" w:type="dxa"/>
              <w:end w:w="120" w:type="dxa"/>
            </w:tcMar>
            <w:vAlign w:val="center"/>
          </w:tcPr>
          <w:p>
            <w:pPr>
              <w:spacing w:after="0"/>
            </w:pPr>
            <w:r>
              <w:rPr>
                <w:sz w:val="14"/>
              </w:rPr>
              <w:t>Workflow control.</w:t>
            </w:r>
          </w:p>
        </w:tc>
      </w:tr>
      <w:tr>
        <w:tc>
          <w:tcPr>
            <w:tcW w:type="dxa" w:w="936"/>
            <w:tcMar>
              <w:top w:w="100" w:type="dxa"/>
              <w:start w:w="120" w:type="dxa"/>
              <w:bottom w:w="100" w:type="dxa"/>
              <w:end w:w="120" w:type="dxa"/>
            </w:tcMar>
            <w:vAlign w:val="center"/>
            <w:shd w:fill="F3F6F8"/>
          </w:tcPr>
          <w:p>
            <w:pPr>
              <w:spacing w:after="0"/>
            </w:pPr>
            <w:r>
              <w:rPr>
                <w:sz w:val="14"/>
              </w:rPr>
              <w:t>FF-RO-06</w:t>
            </w:r>
          </w:p>
        </w:tc>
        <w:tc>
          <w:tcPr>
            <w:tcW w:type="dxa" w:w="2088"/>
            <w:tcMar>
              <w:top w:w="100" w:type="dxa"/>
              <w:start w:w="120" w:type="dxa"/>
              <w:bottom w:w="100" w:type="dxa"/>
              <w:end w:w="120" w:type="dxa"/>
            </w:tcMar>
            <w:vAlign w:val="center"/>
            <w:shd w:fill="F3F6F8"/>
          </w:tcPr>
          <w:p>
            <w:pPr>
              <w:spacing w:after="0"/>
            </w:pPr>
            <w:r>
              <w:rPr>
                <w:sz w:val="14"/>
              </w:rPr>
              <w:t>Work-order timeliness</w:t>
            </w:r>
          </w:p>
        </w:tc>
        <w:tc>
          <w:tcPr>
            <w:tcW w:type="dxa" w:w="4680"/>
            <w:tcMar>
              <w:top w:w="100" w:type="dxa"/>
              <w:start w:w="120" w:type="dxa"/>
              <w:bottom w:w="100" w:type="dxa"/>
              <w:end w:w="120" w:type="dxa"/>
            </w:tcMar>
            <w:vAlign w:val="center"/>
            <w:shd w:fill="F3F6F8"/>
          </w:tcPr>
          <w:p>
            <w:pPr>
              <w:spacing w:after="0"/>
            </w:pPr>
            <w:r>
              <w:rPr>
                <w:sz w:val="14"/>
              </w:rPr>
              <w:t>At least 95% completed within agreed priority targets.</w:t>
            </w:r>
          </w:p>
        </w:tc>
        <w:tc>
          <w:tcPr>
            <w:tcW w:type="dxa" w:w="2232"/>
            <w:tcMar>
              <w:top w:w="100" w:type="dxa"/>
              <w:start w:w="120" w:type="dxa"/>
              <w:bottom w:w="100" w:type="dxa"/>
              <w:end w:w="120" w:type="dxa"/>
            </w:tcMar>
            <w:vAlign w:val="center"/>
            <w:shd w:fill="F3F6F8"/>
          </w:tcPr>
          <w:p>
            <w:pPr>
              <w:spacing w:after="0"/>
            </w:pPr>
            <w:r>
              <w:rPr>
                <w:sz w:val="14"/>
              </w:rPr>
              <w:t>Maintenance report.</w:t>
            </w:r>
          </w:p>
        </w:tc>
      </w:tr>
      <w:tr>
        <w:tc>
          <w:tcPr>
            <w:tcW w:type="dxa" w:w="936"/>
            <w:tcMar>
              <w:top w:w="100" w:type="dxa"/>
              <w:start w:w="120" w:type="dxa"/>
              <w:bottom w:w="100" w:type="dxa"/>
              <w:end w:w="120" w:type="dxa"/>
            </w:tcMar>
            <w:vAlign w:val="center"/>
          </w:tcPr>
          <w:p>
            <w:pPr>
              <w:spacing w:after="0"/>
            </w:pPr>
            <w:r>
              <w:rPr>
                <w:sz w:val="14"/>
              </w:rPr>
              <w:t>FF-RO-07</w:t>
            </w:r>
          </w:p>
        </w:tc>
        <w:tc>
          <w:tcPr>
            <w:tcW w:type="dxa" w:w="2088"/>
            <w:tcMar>
              <w:top w:w="100" w:type="dxa"/>
              <w:start w:w="120" w:type="dxa"/>
              <w:bottom w:w="100" w:type="dxa"/>
              <w:end w:w="120" w:type="dxa"/>
            </w:tcMar>
            <w:vAlign w:val="center"/>
          </w:tcPr>
          <w:p>
            <w:pPr>
              <w:spacing w:after="0"/>
            </w:pPr>
            <w:r>
              <w:rPr>
                <w:sz w:val="14"/>
              </w:rPr>
              <w:t>AI usefulness</w:t>
            </w:r>
          </w:p>
        </w:tc>
        <w:tc>
          <w:tcPr>
            <w:tcW w:type="dxa" w:w="4680"/>
            <w:tcMar>
              <w:top w:w="100" w:type="dxa"/>
              <w:start w:w="120" w:type="dxa"/>
              <w:bottom w:w="100" w:type="dxa"/>
              <w:end w:w="120" w:type="dxa"/>
            </w:tcMar>
            <w:vAlign w:val="center"/>
          </w:tcPr>
          <w:p>
            <w:pPr>
              <w:spacing w:after="0"/>
            </w:pPr>
            <w:r>
              <w:rPr>
                <w:sz w:val="14"/>
              </w:rPr>
              <w:t>At least 70% of AI recommendations judged actionable after evaluation.</w:t>
            </w:r>
          </w:p>
        </w:tc>
        <w:tc>
          <w:tcPr>
            <w:tcW w:type="dxa" w:w="2232"/>
            <w:tcMar>
              <w:top w:w="100" w:type="dxa"/>
              <w:start w:w="120" w:type="dxa"/>
              <w:bottom w:w="100" w:type="dxa"/>
              <w:end w:w="120" w:type="dxa"/>
            </w:tcMar>
            <w:vAlign w:val="center"/>
          </w:tcPr>
          <w:p>
            <w:pPr>
              <w:spacing w:after="0"/>
            </w:pPr>
            <w:r>
              <w:rPr>
                <w:sz w:val="14"/>
              </w:rPr>
              <w:t>Engineer disposition data.</w:t>
            </w:r>
          </w:p>
        </w:tc>
      </w:tr>
      <w:tr>
        <w:tc>
          <w:tcPr>
            <w:tcW w:type="dxa" w:w="936"/>
            <w:tcMar>
              <w:top w:w="100" w:type="dxa"/>
              <w:start w:w="120" w:type="dxa"/>
              <w:bottom w:w="100" w:type="dxa"/>
              <w:end w:w="120" w:type="dxa"/>
            </w:tcMar>
            <w:vAlign w:val="center"/>
            <w:shd w:fill="F3F6F8"/>
          </w:tcPr>
          <w:p>
            <w:pPr>
              <w:spacing w:after="0"/>
            </w:pPr>
            <w:r>
              <w:rPr>
                <w:sz w:val="14"/>
              </w:rPr>
              <w:t>FF-RO-08</w:t>
            </w:r>
          </w:p>
        </w:tc>
        <w:tc>
          <w:tcPr>
            <w:tcW w:type="dxa" w:w="2088"/>
            <w:tcMar>
              <w:top w:w="100" w:type="dxa"/>
              <w:start w:w="120" w:type="dxa"/>
              <w:bottom w:w="100" w:type="dxa"/>
              <w:end w:w="120" w:type="dxa"/>
            </w:tcMar>
            <w:vAlign w:val="center"/>
            <w:shd w:fill="F3F6F8"/>
          </w:tcPr>
          <w:p>
            <w:pPr>
              <w:spacing w:after="0"/>
            </w:pPr>
            <w:r>
              <w:rPr>
                <w:sz w:val="14"/>
              </w:rPr>
              <w:t>AI evidence</w:t>
            </w:r>
          </w:p>
        </w:tc>
        <w:tc>
          <w:tcPr>
            <w:tcW w:type="dxa" w:w="4680"/>
            <w:tcMar>
              <w:top w:w="100" w:type="dxa"/>
              <w:start w:w="120" w:type="dxa"/>
              <w:bottom w:w="100" w:type="dxa"/>
              <w:end w:w="120" w:type="dxa"/>
            </w:tcMar>
            <w:vAlign w:val="center"/>
            <w:shd w:fill="F3F6F8"/>
          </w:tcPr>
          <w:p>
            <w:pPr>
              <w:spacing w:after="0"/>
            </w:pPr>
            <w:r>
              <w:rPr>
                <w:sz w:val="14"/>
              </w:rPr>
              <w:t>100% include confidence, evidence reference, model version and supported operating conditions.</w:t>
            </w:r>
          </w:p>
        </w:tc>
        <w:tc>
          <w:tcPr>
            <w:tcW w:type="dxa" w:w="2232"/>
            <w:tcMar>
              <w:top w:w="100" w:type="dxa"/>
              <w:start w:w="120" w:type="dxa"/>
              <w:bottom w:w="100" w:type="dxa"/>
              <w:end w:w="120" w:type="dxa"/>
            </w:tcMar>
            <w:vAlign w:val="center"/>
            <w:shd w:fill="F3F6F8"/>
          </w:tcPr>
          <w:p>
            <w:pPr>
              <w:spacing w:after="0"/>
            </w:pPr>
            <w:r>
              <w:rPr>
                <w:sz w:val="14"/>
              </w:rPr>
              <w:t>Schema validation.</w:t>
            </w:r>
          </w:p>
        </w:tc>
      </w:tr>
      <w:tr>
        <w:tc>
          <w:tcPr>
            <w:tcW w:type="dxa" w:w="936"/>
            <w:tcMar>
              <w:top w:w="100" w:type="dxa"/>
              <w:start w:w="120" w:type="dxa"/>
              <w:bottom w:w="100" w:type="dxa"/>
              <w:end w:w="120" w:type="dxa"/>
            </w:tcMar>
            <w:vAlign w:val="center"/>
          </w:tcPr>
          <w:p>
            <w:pPr>
              <w:spacing w:after="0"/>
            </w:pPr>
            <w:r>
              <w:rPr>
                <w:sz w:val="14"/>
              </w:rPr>
              <w:t>FF-RO-09</w:t>
            </w:r>
          </w:p>
        </w:tc>
        <w:tc>
          <w:tcPr>
            <w:tcW w:type="dxa" w:w="2088"/>
            <w:tcMar>
              <w:top w:w="100" w:type="dxa"/>
              <w:start w:w="120" w:type="dxa"/>
              <w:bottom w:w="100" w:type="dxa"/>
              <w:end w:w="120" w:type="dxa"/>
            </w:tcMar>
            <w:vAlign w:val="center"/>
          </w:tcPr>
          <w:p>
            <w:pPr>
              <w:spacing w:after="0"/>
            </w:pPr>
            <w:r>
              <w:rPr>
                <w:sz w:val="14"/>
              </w:rPr>
              <w:t>Model drift</w:t>
            </w:r>
          </w:p>
        </w:tc>
        <w:tc>
          <w:tcPr>
            <w:tcW w:type="dxa" w:w="4680"/>
            <w:tcMar>
              <w:top w:w="100" w:type="dxa"/>
              <w:start w:w="120" w:type="dxa"/>
              <w:bottom w:w="100" w:type="dxa"/>
              <w:end w:w="120" w:type="dxa"/>
            </w:tcMar>
            <w:vAlign w:val="center"/>
          </w:tcPr>
          <w:p>
            <w:pPr>
              <w:spacing w:after="0"/>
            </w:pPr>
            <w:r>
              <w:rPr>
                <w:sz w:val="14"/>
              </w:rPr>
              <w:t>All production models evaluated weekly; breaches create an owned review task.</w:t>
            </w:r>
          </w:p>
        </w:tc>
        <w:tc>
          <w:tcPr>
            <w:tcW w:type="dxa" w:w="2232"/>
            <w:tcMar>
              <w:top w:w="100" w:type="dxa"/>
              <w:start w:w="120" w:type="dxa"/>
              <w:bottom w:w="100" w:type="dxa"/>
              <w:end w:w="120" w:type="dxa"/>
            </w:tcMar>
            <w:vAlign w:val="center"/>
          </w:tcPr>
          <w:p>
            <w:pPr>
              <w:spacing w:after="0"/>
            </w:pPr>
            <w:r>
              <w:rPr>
                <w:sz w:val="14"/>
              </w:rPr>
              <w:t>MLOps control.</w:t>
            </w:r>
          </w:p>
        </w:tc>
      </w:tr>
      <w:tr>
        <w:tc>
          <w:tcPr>
            <w:tcW w:type="dxa" w:w="936"/>
            <w:tcMar>
              <w:top w:w="100" w:type="dxa"/>
              <w:start w:w="120" w:type="dxa"/>
              <w:bottom w:w="100" w:type="dxa"/>
              <w:end w:w="120" w:type="dxa"/>
            </w:tcMar>
            <w:vAlign w:val="center"/>
            <w:shd w:fill="F3F6F8"/>
          </w:tcPr>
          <w:p>
            <w:pPr>
              <w:spacing w:after="0"/>
            </w:pPr>
            <w:r>
              <w:rPr>
                <w:sz w:val="14"/>
              </w:rPr>
              <w:t>FF-RO-10</w:t>
            </w:r>
          </w:p>
        </w:tc>
        <w:tc>
          <w:tcPr>
            <w:tcW w:type="dxa" w:w="2088"/>
            <w:tcMar>
              <w:top w:w="100" w:type="dxa"/>
              <w:start w:w="120" w:type="dxa"/>
              <w:bottom w:w="100" w:type="dxa"/>
              <w:end w:w="120" w:type="dxa"/>
            </w:tcMar>
            <w:vAlign w:val="center"/>
            <w:shd w:fill="F3F6F8"/>
          </w:tcPr>
          <w:p>
            <w:pPr>
              <w:spacing w:after="0"/>
            </w:pPr>
            <w:r>
              <w:rPr>
                <w:sz w:val="14"/>
              </w:rPr>
              <w:t>Ride event delivery</w:t>
            </w:r>
          </w:p>
        </w:tc>
        <w:tc>
          <w:tcPr>
            <w:tcW w:type="dxa" w:w="4680"/>
            <w:tcMar>
              <w:top w:w="100" w:type="dxa"/>
              <w:start w:w="120" w:type="dxa"/>
              <w:bottom w:w="100" w:type="dxa"/>
              <w:end w:w="120" w:type="dxa"/>
            </w:tcMar>
            <w:vAlign w:val="center"/>
            <w:shd w:fill="F3F6F8"/>
          </w:tcPr>
          <w:p>
            <w:pPr>
              <w:spacing w:after="0"/>
            </w:pPr>
            <w:r>
              <w:rPr>
                <w:sz w:val="14"/>
              </w:rPr>
              <w:t>At least 99.95% published successfully, with replay for recoverable failures.</w:t>
            </w:r>
          </w:p>
        </w:tc>
        <w:tc>
          <w:tcPr>
            <w:tcW w:type="dxa" w:w="2232"/>
            <w:tcMar>
              <w:top w:w="100" w:type="dxa"/>
              <w:start w:w="120" w:type="dxa"/>
              <w:bottom w:w="100" w:type="dxa"/>
              <w:end w:w="120" w:type="dxa"/>
            </w:tcMar>
            <w:vAlign w:val="center"/>
            <w:shd w:fill="F3F6F8"/>
          </w:tcPr>
          <w:p>
            <w:pPr>
              <w:spacing w:after="0"/>
            </w:pPr>
            <w:r>
              <w:rPr>
                <w:sz w:val="14"/>
              </w:rPr>
              <w:t>Event-platform SLO.</w:t>
            </w:r>
          </w:p>
        </w:tc>
      </w:tr>
    </w:tbl>
    <w:p>
      <w:pPr>
        <w:spacing w:after="20"/>
      </w:pPr>
    </w:p>
    <w:p>
      <w:pPr>
        <w:pStyle w:val="Heading2"/>
      </w:pPr>
      <w:r>
        <w:t>Traceability summary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17324D"/>
            <w:tcMar>
              <w:top w:w="100" w:type="dxa"/>
              <w:start w:w="120" w:type="dxa"/>
              <w:bottom w:w="100" w:type="dxa"/>
              <w:end w:w="120" w:type="dxa"/>
            </w:tcMar>
          </w:tcPr>
          <w:p>
            <w:pPr>
              <w:jc w:val="center"/>
            </w:pPr>
            <w:r>
              <w:rPr>
                <w:b/>
                <w:color w:val="FFFFFF"/>
                <w:sz w:val="15"/>
              </w:rPr>
              <w:t>Outcome</w:t>
            </w:r>
          </w:p>
        </w:tc>
        <w:tc>
          <w:tcPr>
            <w:tcW w:type="dxa" w:w="3888"/>
            <w:shd w:fill="17324D"/>
            <w:tcMar>
              <w:top w:w="100" w:type="dxa"/>
              <w:start w:w="120" w:type="dxa"/>
              <w:bottom w:w="100" w:type="dxa"/>
              <w:end w:w="120" w:type="dxa"/>
            </w:tcMar>
          </w:tcPr>
          <w:p>
            <w:pPr>
              <w:jc w:val="center"/>
            </w:pPr>
            <w:r>
              <w:rPr>
                <w:b/>
                <w:color w:val="FFFFFF"/>
                <w:sz w:val="15"/>
              </w:rPr>
              <w:t>Architecture response</w:t>
            </w:r>
          </w:p>
        </w:tc>
        <w:tc>
          <w:tcPr>
            <w:tcW w:type="dxa" w:w="1440"/>
            <w:shd w:fill="17324D"/>
            <w:tcMar>
              <w:top w:w="100" w:type="dxa"/>
              <w:start w:w="120" w:type="dxa"/>
              <w:bottom w:w="100" w:type="dxa"/>
              <w:end w:w="120" w:type="dxa"/>
            </w:tcMar>
          </w:tcPr>
          <w:p>
            <w:pPr>
              <w:jc w:val="center"/>
            </w:pPr>
            <w:r>
              <w:rPr>
                <w:b/>
                <w:color w:val="FFFFFF"/>
                <w:sz w:val="15"/>
              </w:rPr>
              <w:t>ADRs</w:t>
            </w:r>
          </w:p>
        </w:tc>
        <w:tc>
          <w:tcPr>
            <w:tcW w:type="dxa" w:w="2520"/>
            <w:shd w:fill="17324D"/>
            <w:tcMar>
              <w:top w:w="100" w:type="dxa"/>
              <w:start w:w="120" w:type="dxa"/>
              <w:bottom w:w="100" w:type="dxa"/>
              <w:end w:w="120" w:type="dxa"/>
            </w:tcMar>
          </w:tcPr>
          <w:p>
            <w:pPr>
              <w:jc w:val="center"/>
            </w:pPr>
            <w:r>
              <w:rPr>
                <w:b/>
                <w:color w:val="FFFFFF"/>
                <w:sz w:val="15"/>
              </w:rPr>
              <w:t>Fitness functions</w:t>
            </w:r>
          </w:p>
        </w:tc>
      </w:tr>
      <w:tr>
        <w:tc>
          <w:tcPr>
            <w:tcW w:type="dxa" w:w="2016"/>
            <w:tcMar>
              <w:top w:w="100" w:type="dxa"/>
              <w:start w:w="120" w:type="dxa"/>
              <w:bottom w:w="100" w:type="dxa"/>
              <w:end w:w="120" w:type="dxa"/>
            </w:tcMar>
            <w:vAlign w:val="center"/>
          </w:tcPr>
          <w:p>
            <w:pPr>
              <w:spacing w:after="0"/>
            </w:pPr>
            <w:r>
              <w:rPr>
                <w:sz w:val="15"/>
              </w:rPr>
              <w:t>Safe, reliable operation</w:t>
            </w:r>
          </w:p>
        </w:tc>
        <w:tc>
          <w:tcPr>
            <w:tcW w:type="dxa" w:w="3888"/>
            <w:tcMar>
              <w:top w:w="100" w:type="dxa"/>
              <w:start w:w="120" w:type="dxa"/>
              <w:bottom w:w="100" w:type="dxa"/>
              <w:end w:w="120" w:type="dxa"/>
            </w:tcMar>
            <w:vAlign w:val="center"/>
          </w:tcPr>
          <w:p>
            <w:pPr>
              <w:spacing w:after="0"/>
            </w:pPr>
            <w:r>
              <w:rPr>
                <w:sz w:val="15"/>
              </w:rPr>
              <w:t>Local controls, inspections and authoritative ride records</w:t>
            </w:r>
          </w:p>
        </w:tc>
        <w:tc>
          <w:tcPr>
            <w:tcW w:type="dxa" w:w="1440"/>
            <w:tcMar>
              <w:top w:w="100" w:type="dxa"/>
              <w:start w:w="120" w:type="dxa"/>
              <w:bottom w:w="100" w:type="dxa"/>
              <w:end w:w="120" w:type="dxa"/>
            </w:tcMar>
            <w:vAlign w:val="center"/>
          </w:tcPr>
          <w:p>
            <w:pPr>
              <w:spacing w:after="0"/>
            </w:pPr>
            <w:r>
              <w:rPr>
                <w:sz w:val="15"/>
              </w:rPr>
              <w:t>01, 02</w:t>
            </w:r>
          </w:p>
        </w:tc>
        <w:tc>
          <w:tcPr>
            <w:tcW w:type="dxa" w:w="2520"/>
            <w:tcMar>
              <w:top w:w="100" w:type="dxa"/>
              <w:start w:w="120" w:type="dxa"/>
              <w:bottom w:w="100" w:type="dxa"/>
              <w:end w:w="120" w:type="dxa"/>
            </w:tcMar>
            <w:vAlign w:val="center"/>
          </w:tcPr>
          <w:p>
            <w:pPr>
              <w:spacing w:after="0"/>
            </w:pPr>
            <w:r>
              <w:rPr>
                <w:sz w:val="15"/>
              </w:rPr>
              <w:t>01, 05</w:t>
            </w:r>
          </w:p>
        </w:tc>
      </w:tr>
      <w:tr>
        <w:tc>
          <w:tcPr>
            <w:tcW w:type="dxa" w:w="2016"/>
            <w:tcMar>
              <w:top w:w="100" w:type="dxa"/>
              <w:start w:w="120" w:type="dxa"/>
              <w:bottom w:w="100" w:type="dxa"/>
              <w:end w:w="120" w:type="dxa"/>
            </w:tcMar>
            <w:vAlign w:val="center"/>
            <w:shd w:fill="F3F6F8"/>
          </w:tcPr>
          <w:p>
            <w:pPr>
              <w:spacing w:after="0"/>
            </w:pPr>
            <w:r>
              <w:rPr>
                <w:sz w:val="15"/>
              </w:rPr>
              <w:t>Resilient telemetry</w:t>
            </w:r>
          </w:p>
        </w:tc>
        <w:tc>
          <w:tcPr>
            <w:tcW w:type="dxa" w:w="3888"/>
            <w:tcMar>
              <w:top w:w="100" w:type="dxa"/>
              <w:start w:w="120" w:type="dxa"/>
              <w:bottom w:w="100" w:type="dxa"/>
              <w:end w:w="120" w:type="dxa"/>
            </w:tcMar>
            <w:vAlign w:val="center"/>
            <w:shd w:fill="F3F6F8"/>
          </w:tcPr>
          <w:p>
            <w:pPr>
              <w:spacing w:after="0"/>
            </w:pPr>
            <w:r>
              <w:rPr>
                <w:sz w:val="15"/>
              </w:rPr>
              <w:t>Zoned gateways, buffering and replay</w:t>
            </w:r>
          </w:p>
        </w:tc>
        <w:tc>
          <w:tcPr>
            <w:tcW w:type="dxa" w:w="1440"/>
            <w:tcMar>
              <w:top w:w="100" w:type="dxa"/>
              <w:start w:w="120" w:type="dxa"/>
              <w:bottom w:w="100" w:type="dxa"/>
              <w:end w:w="120" w:type="dxa"/>
            </w:tcMar>
            <w:vAlign w:val="center"/>
            <w:shd w:fill="F3F6F8"/>
          </w:tcPr>
          <w:p>
            <w:pPr>
              <w:spacing w:after="0"/>
            </w:pPr>
            <w:r>
              <w:rPr>
                <w:sz w:val="15"/>
              </w:rPr>
              <w:t>03</w:t>
            </w:r>
          </w:p>
        </w:tc>
        <w:tc>
          <w:tcPr>
            <w:tcW w:type="dxa" w:w="2520"/>
            <w:tcMar>
              <w:top w:w="100" w:type="dxa"/>
              <w:start w:w="120" w:type="dxa"/>
              <w:bottom w:w="100" w:type="dxa"/>
              <w:end w:w="120" w:type="dxa"/>
            </w:tcMar>
            <w:vAlign w:val="center"/>
            <w:shd w:fill="F3F6F8"/>
          </w:tcPr>
          <w:p>
            <w:pPr>
              <w:spacing w:after="0"/>
            </w:pPr>
            <w:r>
              <w:rPr>
                <w:sz w:val="15"/>
              </w:rPr>
              <w:t>04</w:t>
            </w:r>
          </w:p>
        </w:tc>
      </w:tr>
      <w:tr>
        <w:tc>
          <w:tcPr>
            <w:tcW w:type="dxa" w:w="2016"/>
            <w:tcMar>
              <w:top w:w="100" w:type="dxa"/>
              <w:start w:w="120" w:type="dxa"/>
              <w:bottom w:w="100" w:type="dxa"/>
              <w:end w:w="120" w:type="dxa"/>
            </w:tcMar>
            <w:vAlign w:val="center"/>
          </w:tcPr>
          <w:p>
            <w:pPr>
              <w:spacing w:after="0"/>
            </w:pPr>
            <w:r>
              <w:rPr>
                <w:sz w:val="15"/>
              </w:rPr>
              <w:t>Reduced downtime</w:t>
            </w:r>
          </w:p>
        </w:tc>
        <w:tc>
          <w:tcPr>
            <w:tcW w:type="dxa" w:w="3888"/>
            <w:tcMar>
              <w:top w:w="100" w:type="dxa"/>
              <w:start w:w="120" w:type="dxa"/>
              <w:bottom w:w="100" w:type="dxa"/>
              <w:end w:w="120" w:type="dxa"/>
            </w:tcMar>
            <w:vAlign w:val="center"/>
          </w:tcPr>
          <w:p>
            <w:pPr>
              <w:spacing w:after="0"/>
            </w:pPr>
            <w:r>
              <w:rPr>
                <w:sz w:val="15"/>
              </w:rPr>
              <w:t>Condition analysis and integrated maintenance workflow</w:t>
            </w:r>
          </w:p>
        </w:tc>
        <w:tc>
          <w:tcPr>
            <w:tcW w:type="dxa" w:w="1440"/>
            <w:tcMar>
              <w:top w:w="100" w:type="dxa"/>
              <w:start w:w="120" w:type="dxa"/>
              <w:bottom w:w="100" w:type="dxa"/>
              <w:end w:w="120" w:type="dxa"/>
            </w:tcMar>
            <w:vAlign w:val="center"/>
          </w:tcPr>
          <w:p>
            <w:pPr>
              <w:spacing w:after="0"/>
            </w:pPr>
            <w:r>
              <w:rPr>
                <w:sz w:val="15"/>
              </w:rPr>
              <w:t>01, 05</w:t>
            </w:r>
          </w:p>
        </w:tc>
        <w:tc>
          <w:tcPr>
            <w:tcW w:type="dxa" w:w="2520"/>
            <w:tcMar>
              <w:top w:w="100" w:type="dxa"/>
              <w:start w:w="120" w:type="dxa"/>
              <w:bottom w:w="100" w:type="dxa"/>
              <w:end w:w="120" w:type="dxa"/>
            </w:tcMar>
            <w:vAlign w:val="center"/>
          </w:tcPr>
          <w:p>
            <w:pPr>
              <w:spacing w:after="0"/>
            </w:pPr>
            <w:r>
              <w:rPr>
                <w:sz w:val="15"/>
              </w:rPr>
              <w:t>02, 03, 06</w:t>
            </w:r>
          </w:p>
        </w:tc>
      </w:tr>
      <w:tr>
        <w:tc>
          <w:tcPr>
            <w:tcW w:type="dxa" w:w="2016"/>
            <w:tcMar>
              <w:top w:w="100" w:type="dxa"/>
              <w:start w:w="120" w:type="dxa"/>
              <w:bottom w:w="100" w:type="dxa"/>
              <w:end w:w="120" w:type="dxa"/>
            </w:tcMar>
            <w:vAlign w:val="center"/>
            <w:shd w:fill="F3F6F8"/>
          </w:tcPr>
          <w:p>
            <w:pPr>
              <w:spacing w:after="0"/>
            </w:pPr>
            <w:r>
              <w:rPr>
                <w:sz w:val="15"/>
              </w:rPr>
              <w:t>Useful, safe AI</w:t>
            </w:r>
          </w:p>
        </w:tc>
        <w:tc>
          <w:tcPr>
            <w:tcW w:type="dxa" w:w="3888"/>
            <w:tcMar>
              <w:top w:w="100" w:type="dxa"/>
              <w:start w:w="120" w:type="dxa"/>
              <w:bottom w:w="100" w:type="dxa"/>
              <w:end w:w="120" w:type="dxa"/>
            </w:tcMar>
            <w:vAlign w:val="center"/>
            <w:shd w:fill="F3F6F8"/>
          </w:tcPr>
          <w:p>
            <w:pPr>
              <w:spacing w:after="0"/>
            </w:pPr>
            <w:r>
              <w:rPr>
                <w:sz w:val="15"/>
              </w:rPr>
              <w:t>Advisory models, evidence and provider-neutral contracts</w:t>
            </w:r>
          </w:p>
        </w:tc>
        <w:tc>
          <w:tcPr>
            <w:tcW w:type="dxa" w:w="1440"/>
            <w:tcMar>
              <w:top w:w="100" w:type="dxa"/>
              <w:start w:w="120" w:type="dxa"/>
              <w:bottom w:w="100" w:type="dxa"/>
              <w:end w:w="120" w:type="dxa"/>
            </w:tcMar>
            <w:vAlign w:val="center"/>
            <w:shd w:fill="F3F6F8"/>
          </w:tcPr>
          <w:p>
            <w:pPr>
              <w:spacing w:after="0"/>
            </w:pPr>
            <w:r>
              <w:rPr>
                <w:sz w:val="15"/>
              </w:rPr>
              <w:t>05, 06</w:t>
            </w:r>
          </w:p>
        </w:tc>
        <w:tc>
          <w:tcPr>
            <w:tcW w:type="dxa" w:w="2520"/>
            <w:tcMar>
              <w:top w:w="100" w:type="dxa"/>
              <w:start w:w="120" w:type="dxa"/>
              <w:bottom w:w="100" w:type="dxa"/>
              <w:end w:w="120" w:type="dxa"/>
            </w:tcMar>
            <w:vAlign w:val="center"/>
            <w:shd w:fill="F3F6F8"/>
          </w:tcPr>
          <w:p>
            <w:pPr>
              <w:spacing w:after="0"/>
            </w:pPr>
            <w:r>
              <w:rPr>
                <w:sz w:val="15"/>
              </w:rPr>
              <w:t>07, 08, 09</w:t>
            </w:r>
          </w:p>
        </w:tc>
      </w:tr>
      <w:tr>
        <w:tc>
          <w:tcPr>
            <w:tcW w:type="dxa" w:w="2016"/>
            <w:tcMar>
              <w:top w:w="100" w:type="dxa"/>
              <w:start w:w="120" w:type="dxa"/>
              <w:bottom w:w="100" w:type="dxa"/>
              <w:end w:w="120" w:type="dxa"/>
            </w:tcMar>
            <w:vAlign w:val="center"/>
          </w:tcPr>
          <w:p>
            <w:pPr>
              <w:spacing w:after="0"/>
            </w:pPr>
            <w:r>
              <w:rPr>
                <w:sz w:val="15"/>
              </w:rPr>
              <w:t>Wider park coordination</w:t>
            </w:r>
          </w:p>
        </w:tc>
        <w:tc>
          <w:tcPr>
            <w:tcW w:type="dxa" w:w="3888"/>
            <w:tcMar>
              <w:top w:w="100" w:type="dxa"/>
              <w:start w:w="120" w:type="dxa"/>
              <w:bottom w:w="100" w:type="dxa"/>
              <w:end w:w="120" w:type="dxa"/>
            </w:tcMar>
            <w:vAlign w:val="center"/>
          </w:tcPr>
          <w:p>
            <w:pPr>
              <w:spacing w:after="0"/>
            </w:pPr>
            <w:r>
              <w:rPr>
                <w:sz w:val="15"/>
              </w:rPr>
              <w:t>Curated ride-status and capacity events</w:t>
            </w:r>
          </w:p>
        </w:tc>
        <w:tc>
          <w:tcPr>
            <w:tcW w:type="dxa" w:w="1440"/>
            <w:tcMar>
              <w:top w:w="100" w:type="dxa"/>
              <w:start w:w="120" w:type="dxa"/>
              <w:bottom w:w="100" w:type="dxa"/>
              <w:end w:w="120" w:type="dxa"/>
            </w:tcMar>
            <w:vAlign w:val="center"/>
          </w:tcPr>
          <w:p>
            <w:pPr>
              <w:spacing w:after="0"/>
            </w:pPr>
            <w:r>
              <w:rPr>
                <w:sz w:val="15"/>
              </w:rPr>
              <w:t>04</w:t>
            </w:r>
          </w:p>
        </w:tc>
        <w:tc>
          <w:tcPr>
            <w:tcW w:type="dxa" w:w="2520"/>
            <w:tcMar>
              <w:top w:w="100" w:type="dxa"/>
              <w:start w:w="120" w:type="dxa"/>
              <w:bottom w:w="100" w:type="dxa"/>
              <w:end w:w="120" w:type="dxa"/>
            </w:tcMar>
            <w:vAlign w:val="center"/>
          </w:tcPr>
          <w:p>
            <w:pPr>
              <w:spacing w:after="0"/>
            </w:pPr>
            <w:r>
              <w:rPr>
                <w:sz w:val="15"/>
              </w:rPr>
              <w:t>10</w:t>
            </w:r>
          </w:p>
        </w:tc>
      </w:tr>
    </w:tbl>
    <w:p>
      <w:pPr>
        <w:spacing w:after="20"/>
      </w:pPr>
    </w:p>
    <w:p>
      <w:r>
        <w:br w:type="page"/>
      </w:r>
    </w:p>
    <w:p>
      <w:pPr>
        <w:pStyle w:val="Heading1"/>
      </w:pPr>
      <w:r>
        <w:t>9. Delivery sequence and conclusion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24D"/>
            <w:tcMar>
              <w:top w:w="100" w:type="dxa"/>
              <w:start w:w="120" w:type="dxa"/>
              <w:bottom w:w="100" w:type="dxa"/>
              <w:end w:w="120" w:type="dxa"/>
            </w:tcMar>
          </w:tcPr>
          <w:p>
            <w:pPr>
              <w:jc w:val="center"/>
            </w:pPr>
            <w:r>
              <w:rPr>
                <w:b/>
                <w:color w:val="FFFFFF"/>
                <w:sz w:val="16"/>
              </w:rPr>
              <w:t>Phase</w:t>
            </w:r>
          </w:p>
        </w:tc>
        <w:tc>
          <w:tcPr>
            <w:tcW w:type="dxa" w:w="5400"/>
            <w:shd w:fill="17324D"/>
            <w:tcMar>
              <w:top w:w="100" w:type="dxa"/>
              <w:start w:w="120" w:type="dxa"/>
              <w:bottom w:w="100" w:type="dxa"/>
              <w:end w:w="120" w:type="dxa"/>
            </w:tcMar>
          </w:tcPr>
          <w:p>
            <w:pPr>
              <w:jc w:val="center"/>
            </w:pPr>
            <w:r>
              <w:rPr>
                <w:b/>
                <w:color w:val="FFFFFF"/>
                <w:sz w:val="16"/>
              </w:rPr>
              <w:t>Scope</w:t>
            </w:r>
          </w:p>
        </w:tc>
        <w:tc>
          <w:tcPr>
            <w:tcW w:type="dxa" w:w="2736"/>
            <w:shd w:fill="17324D"/>
            <w:tcMar>
              <w:top w:w="100" w:type="dxa"/>
              <w:start w:w="120" w:type="dxa"/>
              <w:bottom w:w="100" w:type="dxa"/>
              <w:end w:w="120" w:type="dxa"/>
            </w:tcMar>
          </w:tcPr>
          <w:p>
            <w:pPr>
              <w:jc w:val="center"/>
            </w:pPr>
            <w:r>
              <w:rPr>
                <w:b/>
                <w:color w:val="FFFFFF"/>
                <w:sz w:val="16"/>
              </w:rPr>
              <w:t>Value</w:t>
            </w:r>
          </w:p>
        </w:tc>
      </w:tr>
      <w:tr>
        <w:tc>
          <w:tcPr>
            <w:tcW w:type="dxa" w:w="1800"/>
            <w:tcMar>
              <w:top w:w="100" w:type="dxa"/>
              <w:start w:w="120" w:type="dxa"/>
              <w:bottom w:w="100" w:type="dxa"/>
              <w:end w:w="120" w:type="dxa"/>
            </w:tcMar>
            <w:vAlign w:val="center"/>
          </w:tcPr>
          <w:p>
            <w:pPr>
              <w:spacing w:after="0"/>
            </w:pPr>
            <w:r>
              <w:rPr>
                <w:sz w:val="16"/>
              </w:rPr>
              <w:t>1. Operational foundation</w:t>
            </w:r>
          </w:p>
        </w:tc>
        <w:tc>
          <w:tcPr>
            <w:tcW w:type="dxa" w:w="5400"/>
            <w:tcMar>
              <w:top w:w="100" w:type="dxa"/>
              <w:start w:w="120" w:type="dxa"/>
              <w:bottom w:w="100" w:type="dxa"/>
              <w:end w:w="120" w:type="dxa"/>
            </w:tcMar>
            <w:vAlign w:val="center"/>
          </w:tcPr>
          <w:p>
            <w:pPr>
              <w:spacing w:after="0"/>
            </w:pPr>
            <w:r>
              <w:rPr>
                <w:sz w:val="16"/>
              </w:rPr>
              <w:t>Ride register, inspections, defects, status and maintenance workflows.</w:t>
            </w:r>
          </w:p>
        </w:tc>
        <w:tc>
          <w:tcPr>
            <w:tcW w:type="dxa" w:w="2736"/>
            <w:tcMar>
              <w:top w:w="100" w:type="dxa"/>
              <w:start w:w="120" w:type="dxa"/>
              <w:bottom w:w="100" w:type="dxa"/>
              <w:end w:w="120" w:type="dxa"/>
            </w:tcMar>
            <w:vAlign w:val="center"/>
          </w:tcPr>
          <w:p>
            <w:pPr>
              <w:spacing w:after="0"/>
            </w:pPr>
            <w:r>
              <w:rPr>
                <w:sz w:val="16"/>
              </w:rPr>
              <w:t>Creates authoritative and accountable operating records.</w:t>
            </w:r>
          </w:p>
        </w:tc>
      </w:tr>
      <w:tr>
        <w:tc>
          <w:tcPr>
            <w:tcW w:type="dxa" w:w="1800"/>
            <w:tcMar>
              <w:top w:w="100" w:type="dxa"/>
              <w:start w:w="120" w:type="dxa"/>
              <w:bottom w:w="100" w:type="dxa"/>
              <w:end w:w="120" w:type="dxa"/>
            </w:tcMar>
            <w:vAlign w:val="center"/>
            <w:shd w:fill="F3F6F8"/>
          </w:tcPr>
          <w:p>
            <w:pPr>
              <w:spacing w:after="0"/>
            </w:pPr>
            <w:r>
              <w:rPr>
                <w:sz w:val="16"/>
              </w:rPr>
              <w:t>2. Resilient telemetry</w:t>
            </w:r>
          </w:p>
        </w:tc>
        <w:tc>
          <w:tcPr>
            <w:tcW w:type="dxa" w:w="5400"/>
            <w:tcMar>
              <w:top w:w="100" w:type="dxa"/>
              <w:start w:w="120" w:type="dxa"/>
              <w:bottom w:w="100" w:type="dxa"/>
              <w:end w:w="120" w:type="dxa"/>
            </w:tcMar>
            <w:vAlign w:val="center"/>
            <w:shd w:fill="F3F6F8"/>
          </w:tcPr>
          <w:p>
            <w:pPr>
              <w:spacing w:after="0"/>
            </w:pPr>
            <w:r>
              <w:rPr>
                <w:sz w:val="16"/>
              </w:rPr>
              <w:t>Priority sensors, zoned gateways, device health and replay.</w:t>
            </w:r>
          </w:p>
        </w:tc>
        <w:tc>
          <w:tcPr>
            <w:tcW w:type="dxa" w:w="2736"/>
            <w:tcMar>
              <w:top w:w="100" w:type="dxa"/>
              <w:start w:w="120" w:type="dxa"/>
              <w:bottom w:w="100" w:type="dxa"/>
              <w:end w:w="120" w:type="dxa"/>
            </w:tcMar>
            <w:vAlign w:val="center"/>
            <w:shd w:fill="F3F6F8"/>
          </w:tcPr>
          <w:p>
            <w:pPr>
              <w:spacing w:after="0"/>
            </w:pPr>
            <w:r>
              <w:rPr>
                <w:sz w:val="16"/>
              </w:rPr>
              <w:t>Adds condition visibility without safety-control dependency.</w:t>
            </w:r>
          </w:p>
        </w:tc>
      </w:tr>
      <w:tr>
        <w:tc>
          <w:tcPr>
            <w:tcW w:type="dxa" w:w="1800"/>
            <w:tcMar>
              <w:top w:w="100" w:type="dxa"/>
              <w:start w:w="120" w:type="dxa"/>
              <w:bottom w:w="100" w:type="dxa"/>
              <w:end w:w="120" w:type="dxa"/>
            </w:tcMar>
            <w:vAlign w:val="center"/>
          </w:tcPr>
          <w:p>
            <w:pPr>
              <w:spacing w:after="0"/>
            </w:pPr>
            <w:r>
              <w:rPr>
                <w:sz w:val="16"/>
              </w:rPr>
              <w:t>3. Governed intelligence</w:t>
            </w:r>
          </w:p>
        </w:tc>
        <w:tc>
          <w:tcPr>
            <w:tcW w:type="dxa" w:w="5400"/>
            <w:tcMar>
              <w:top w:w="100" w:type="dxa"/>
              <w:start w:w="120" w:type="dxa"/>
              <w:bottom w:w="100" w:type="dxa"/>
              <w:end w:w="120" w:type="dxa"/>
            </w:tcMar>
            <w:vAlign w:val="center"/>
          </w:tcPr>
          <w:p>
            <w:pPr>
              <w:spacing w:after="0"/>
            </w:pPr>
            <w:r>
              <w:rPr>
                <w:sz w:val="16"/>
              </w:rPr>
              <w:t>Anomaly detection, maintenance risk, evaluation, feedback and drift monitoring.</w:t>
            </w:r>
          </w:p>
        </w:tc>
        <w:tc>
          <w:tcPr>
            <w:tcW w:type="dxa" w:w="2736"/>
            <w:tcMar>
              <w:top w:w="100" w:type="dxa"/>
              <w:start w:w="120" w:type="dxa"/>
              <w:bottom w:w="100" w:type="dxa"/>
              <w:end w:w="120" w:type="dxa"/>
            </w:tcMar>
            <w:vAlign w:val="center"/>
          </w:tcPr>
          <w:p>
            <w:pPr>
              <w:spacing w:after="0"/>
            </w:pPr>
            <w:r>
              <w:rPr>
                <w:sz w:val="16"/>
              </w:rPr>
              <w:t>Enables earlier intervention with engineer oversight.</w:t>
            </w:r>
          </w:p>
        </w:tc>
      </w:tr>
      <w:tr>
        <w:tc>
          <w:tcPr>
            <w:tcW w:type="dxa" w:w="1800"/>
            <w:tcMar>
              <w:top w:w="100" w:type="dxa"/>
              <w:start w:w="120" w:type="dxa"/>
              <w:bottom w:w="100" w:type="dxa"/>
              <w:end w:w="120" w:type="dxa"/>
            </w:tcMar>
            <w:vAlign w:val="center"/>
            <w:shd w:fill="F3F6F8"/>
          </w:tcPr>
          <w:p>
            <w:pPr>
              <w:spacing w:after="0"/>
            </w:pPr>
            <w:r>
              <w:rPr>
                <w:sz w:val="16"/>
              </w:rPr>
              <w:t>4. Estate optimisation</w:t>
            </w:r>
          </w:p>
        </w:tc>
        <w:tc>
          <w:tcPr>
            <w:tcW w:type="dxa" w:w="5400"/>
            <w:tcMar>
              <w:top w:w="100" w:type="dxa"/>
              <w:start w:w="120" w:type="dxa"/>
              <w:bottom w:w="100" w:type="dxa"/>
              <w:end w:w="120" w:type="dxa"/>
            </w:tcMar>
            <w:vAlign w:val="center"/>
            <w:shd w:fill="F3F6F8"/>
          </w:tcPr>
          <w:p>
            <w:pPr>
              <w:spacing w:after="0"/>
            </w:pPr>
            <w:r>
              <w:rPr>
                <w:sz w:val="16"/>
              </w:rPr>
              <w:t>Ride status, demand, queue, staffing and visitor-communication integration.</w:t>
            </w:r>
          </w:p>
        </w:tc>
        <w:tc>
          <w:tcPr>
            <w:tcW w:type="dxa" w:w="2736"/>
            <w:tcMar>
              <w:top w:w="100" w:type="dxa"/>
              <w:start w:w="120" w:type="dxa"/>
              <w:bottom w:w="100" w:type="dxa"/>
              <w:end w:w="120" w:type="dxa"/>
            </w:tcMar>
            <w:vAlign w:val="center"/>
            <w:shd w:fill="F3F6F8"/>
          </w:tcPr>
          <w:p>
            <w:pPr>
              <w:spacing w:after="0"/>
            </w:pPr>
            <w:r>
              <w:rPr>
                <w:sz w:val="16"/>
              </w:rPr>
              <w:t>Connects reliability decisions to capacity and visitor experience.</w:t>
            </w:r>
          </w:p>
        </w:tc>
      </w:tr>
    </w:tbl>
    <w:p>
      <w:pPr>
        <w:spacing w:after="20"/>
      </w:pPr>
    </w:p>
    <w:tbl>
      <w:tblPr>
        <w:tblW w:type="auto" w:w="0"/>
        <w:tblLook w:firstColumn="1" w:firstRow="1" w:lastColumn="0" w:lastRow="0" w:noHBand="0" w:noVBand="1" w:val="04A0"/>
      </w:tblPr>
      <w:tblGrid>
        <w:gridCol w:w="10166"/>
      </w:tblGrid>
      <w:tr>
        <w:tc>
          <w:tcPr>
            <w:tcW w:type="dxa" w:w="10166"/>
            <w:shd w:fill="EAF3F7"/>
            <w:tcMar>
              <w:top w:w="150" w:type="dxa"/>
              <w:start w:w="180" w:type="dxa"/>
              <w:bottom w:w="150" w:type="dxa"/>
              <w:end w:w="180" w:type="dxa"/>
            </w:tcMar>
          </w:tcPr>
          <w:p>
            <w:pPr>
              <w:spacing w:after="40"/>
            </w:pPr>
            <w:r>
              <w:rPr>
                <w:b/>
                <w:color w:val="2A9D8F"/>
              </w:rPr>
              <w:t xml:space="preserve">FINAL POSITION  </w:t>
            </w:r>
            <w:r>
              <w:t>The architecture improves availability and maintenance planning without placing AI or cloud connectivity in the safety path. Certified controls remain local, engineers retain authority, and curated events connect ride health to the wider estate.</w:t>
            </w:r>
          </w:p>
        </w:tc>
      </w:tr>
    </w:tbl>
    <w:p>
      <w:pPr>
        <w:spacing w:after="20"/>
      </w:pPr>
    </w:p>
    <w:p>
      <w:pPr>
        <w:pStyle w:val="Heading2"/>
      </w:pPr>
      <w:r>
        <w:t>Source basis</w:t>
      </w:r>
    </w:p>
    <w:p>
      <w:r>
        <w:t>Prepared from the supplied Architecture Kata 2026 brief and accompanying submission-priorities and working documents. The brief provides the estate context, ride count and connectivity constraint. The detailed architecture, ADRs and numerical fitness targets are proposed by this submission and require validation with ride engineering, operations and safety specialists.</w:t>
      </w:r>
    </w:p>
    <w:sectPr w:rsidR="00FC693F" w:rsidRPr="0006063C" w:rsidSect="00034616">
      <w:headerReference w:type="default" r:id="rId12"/>
      <w:footerReference w:type="default" r:id="rId13"/>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Architecture Kata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5"/>
      </w:rPr>
      <w:t>VON DIGITALIS ESTATES  |  RIDE OPERATIONS &amp; ASSET RELIABILITY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36B8E"/>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Ride Operations &amp; Asset Reliability - C4 Capability Submission</dc:title>
  <dc:subject/>
  <dc:creator>Matt Gould</dc:creator>
  <keywords/>
  <dc:description>generated by python-docx</dc:description>
  <lastModifiedBy>Matt Gould</lastModifiedBy>
  <revision>1</revision>
  <dcterms:created xsi:type="dcterms:W3CDTF">2026-09-12T11:29:44.5128301Z</dcterms:created>
  <dcterms:modified xsi:type="dcterms:W3CDTF">2026-09-12T11:29:44.5128301Z</dcterms:modified>
  <category/>
</coreProperties>
</file>