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A9D8F"/>
        </w:rPr>
        <w:t>VON DIGITALIS ESTATES</w:t>
      </w:r>
    </w:p>
    <w:p>
      <w:pPr>
        <w:pStyle w:val="Title"/>
      </w:pPr>
      <w:r>
        <w:t>Visitor Journey &amp; Growth</w:t>
      </w:r>
    </w:p>
    <w:p>
      <w:pPr>
        <w:pStyle w:val="Subtitle"/>
      </w:pPr>
      <w:r>
        <w:t>Architecture Kata Capability Submission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ARCHITECTURE THESIS  </w:t>
            </w:r>
            <w:r>
              <w:t>A consent-led visitor platform unifies ticketing, family passes, visit planning and measured engagement to make visits easier and support sustainable growth. AI personalises recommendations within explicit privacy, safety and commercial guardrails.</w:t>
            </w:r>
          </w:p>
        </w:tc>
      </w:tr>
    </w:tbl>
    <w:p>
      <w:pPr>
        <w:spacing w:after="20"/>
      </w:pPr>
    </w:p>
    <w:p>
      <w:r>
        <w:br/>
      </w:r>
    </w:p>
    <w:p>
      <w:pPr>
        <w:pStyle w:val="Heading2"/>
      </w:pPr>
      <w:r>
        <w:t>Submission focus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705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Design response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Simple purchase and entry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Digital ticketing, family passes and reliable entitlement validation.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8"/>
              </w:rPr>
              <w:t>Better visit planning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8"/>
              </w:rPr>
              <w:t>Current status, queue and approved attraction information.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Sustainable growth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Consent-led referrals, repeat-visit and campaign measurement.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Protect trust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8"/>
              </w:rPr>
              <w:t>Data minimisation, explicit consent and bounded personalisation.</w:t>
            </w:r>
          </w:p>
        </w:tc>
      </w:tr>
    </w:tbl>
    <w:p>
      <w:pPr>
        <w:spacing w:after="20"/>
      </w:pPr>
    </w:p>
    <w:p>
      <w:pPr>
        <w:pStyle w:val="Heading3"/>
      </w:pPr>
      <w:r>
        <w:t>Scope note</w:t>
      </w:r>
    </w:p>
    <w:p>
      <w:r>
        <w:t>The brief explicitly asks for ticket sales including family passes, visitor growth, profitability and insight into park popularity. Identity, consent and growth targets below are proposed architecture choices.</w:t>
      </w:r>
    </w:p>
    <w:p>
      <w:r>
        <w:br w:type="page"/>
      </w:r>
    </w:p>
    <w:p>
      <w:pPr>
        <w:pStyle w:val="Heading1"/>
      </w:pPr>
      <w:r>
        <w:t>1. Business outcome and design principles</w:t>
      </w:r>
    </w:p>
    <w:p>
      <w:r>
        <w:t>The visitor journey must support purchase, entry, in-visit planning and post-visit engagement without forcing operational systems into a single monolith. The platform creates a reliable commercial and consent record, consumes live estate status and measures whether recommendations improve visits and repeat engagement.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CORE BOUNDARY  </w:t>
            </w:r>
            <w:r>
              <w:t>The Visitor Platform owns accounts, consent, orders, passes and engagement preferences. Operational capabilities own live ride, queue, animal and site status and share only curated events.</w:t>
            </w:r>
          </w:p>
        </w:tc>
      </w:tr>
    </w:tbl>
    <w:p>
      <w:pPr>
        <w:spacing w:after="20"/>
      </w:pPr>
    </w:p>
    <w:p>
      <w:pPr>
        <w:pStyle w:val="Heading2"/>
      </w:pPr>
      <w:r>
        <w:t>Design principles</w:t>
      </w:r>
    </w:p>
    <w:p>
      <w:pPr>
        <w:pStyle w:val="ListBullet"/>
        <w:spacing w:after="40"/>
      </w:pPr>
      <w:r>
        <w:t>Commercial transactions remain deterministic and auditable.</w:t>
      </w:r>
    </w:p>
    <w:p>
      <w:pPr>
        <w:pStyle w:val="ListBullet"/>
        <w:spacing w:after="40"/>
      </w:pPr>
      <w:r>
        <w:t>Consent and communication preferences are first-class records.</w:t>
      </w:r>
    </w:p>
    <w:p>
      <w:pPr>
        <w:pStyle w:val="ListBullet"/>
        <w:spacing w:after="40"/>
      </w:pPr>
      <w:r>
        <w:t>Live operational truth remains owned by operational domains.</w:t>
      </w:r>
    </w:p>
    <w:p>
      <w:pPr>
        <w:pStyle w:val="ListBullet"/>
        <w:spacing w:after="40"/>
      </w:pPr>
      <w:r>
        <w:t>Recommendations are explainable, suppressible and never safety-critical.</w:t>
      </w:r>
    </w:p>
    <w:p>
      <w:pPr>
        <w:pStyle w:val="ListBullet"/>
        <w:spacing w:after="40"/>
      </w:pPr>
      <w:r>
        <w:t>Growth experiments use measurable outcomes and controlled exposure.</w:t>
      </w:r>
    </w:p>
    <w:p>
      <w:pPr>
        <w:pStyle w:val="Heading2"/>
      </w:pPr>
      <w:r>
        <w:t>Capability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7344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Responsibilities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Ticketing and passes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Products, orders, payments, family entitlements and entry validation.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Visitor account and consent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Profiles, household links, preferences and communication permissions.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Journey orchestration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Pre-visit planning, in-visit guidance and post-visit follow-up.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Growth and engagement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Referrals, campaigns, offers, experiments and attribution.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Personalisation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Rank relevant content using approved signals and monitored models.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C4 Level 2: container architecture</w:t>
      </w:r>
    </w:p>
    <w:p>
      <w:r>
        <w:drawing>
          <wp:inline xmlns:a="http://schemas.openxmlformats.org/drawingml/2006/main" xmlns:pic="http://schemas.openxmlformats.org/drawingml/2006/picture">
            <wp:extent cx="6400800" cy="3321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tor_c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1. C2 containers for commerce, consent, journey experience and growth.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ARCHITECTURAL INTENT  </w:t>
            </w:r>
            <w:r>
              <w:t>Keeps commercial and consent records authoritative while consuming operational truth through events.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C4 Level 3: critical service components</w:t>
      </w:r>
    </w:p>
    <w:p>
      <w:r>
        <w:drawing>
          <wp:inline xmlns:a="http://schemas.openxmlformats.org/drawingml/2006/main" xmlns:pic="http://schemas.openxmlformats.org/drawingml/2006/picture">
            <wp:extent cx="6400800" cy="3321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tor_c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2. C3 components within the Journey Experience API.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ARCHITECTURAL INTENT  </w:t>
            </w:r>
            <w:r>
              <w:t>Makes consent eligibility, recommendation invocation and safety filtering independently testable.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Deployment and resilience view</w:t>
      </w:r>
    </w:p>
    <w:p>
      <w:r>
        <w:drawing>
          <wp:inline xmlns:a="http://schemas.openxmlformats.org/drawingml/2006/main" xmlns:pic="http://schemas.openxmlformats.org/drawingml/2006/picture">
            <wp:extent cx="6400800" cy="3321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tor_deplo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3. Visitor channels with a controlled resilient entry path.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ARCHITECTURAL INTENT  </w:t>
            </w:r>
            <w:r>
              <w:t>Preserves entry during a bounded connectivity interruption without creating a second source of truth.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Dynamic view: critical journey</w:t>
      </w:r>
    </w:p>
    <w:p>
      <w:r>
        <w:drawing>
          <wp:inline xmlns:a="http://schemas.openxmlformats.org/drawingml/2006/main" xmlns:pic="http://schemas.openxmlformats.org/drawingml/2006/picture">
            <wp:extent cx="6400800" cy="33210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tor_journ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4. The visitor journey connects purchase, entry, guided experience and consent-led growth.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ARCHITECTURAL INTENT  </w:t>
            </w:r>
            <w:r>
              <w:t>Shows measurable growth as an outcome of a trusted visit rather than an uncontrolled messaging pipeline.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AI strategy and guardrails</w:t>
      </w:r>
    </w:p>
    <w:p>
      <w:r>
        <w:t>AI is used to rank relevant content and support journey planning. It does not change commercial entitlements, consent or safety-critical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Business need</w:t>
            </w:r>
          </w:p>
        </w:tc>
        <w:tc>
          <w:tcPr>
            <w:tcW w:type="dxa" w:w="403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AI capability</w:t>
            </w:r>
          </w:p>
        </w:tc>
        <w:tc>
          <w:tcPr>
            <w:tcW w:type="dxa" w:w="3024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Required human control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Relevant planning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Rank attractions using preferences and approved live status.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Visitor chooses; policy filters output.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Improve repeat visits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Identify audience segments and likely interests.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Marketing approves campaign and consent scope.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 questions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Retrieval-based assistant over approved park information.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Citations and escalation are required.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Measure growth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Experiment analysis and outcome attribution.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owner approves interpretation and rollout.</w:t>
            </w:r>
          </w:p>
        </w:tc>
      </w:tr>
    </w:tbl>
    <w:p>
      <w:pPr>
        <w:spacing w:after="20"/>
      </w:pPr>
    </w:p>
    <w:p>
      <w:pPr>
        <w:pStyle w:val="Heading2"/>
      </w:pPr>
      <w:r>
        <w:t>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AI may</w:t>
            </w:r>
          </w:p>
        </w:tc>
        <w:tc>
          <w:tcPr>
            <w:tcW w:type="dxa" w:w="496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AI may not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Rank approved attractions and content.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Alter ticket, pass, price or refund records.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Use consented preferences and visit context.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Infer or use prohibited sensitive traits.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Summarise cited park information.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Override closure, accessibility or safety information.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Recommend campaign audiences.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7"/>
              </w:rPr>
              <w:t>Contact visitors without valid consent.</w:t>
            </w:r>
          </w:p>
        </w:tc>
      </w:tr>
    </w:tbl>
    <w:p>
      <w:pPr>
        <w:spacing w:after="20"/>
      </w:pPr>
    </w:p>
    <w:p>
      <w:pPr>
        <w:pStyle w:val="Heading2"/>
      </w:pPr>
      <w:r>
        <w:t>Validation and fallback</w:t>
      </w:r>
    </w:p>
    <w:p>
      <w:pPr>
        <w:pStyle w:val="ListBullet"/>
        <w:spacing w:after="40"/>
      </w:pPr>
      <w:r>
        <w:t>Evaluate recommendations for relevance, diversity, status correctness and business outcome.</w:t>
      </w:r>
    </w:p>
    <w:p>
      <w:pPr>
        <w:pStyle w:val="ListBullet"/>
        <w:spacing w:after="40"/>
      </w:pPr>
      <w:r>
        <w:t>Monitor consent-filter violations, stale operational content, drift and experiment guardrail metrics.</w:t>
      </w:r>
    </w:p>
    <w:p>
      <w:pPr>
        <w:pStyle w:val="ListBullet"/>
        <w:spacing w:after="40"/>
      </w:pPr>
      <w:r>
        <w:t>When AI is unavailable, serve deterministic popular, available and editorially approved content.</w:t>
      </w:r>
    </w:p>
    <w:p>
      <w:pPr>
        <w:pStyle w:val="ListBullet"/>
        <w:spacing w:after="40"/>
      </w:pPr>
      <w:r>
        <w:t>Version model contracts, prompts, evaluation sets and served-response evidence independently of providers.</w:t>
      </w:r>
    </w:p>
    <w:p>
      <w:r>
        <w:br w:type="page"/>
      </w:r>
    </w:p>
    <w:p>
      <w:pPr>
        <w:pStyle w:val="Heading1"/>
      </w:pPr>
      <w:r>
        <w:t>7. Architectural decision records</w:t>
      </w:r>
    </w:p>
    <w:p>
      <w:r>
        <w:t>These concise ADRs capture the decisions that most strongly shape the capability.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 / decision</w:t>
            </w:r>
          </w:p>
        </w:tc>
        <w:tc>
          <w:tcPr>
            <w:tcW w:type="dxa" w:w="2304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309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237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Consequence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ADR-VG-01</w:t>
              <w:br/>
              <w:t>Commerce is deterministic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Tickets and passes are contractual entitlements.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Keep order, payment and entitlement decisions outside generative AI.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Strong auditability; less conversational automation.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ADR-VG-02</w:t>
              <w:br/>
              <w:t>Consent is first-class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Growth activity depends on valid permission.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Centralise consent and enforce it at every outbound decision.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Improves trust; adds policy integration.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ADR-VG-03</w:t>
              <w:br/>
              <w:t>Operational truth stays in domains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Ride and site status changes independently.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Consume curated status events rather than copy operational ownership.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Reduces inconsistency; requires freshness handling.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ADR-VG-04</w:t>
              <w:br/>
              <w:t>Controlled offline entry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Entry cannot rely solely on live cloud access.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Validate signed, time-bounded entitlements from a local cache.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Maintains entry; requires revocation and reconciliation design.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ADR-VG-05</w:t>
              <w:br/>
              <w:t>AI recommendations are advisory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Ranking can be wrong or stale.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Apply consent, availability and safety policies after model output.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Bounds risk; may reduce recommendation yield.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ADR-VG-06</w:t>
              <w:br/>
              <w:t>Growth uses experimentation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Correlation alone cannot prove value.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Use controlled experiments with guardrail metrics and attribution.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Improves evidence; adds analytical discipline.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Architecture fitness functions</w:t>
      </w:r>
    </w:p>
    <w:p>
      <w:r>
        <w:t>Targets are proposed starting points and require validation against operational baselines.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Fitness function</w:t>
            </w:r>
          </w:p>
        </w:tc>
        <w:tc>
          <w:tcPr>
            <w:tcW w:type="dxa" w:w="468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Proposed success measure</w:t>
            </w:r>
          </w:p>
        </w:tc>
        <w:tc>
          <w:tcPr>
            <w:tcW w:type="dxa" w:w="223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FF-VG-01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Purchase availability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Meet an agreed availability SLO for browse, checkout and entitlement issuance.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Commerce SLO dashboard.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FF-VG-02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Entitlement integrity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100% of admitted entries map to a valid entitlement or approved exception.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Entry reconciliation.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FF-VG-03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Offline entry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Signed-pass validation continues for the agreed outage window.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Resilience exercise.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FF-VG-04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Consent enforcement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Zero outbound messages without a valid consent decision.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Automated policy audit.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FF-VG-05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Status correctness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100% of served recommendations apply current closure and safety rules.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Response-policy test.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FF-VG-06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Recommendation evidence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100% include model, policy and source-status versions.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Schema validation.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FF-VG-07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AI usefulness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Recommendation experiments meet approved relevance and guardrail thresholds.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 report.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FF-VG-08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 delivery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At least 99.95% successful event publication with replay.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Event-platform SLO.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FF-VG-09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minimisation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No disallowed attributes in personalisation features.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4"/>
              </w:rPr>
              <w:t>Feature contract test.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FF-VG-10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Growth outcome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Repeat-visit and referral uplift measured against an agreed baseline.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Controlled experiment.</w:t>
            </w:r>
          </w:p>
        </w:tc>
      </w:tr>
    </w:tbl>
    <w:p>
      <w:pPr>
        <w:spacing w:after="20"/>
      </w:pPr>
    </w:p>
    <w:p>
      <w:pPr>
        <w:pStyle w:val="Heading2"/>
      </w:pPr>
      <w:r>
        <w:t>Traceability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1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Outcome</w:t>
            </w:r>
          </w:p>
        </w:tc>
        <w:tc>
          <w:tcPr>
            <w:tcW w:type="dxa" w:w="388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Architecture response</w:t>
            </w:r>
          </w:p>
        </w:tc>
        <w:tc>
          <w:tcPr>
            <w:tcW w:type="dxa" w:w="144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ADRs</w:t>
            </w:r>
          </w:p>
        </w:tc>
        <w:tc>
          <w:tcPr>
            <w:tcW w:type="dxa" w:w="252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Fitness functions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Purchase and entry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Deterministic commerce and resilient validation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01, 04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01, 02, 03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Trust and privacy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Central consent and minimised features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02, 05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04, 09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Relevant experience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Policy-filtered recommendations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03, 05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05, 06, 07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Growth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Experiments and attribution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Operational integration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Curated status events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Delivery sequence and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40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73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1. Commerce foundation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Ticketing, family passes, entry and consent.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Enables reliable purchase and access.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2. Journey experience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Planning, status integration and deterministic guidance.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Improves visit usability.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3. Governed personalisation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Recommendation models, policy filters and evaluation.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Increases relevance without weakening trust.</w:t>
            </w:r>
          </w:p>
        </w:tc>
      </w:tr>
      <w:tr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4. Growth optimisation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Referrals, campaigns and controlled experiments.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sz w:val="16"/>
              </w:rPr>
              <w:t>Measures sustainable growth and profitability.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2A9D8F"/>
              </w:rPr>
              <w:t xml:space="preserve">FINAL POSITION  </w:t>
            </w:r>
            <w:r>
              <w:t>The design treats a trusted visit as the foundation for growth. Deterministic commerce, explicit consent and operationally correct guidance create a safe base for measured personalisation and repeat engagement.</w:t>
            </w:r>
          </w:p>
        </w:tc>
      </w:tr>
    </w:tbl>
    <w:p>
      <w:pPr>
        <w:spacing w:after="20"/>
      </w:pPr>
    </w:p>
    <w:p>
      <w:pPr>
        <w:pStyle w:val="Heading2"/>
      </w:pPr>
      <w:r>
        <w:t>Source basis</w:t>
      </w:r>
    </w:p>
    <w:p>
      <w:r>
        <w:t>Prepared from the supplied Architecture Kata 2026 brief and accompanying working documents. The brief explicitly requires ticketing, insight into park popularity, visitor growth and profitability, and notes patchy Wi-Fi with budget for MQTT-capable devices. Detailed architecture and numerical targets are proposed by this submission and require stakeholder validation.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Architecture Kata Capability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5"/>
      </w:rPr>
      <w:t>VON DIGITALIS ESTATES  |  VISITOR JOURNEY &amp; GROWTH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B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ptos" w:hAnsi="Aptos"/>
      <w:i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Visitor Journey &amp; Growth</dc:title>
  <dc:subject/>
  <dc:creator>Matt Gould</dc:creator>
  <keywords/>
  <dc:description>generated by python-docx</dc:description>
  <lastModifiedBy>Matt Gould</lastModifiedBy>
  <revision>1</revision>
  <dcterms:created xsi:type="dcterms:W3CDTF">2026-09-12T14:24:03.6532888Z</dcterms:created>
  <dcterms:modified xsi:type="dcterms:W3CDTF">2026-09-12T14:24:03.6532888Z</dcterms:modified>
  <category/>
</coreProperties>
</file>