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E74" w:rsidRDefault="00C47A8D" w:rsidP="00C47A8D">
      <w:pPr>
        <w:pStyle w:val="Title"/>
      </w:pPr>
      <w:r>
        <w:t>Generic Workflow Engine Project</w:t>
      </w:r>
    </w:p>
    <w:p w:rsidR="00805853" w:rsidRDefault="00C47A8D" w:rsidP="00C47A8D">
      <w:pPr>
        <w:pStyle w:val="Heading2"/>
      </w:pPr>
      <w:r>
        <w:t>Overview</w:t>
      </w:r>
    </w:p>
    <w:p w:rsidR="00C47A8D" w:rsidRDefault="00C47A8D">
      <w:r>
        <w:t xml:space="preserve">This document covers the design of the Generic Workflow Engine (GWE). The </w:t>
      </w:r>
      <w:r w:rsidR="00B24732">
        <w:t>standard</w:t>
      </w:r>
      <w:r>
        <w:t xml:space="preserve"> tools for building workflows in SharePoint </w:t>
      </w:r>
      <w:r w:rsidR="00B24732">
        <w:t>include</w:t>
      </w:r>
      <w:r>
        <w:t xml:space="preserve"> the SharePoint designer workflow features or the Windows Workflow engine</w:t>
      </w:r>
      <w:r w:rsidR="00B24732">
        <w:t xml:space="preserve"> with visual studio</w:t>
      </w:r>
      <w:r>
        <w:t xml:space="preserve">. </w:t>
      </w:r>
      <w:r w:rsidR="00B24732">
        <w:t xml:space="preserve">The </w:t>
      </w:r>
      <w:r>
        <w:t xml:space="preserve">GWE </w:t>
      </w:r>
      <w:r w:rsidR="00B24732">
        <w:t xml:space="preserve">project </w:t>
      </w:r>
      <w:r>
        <w:t xml:space="preserve">is geared to serve as a simple solution for a large volume of common </w:t>
      </w:r>
      <w:proofErr w:type="spellStart"/>
      <w:r>
        <w:t>infopath</w:t>
      </w:r>
      <w:proofErr w:type="spellEnd"/>
      <w:r>
        <w:t xml:space="preserve"> forms/workflows with the following features:</w:t>
      </w:r>
    </w:p>
    <w:p w:rsidR="00C47A8D" w:rsidRDefault="00C47A8D" w:rsidP="00C47A8D">
      <w:pPr>
        <w:pStyle w:val="ListParagraph"/>
        <w:numPr>
          <w:ilvl w:val="0"/>
          <w:numId w:val="3"/>
        </w:numPr>
      </w:pPr>
      <w:r>
        <w:t xml:space="preserve">Work with any </w:t>
      </w:r>
      <w:proofErr w:type="spellStart"/>
      <w:r>
        <w:t>infopath</w:t>
      </w:r>
      <w:proofErr w:type="spellEnd"/>
      <w:r>
        <w:t xml:space="preserve"> form/form library</w:t>
      </w:r>
    </w:p>
    <w:p w:rsidR="00C47A8D" w:rsidRDefault="00C47A8D" w:rsidP="00C47A8D">
      <w:pPr>
        <w:pStyle w:val="ListParagraph"/>
        <w:numPr>
          <w:ilvl w:val="0"/>
          <w:numId w:val="3"/>
        </w:numPr>
      </w:pPr>
      <w:r>
        <w:t>Can be maintained by administrators without the need for any coding</w:t>
      </w:r>
    </w:p>
    <w:p w:rsidR="00C47A8D" w:rsidRDefault="00C47A8D" w:rsidP="00C47A8D">
      <w:pPr>
        <w:pStyle w:val="ListParagraph"/>
        <w:numPr>
          <w:ilvl w:val="0"/>
          <w:numId w:val="3"/>
        </w:numPr>
      </w:pPr>
      <w:bookmarkStart w:id="0" w:name="_GoBack"/>
      <w:bookmarkEnd w:id="0"/>
      <w:r>
        <w:t xml:space="preserve">Improved portability/reusability across multiple workflows and form libraries </w:t>
      </w:r>
    </w:p>
    <w:p w:rsidR="00C47A8D" w:rsidRDefault="00C47A8D" w:rsidP="00C47A8D">
      <w:pPr>
        <w:pStyle w:val="ListParagraph"/>
        <w:numPr>
          <w:ilvl w:val="0"/>
          <w:numId w:val="3"/>
        </w:numPr>
      </w:pPr>
      <w:r>
        <w:t>A stateless workflow engine which is easier to maintain/administer than the out-of-box workflow engine</w:t>
      </w:r>
    </w:p>
    <w:p w:rsidR="00C47A8D" w:rsidRDefault="00C47A8D" w:rsidP="00C47A8D">
      <w:pPr>
        <w:pStyle w:val="ListParagraph"/>
        <w:numPr>
          <w:ilvl w:val="0"/>
          <w:numId w:val="3"/>
        </w:numPr>
      </w:pPr>
      <w:r>
        <w:t>Capability to add plugins for performing custom actions above and beyond the capabilities of the core GWE</w:t>
      </w:r>
    </w:p>
    <w:p w:rsidR="00805853" w:rsidRDefault="00805853"/>
    <w:p w:rsidR="0089119F" w:rsidRDefault="00C47A8D" w:rsidP="0089119F">
      <w:pPr>
        <w:pStyle w:val="Heading2"/>
      </w:pPr>
      <w:r>
        <w:t xml:space="preserve">Formal </w:t>
      </w:r>
      <w:r w:rsidR="0089119F">
        <w:t>GWE Definition</w:t>
      </w:r>
    </w:p>
    <w:p w:rsidR="00805853" w:rsidRDefault="00805853">
      <w:r>
        <w:t xml:space="preserve">An </w:t>
      </w:r>
      <w:proofErr w:type="spellStart"/>
      <w:r>
        <w:t>infopath</w:t>
      </w:r>
      <w:proofErr w:type="spellEnd"/>
      <w:r>
        <w:t xml:space="preserve"> workflow </w:t>
      </w:r>
      <w:r w:rsidR="009667E6">
        <w:t xml:space="preserve">definition </w:t>
      </w:r>
      <w:r>
        <w:t xml:space="preserve">can </w:t>
      </w:r>
      <w:r w:rsidR="0067471C">
        <w:t xml:space="preserve">be </w:t>
      </w:r>
      <w:r w:rsidR="009667E6">
        <w:t>represented by</w:t>
      </w:r>
      <w:r>
        <w:t xml:space="preserve"> a simple state machine diagram and described as a series of states and trans</w:t>
      </w:r>
      <w:r w:rsidR="0067471C">
        <w:t xml:space="preserve">itions. </w:t>
      </w:r>
      <w:r w:rsidR="009667E6">
        <w:t>A</w:t>
      </w:r>
      <w:r w:rsidR="0067471C">
        <w:t xml:space="preserve"> state represents the status of a</w:t>
      </w:r>
      <w:r w:rsidR="009667E6">
        <w:t>ny</w:t>
      </w:r>
      <w:r w:rsidR="0067471C">
        <w:t xml:space="preserve"> form within the </w:t>
      </w:r>
      <w:r w:rsidR="009667E6">
        <w:t>library</w:t>
      </w:r>
      <w:r w:rsidR="0067471C">
        <w:t xml:space="preserve"> at any</w:t>
      </w:r>
      <w:r w:rsidR="009667E6">
        <w:t xml:space="preserve"> static point in time.</w:t>
      </w:r>
      <w:r w:rsidR="0067471C">
        <w:t xml:space="preserve"> </w:t>
      </w:r>
      <w:r w:rsidR="009667E6">
        <w:t>A</w:t>
      </w:r>
      <w:r w:rsidR="0067471C">
        <w:t xml:space="preserve"> transition represents the mechanical procedures that occur after the form is submitted by a user </w:t>
      </w:r>
      <w:r w:rsidR="009667E6">
        <w:t xml:space="preserve">and </w:t>
      </w:r>
      <w:r w:rsidR="0067471C">
        <w:t xml:space="preserve">before it reaches the next </w:t>
      </w:r>
      <w:r w:rsidR="00C726A3">
        <w:t xml:space="preserve">static </w:t>
      </w:r>
      <w:r w:rsidR="0067471C">
        <w:t>state. The following assumptions are made:</w:t>
      </w:r>
    </w:p>
    <w:p w:rsidR="0067471C" w:rsidRDefault="00C726A3" w:rsidP="0067471C">
      <w:pPr>
        <w:pStyle w:val="ListParagraph"/>
        <w:numPr>
          <w:ilvl w:val="0"/>
          <w:numId w:val="1"/>
        </w:numPr>
      </w:pPr>
      <w:r>
        <w:t>Forms can have</w:t>
      </w:r>
      <w:r w:rsidR="0067471C">
        <w:t xml:space="preserve"> unlimited number of states </w:t>
      </w:r>
      <w:r>
        <w:t>and a single initial state</w:t>
      </w:r>
    </w:p>
    <w:p w:rsidR="0067471C" w:rsidRDefault="0067471C" w:rsidP="0067471C">
      <w:pPr>
        <w:pStyle w:val="ListParagraph"/>
        <w:numPr>
          <w:ilvl w:val="0"/>
          <w:numId w:val="1"/>
        </w:numPr>
      </w:pPr>
      <w:r>
        <w:t xml:space="preserve">Between </w:t>
      </w:r>
      <w:r w:rsidR="00C726A3">
        <w:t>any given states A and B</w:t>
      </w:r>
      <w:r>
        <w:t xml:space="preserve"> </w:t>
      </w:r>
      <w:r w:rsidR="00C726A3">
        <w:t>inside a workflow definition a maximum of</w:t>
      </w:r>
      <w:r>
        <w:t xml:space="preserve"> TWO transitions </w:t>
      </w:r>
      <w:r w:rsidR="00C726A3">
        <w:t xml:space="preserve">should exist </w:t>
      </w:r>
      <w:r>
        <w:t>(a-&gt;b, b-&gt;a)</w:t>
      </w:r>
    </w:p>
    <w:p w:rsidR="0067471C" w:rsidRDefault="0067471C" w:rsidP="0067471C">
      <w:pPr>
        <w:pStyle w:val="ListParagraph"/>
        <w:numPr>
          <w:ilvl w:val="0"/>
          <w:numId w:val="1"/>
        </w:numPr>
      </w:pPr>
      <w:r>
        <w:t xml:space="preserve">The submitted form supplies the information on which transition </w:t>
      </w:r>
      <w:r w:rsidR="00C726A3">
        <w:t>to execute</w:t>
      </w:r>
    </w:p>
    <w:p w:rsidR="00B24732" w:rsidRDefault="009667E6" w:rsidP="009667E6">
      <w:pPr>
        <w:pStyle w:val="ListParagraph"/>
        <w:numPr>
          <w:ilvl w:val="0"/>
          <w:numId w:val="1"/>
        </w:numPr>
      </w:pPr>
      <w:r>
        <w:t>All forms within a given form library follow the same workflow, therefore a form library can only be associated with a single workflow definition.</w:t>
      </w:r>
    </w:p>
    <w:p w:rsidR="00805853" w:rsidRDefault="009667E6" w:rsidP="00B24732">
      <w:pPr>
        <w:pStyle w:val="ListParagraph"/>
      </w:pPr>
      <w:r>
        <w:object w:dxaOrig="5022" w:dyaOrig="4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219pt" o:ole="">
            <v:imagedata r:id="rId6" o:title=""/>
          </v:shape>
          <o:OLEObject Type="Embed" ProgID="Visio.Drawing.11" ShapeID="_x0000_i1025" DrawAspect="Content" ObjectID="_1439986464" r:id="rId7"/>
        </w:object>
      </w:r>
    </w:p>
    <w:p w:rsidR="00C348BF" w:rsidRDefault="00C348BF" w:rsidP="00C348BF">
      <w:r>
        <w:t>Transitions perform the following work:</w:t>
      </w:r>
    </w:p>
    <w:p w:rsidR="00C348BF" w:rsidRDefault="00C348BF" w:rsidP="00C348BF">
      <w:pPr>
        <w:pStyle w:val="ListParagraph"/>
        <w:numPr>
          <w:ilvl w:val="1"/>
          <w:numId w:val="1"/>
        </w:numPr>
      </w:pPr>
      <w:r>
        <w:t>Send template emails</w:t>
      </w:r>
    </w:p>
    <w:p w:rsidR="00C348BF" w:rsidRDefault="00C348BF" w:rsidP="00C348BF">
      <w:pPr>
        <w:pStyle w:val="ListParagraph"/>
        <w:numPr>
          <w:ilvl w:val="1"/>
          <w:numId w:val="1"/>
        </w:numPr>
      </w:pPr>
      <w:r>
        <w:lastRenderedPageBreak/>
        <w:t>Log workflow activity</w:t>
      </w:r>
    </w:p>
    <w:p w:rsidR="00C348BF" w:rsidRDefault="00C348BF" w:rsidP="00C348BF">
      <w:pPr>
        <w:pStyle w:val="ListParagraph"/>
        <w:numPr>
          <w:ilvl w:val="1"/>
          <w:numId w:val="1"/>
        </w:numPr>
      </w:pPr>
      <w:r>
        <w:t>Manipulate specific form fields</w:t>
      </w:r>
    </w:p>
    <w:p w:rsidR="00C726A3" w:rsidRDefault="00C726A3" w:rsidP="00C348BF">
      <w:pPr>
        <w:pStyle w:val="ListParagraph"/>
        <w:numPr>
          <w:ilvl w:val="1"/>
          <w:numId w:val="1"/>
        </w:numPr>
      </w:pPr>
      <w:r>
        <w:t>Adjust permissions of the form</w:t>
      </w:r>
    </w:p>
    <w:p w:rsidR="009667E6" w:rsidRDefault="00C348BF" w:rsidP="00B24732">
      <w:pPr>
        <w:pStyle w:val="ListParagraph"/>
        <w:numPr>
          <w:ilvl w:val="1"/>
          <w:numId w:val="1"/>
        </w:numPr>
      </w:pPr>
      <w:r>
        <w:t>Expose transition event hooks to external custom observer classes (allowing for extensibility)</w:t>
      </w:r>
    </w:p>
    <w:p w:rsidR="00265347" w:rsidRDefault="0089119F" w:rsidP="0089119F">
      <w:pPr>
        <w:pStyle w:val="Heading2"/>
      </w:pPr>
      <w:r>
        <w:t>GWE Mechanics</w:t>
      </w:r>
    </w:p>
    <w:p w:rsidR="00B24732" w:rsidRPr="00B24732" w:rsidRDefault="00B24732" w:rsidP="00B24732">
      <w:pPr>
        <w:rPr>
          <w:b/>
        </w:rPr>
      </w:pPr>
      <w:r>
        <w:rPr>
          <w:b/>
        </w:rPr>
        <w:t>Installation/</w:t>
      </w:r>
      <w:r w:rsidRPr="00B24732">
        <w:rPr>
          <w:b/>
        </w:rPr>
        <w:t>Deployment</w:t>
      </w:r>
    </w:p>
    <w:p w:rsidR="00B24732" w:rsidRDefault="00B24732" w:rsidP="00C726A3">
      <w:pPr>
        <w:pStyle w:val="ListParagraph"/>
        <w:numPr>
          <w:ilvl w:val="0"/>
          <w:numId w:val="2"/>
        </w:numPr>
      </w:pPr>
      <w:r>
        <w:t>Users design form template using InfoPath form designer.</w:t>
      </w:r>
    </w:p>
    <w:p w:rsidR="00C726A3" w:rsidRDefault="00C726A3" w:rsidP="00C726A3">
      <w:pPr>
        <w:pStyle w:val="ListParagraph"/>
        <w:numPr>
          <w:ilvl w:val="0"/>
          <w:numId w:val="2"/>
        </w:numPr>
      </w:pPr>
      <w:r>
        <w:t xml:space="preserve">Administrator creates form library and </w:t>
      </w:r>
      <w:r w:rsidR="00B24732">
        <w:t xml:space="preserve">deploys </w:t>
      </w:r>
      <w:r>
        <w:t>form template.</w:t>
      </w:r>
    </w:p>
    <w:p w:rsidR="00C726A3" w:rsidRDefault="00C726A3" w:rsidP="00C726A3">
      <w:pPr>
        <w:pStyle w:val="ListParagraph"/>
        <w:numPr>
          <w:ilvl w:val="0"/>
          <w:numId w:val="2"/>
        </w:numPr>
      </w:pPr>
      <w:r>
        <w:t>Administrator links GWE to the form library as an event receiver.</w:t>
      </w:r>
    </w:p>
    <w:p w:rsidR="00C726A3" w:rsidRDefault="00C726A3" w:rsidP="00C726A3">
      <w:pPr>
        <w:pStyle w:val="ListParagraph"/>
        <w:numPr>
          <w:ilvl w:val="0"/>
          <w:numId w:val="2"/>
        </w:numPr>
      </w:pPr>
      <w:r>
        <w:t>Administrator opens GWE configuration and defines all of the transitions within the workflow.</w:t>
      </w:r>
    </w:p>
    <w:p w:rsidR="00B24732" w:rsidRPr="00B24732" w:rsidRDefault="00B24732" w:rsidP="00B24732">
      <w:pPr>
        <w:rPr>
          <w:b/>
        </w:rPr>
      </w:pPr>
      <w:r w:rsidRPr="00B24732">
        <w:rPr>
          <w:b/>
        </w:rPr>
        <w:t>Standard usage</w:t>
      </w:r>
    </w:p>
    <w:p w:rsidR="00C726A3" w:rsidRDefault="00C726A3" w:rsidP="00B24732">
      <w:pPr>
        <w:pStyle w:val="ListParagraph"/>
        <w:numPr>
          <w:ilvl w:val="0"/>
          <w:numId w:val="4"/>
        </w:numPr>
      </w:pPr>
      <w:r>
        <w:t>User submits the form</w:t>
      </w:r>
      <w:r w:rsidR="00265347">
        <w:t xml:space="preserve"> (create/update)</w:t>
      </w:r>
    </w:p>
    <w:p w:rsidR="00C726A3" w:rsidRDefault="00265347" w:rsidP="00B24732">
      <w:pPr>
        <w:pStyle w:val="ListParagraph"/>
        <w:numPr>
          <w:ilvl w:val="1"/>
          <w:numId w:val="4"/>
        </w:numPr>
        <w:rPr>
          <w:i/>
        </w:rPr>
      </w:pPr>
      <w:r w:rsidRPr="00265347">
        <w:rPr>
          <w:i/>
        </w:rPr>
        <w:t xml:space="preserve">Note: </w:t>
      </w:r>
      <w:r w:rsidR="00C726A3" w:rsidRPr="00265347">
        <w:rPr>
          <w:i/>
        </w:rPr>
        <w:t>User has the ability to save the form without actually triggering any workflow transition.</w:t>
      </w:r>
    </w:p>
    <w:p w:rsidR="00265347" w:rsidRPr="00265347" w:rsidRDefault="00265347" w:rsidP="00B24732">
      <w:pPr>
        <w:pStyle w:val="ListParagraph"/>
        <w:numPr>
          <w:ilvl w:val="1"/>
          <w:numId w:val="4"/>
        </w:numPr>
        <w:rPr>
          <w:i/>
        </w:rPr>
      </w:pPr>
      <w:r>
        <w:t>The form contains a field dictating which transition to perform</w:t>
      </w:r>
    </w:p>
    <w:p w:rsidR="00C726A3" w:rsidRDefault="00265347" w:rsidP="00B24732">
      <w:pPr>
        <w:pStyle w:val="ListParagraph"/>
        <w:numPr>
          <w:ilvl w:val="0"/>
          <w:numId w:val="4"/>
        </w:numPr>
      </w:pPr>
      <w:r>
        <w:t>Form is added/updated within the library</w:t>
      </w:r>
    </w:p>
    <w:p w:rsidR="00265347" w:rsidRDefault="00265347" w:rsidP="00B24732">
      <w:pPr>
        <w:pStyle w:val="ListParagraph"/>
        <w:numPr>
          <w:ilvl w:val="0"/>
          <w:numId w:val="4"/>
        </w:numPr>
      </w:pPr>
      <w:r>
        <w:t>GWE workflow engine is asynchronously triggered after the addition/update is completed by SharePoint</w:t>
      </w:r>
    </w:p>
    <w:p w:rsidR="00265347" w:rsidRDefault="00265347" w:rsidP="00B24732">
      <w:pPr>
        <w:pStyle w:val="ListParagraph"/>
        <w:numPr>
          <w:ilvl w:val="1"/>
          <w:numId w:val="4"/>
        </w:numPr>
      </w:pPr>
      <w:r>
        <w:t>GWE observes the form to find out which transition should be performed</w:t>
      </w:r>
    </w:p>
    <w:p w:rsidR="00265347" w:rsidRDefault="00265347" w:rsidP="00B24732">
      <w:pPr>
        <w:pStyle w:val="ListParagraph"/>
        <w:numPr>
          <w:ilvl w:val="1"/>
          <w:numId w:val="4"/>
        </w:numPr>
      </w:pPr>
      <w:r>
        <w:t>GWE reads the workflow configuration associated with the library and gathers what to do for the given transition</w:t>
      </w:r>
    </w:p>
    <w:p w:rsidR="00265347" w:rsidRDefault="00265347" w:rsidP="00B24732">
      <w:pPr>
        <w:pStyle w:val="ListParagraph"/>
        <w:numPr>
          <w:ilvl w:val="1"/>
          <w:numId w:val="4"/>
        </w:numPr>
      </w:pPr>
      <w:r>
        <w:t>GWE performs the work</w:t>
      </w:r>
    </w:p>
    <w:p w:rsidR="00265347" w:rsidRDefault="00265347" w:rsidP="00B24732">
      <w:pPr>
        <w:pStyle w:val="ListParagraph"/>
        <w:numPr>
          <w:ilvl w:val="2"/>
          <w:numId w:val="4"/>
        </w:numPr>
      </w:pPr>
      <w:r>
        <w:t>Form fields are updated</w:t>
      </w:r>
    </w:p>
    <w:p w:rsidR="00265347" w:rsidRDefault="00265347" w:rsidP="00B24732">
      <w:pPr>
        <w:pStyle w:val="ListParagraph"/>
        <w:numPr>
          <w:ilvl w:val="2"/>
          <w:numId w:val="4"/>
        </w:numPr>
      </w:pPr>
      <w:r>
        <w:t>Activity logged</w:t>
      </w:r>
    </w:p>
    <w:p w:rsidR="00265347" w:rsidRDefault="00265347" w:rsidP="00B24732">
      <w:pPr>
        <w:pStyle w:val="ListParagraph"/>
        <w:numPr>
          <w:ilvl w:val="2"/>
          <w:numId w:val="4"/>
        </w:numPr>
      </w:pPr>
      <w:r>
        <w:t>Emails sent</w:t>
      </w:r>
    </w:p>
    <w:p w:rsidR="00265347" w:rsidRDefault="00265347" w:rsidP="00B24732">
      <w:pPr>
        <w:pStyle w:val="ListParagraph"/>
        <w:numPr>
          <w:ilvl w:val="2"/>
          <w:numId w:val="4"/>
        </w:numPr>
      </w:pPr>
      <w:r>
        <w:t>Permissions updated</w:t>
      </w:r>
    </w:p>
    <w:p w:rsidR="00265347" w:rsidRDefault="002A3619" w:rsidP="00B24732">
      <w:pPr>
        <w:pStyle w:val="ListParagraph"/>
        <w:numPr>
          <w:ilvl w:val="2"/>
          <w:numId w:val="4"/>
        </w:numPr>
      </w:pPr>
      <w:r>
        <w:t>Execute any custom hooks</w:t>
      </w:r>
    </w:p>
    <w:p w:rsidR="00265347" w:rsidRDefault="00265347" w:rsidP="00B24732">
      <w:pPr>
        <w:pStyle w:val="ListParagraph"/>
        <w:numPr>
          <w:ilvl w:val="0"/>
          <w:numId w:val="4"/>
        </w:numPr>
      </w:pPr>
      <w:r>
        <w:t>Transition complete, form resides in static state until next s</w:t>
      </w:r>
      <w:r w:rsidR="00B24732">
        <w:t>ubmission (return to step 1</w:t>
      </w:r>
      <w:r>
        <w:t>)</w:t>
      </w:r>
    </w:p>
    <w:p w:rsidR="00C348BF" w:rsidRDefault="00B97953">
      <w:r>
        <w:object w:dxaOrig="10439" w:dyaOrig="4805">
          <v:shape id="_x0000_i1026" type="#_x0000_t75" style="width:522pt;height:240pt" o:ole="">
            <v:imagedata r:id="rId8" o:title=""/>
          </v:shape>
          <o:OLEObject Type="Embed" ProgID="Visio.Drawing.11" ShapeID="_x0000_i1026" DrawAspect="Content" ObjectID="_1439986465" r:id="rId9"/>
        </w:object>
      </w:r>
    </w:p>
    <w:p w:rsidR="00990959" w:rsidRDefault="00990959" w:rsidP="0089119F">
      <w:pPr>
        <w:pStyle w:val="Heading2"/>
      </w:pPr>
      <w:r>
        <w:lastRenderedPageBreak/>
        <w:t>Workflow configuration template syntax</w:t>
      </w:r>
    </w:p>
    <w:p w:rsidR="00990959" w:rsidRDefault="00B24732">
      <w:r>
        <w:t>Quite often t</w:t>
      </w:r>
      <w:r w:rsidR="00990959">
        <w:t xml:space="preserve">here are fields inside of the form that </w:t>
      </w:r>
      <w:r>
        <w:t>need to appear in</w:t>
      </w:r>
      <w:r w:rsidR="00990959">
        <w:t xml:space="preserve"> the content of emails, logs and permission sets. We use </w:t>
      </w:r>
      <w:proofErr w:type="gramStart"/>
      <w:r w:rsidR="00990959">
        <w:t>a simple</w:t>
      </w:r>
      <w:proofErr w:type="gramEnd"/>
      <w:r w:rsidR="00990959">
        <w:t xml:space="preserve"> </w:t>
      </w:r>
      <w:proofErr w:type="spellStart"/>
      <w:r w:rsidR="00990959">
        <w:t>templating</w:t>
      </w:r>
      <w:proofErr w:type="spellEnd"/>
      <w:r w:rsidR="00990959">
        <w:t xml:space="preserve"> syntax to provide this ability throughout the workflow.</w:t>
      </w:r>
      <w:r w:rsidR="00990959" w:rsidRPr="00990959">
        <w:t xml:space="preserve"> </w:t>
      </w:r>
      <w:r w:rsidR="00990959">
        <w:t>Each transition configuration contains text with variables that can be replaced with form fields during executio</w:t>
      </w:r>
      <w:r>
        <w:t>n. For example,</w:t>
      </w:r>
      <w:r w:rsidR="00990959">
        <w:t xml:space="preserve"> we could send an email containing the following message:</w:t>
      </w:r>
    </w:p>
    <w:p w:rsidR="00990959" w:rsidRPr="00990959" w:rsidRDefault="00990959">
      <w:pPr>
        <w:rPr>
          <w:i/>
        </w:rPr>
      </w:pPr>
      <w:r w:rsidRPr="00990959">
        <w:rPr>
          <w:i/>
        </w:rPr>
        <w:t xml:space="preserve">Hello </w:t>
      </w:r>
      <w:r w:rsidRPr="00990959">
        <w:rPr>
          <w:b/>
          <w:i/>
        </w:rPr>
        <w:t>${[</w:t>
      </w:r>
      <w:proofErr w:type="spellStart"/>
      <w:r w:rsidRPr="00990959">
        <w:rPr>
          <w:b/>
          <w:i/>
        </w:rPr>
        <w:t>my</w:t>
      </w:r>
      <w:proofErr w:type="gramStart"/>
      <w:r w:rsidRPr="00990959">
        <w:rPr>
          <w:b/>
          <w:i/>
        </w:rPr>
        <w:t>:fields</w:t>
      </w:r>
      <w:proofErr w:type="spellEnd"/>
      <w:proofErr w:type="gramEnd"/>
      <w:r w:rsidRPr="00990959">
        <w:rPr>
          <w:b/>
          <w:i/>
        </w:rPr>
        <w:t>/</w:t>
      </w:r>
      <w:proofErr w:type="spellStart"/>
      <w:r w:rsidRPr="00990959">
        <w:rPr>
          <w:b/>
          <w:i/>
        </w:rPr>
        <w:t>my:approverName</w:t>
      </w:r>
      <w:proofErr w:type="spellEnd"/>
      <w:r w:rsidRPr="00990959">
        <w:rPr>
          <w:b/>
          <w:i/>
        </w:rPr>
        <w:t>]}</w:t>
      </w:r>
      <w:r w:rsidRPr="00990959">
        <w:rPr>
          <w:i/>
        </w:rPr>
        <w:t xml:space="preserve"> would you please approve this form?</w:t>
      </w:r>
    </w:p>
    <w:p w:rsidR="00990959" w:rsidRDefault="00990959">
      <w:r>
        <w:t>In this case, if the form contained an “</w:t>
      </w:r>
      <w:proofErr w:type="spellStart"/>
      <w:r>
        <w:t>approverName</w:t>
      </w:r>
      <w:proofErr w:type="spellEnd"/>
      <w:r>
        <w:t>” field</w:t>
      </w:r>
      <w:r w:rsidR="00B24732">
        <w:t xml:space="preserve"> matching the </w:t>
      </w:r>
      <w:proofErr w:type="spellStart"/>
      <w:r w:rsidR="00B24732">
        <w:t>xpath</w:t>
      </w:r>
      <w:proofErr w:type="spellEnd"/>
      <w:r w:rsidR="00B24732">
        <w:t xml:space="preserve"> above</w:t>
      </w:r>
      <w:r>
        <w:t xml:space="preserve">, the </w:t>
      </w:r>
      <w:r w:rsidR="00B24732">
        <w:t xml:space="preserve">form’s value </w:t>
      </w:r>
      <w:r>
        <w:t xml:space="preserve">would be filled in to the email before sending. This </w:t>
      </w:r>
      <w:proofErr w:type="spellStart"/>
      <w:r>
        <w:t>templating</w:t>
      </w:r>
      <w:proofErr w:type="spellEnd"/>
      <w:r>
        <w:t xml:space="preserve"> syntax is used </w:t>
      </w:r>
      <w:r w:rsidR="00B24732">
        <w:t>throughout the entire workflow configuration</w:t>
      </w:r>
      <w:r>
        <w:t>.</w:t>
      </w:r>
    </w:p>
    <w:p w:rsidR="00265347" w:rsidRDefault="00B24732" w:rsidP="00B24732">
      <w:pPr>
        <w:pStyle w:val="Heading2"/>
      </w:pPr>
      <w:r>
        <w:t>Workflow Configuration Data Structure</w:t>
      </w:r>
    </w:p>
    <w:p w:rsidR="001C29C6" w:rsidRPr="001C29C6" w:rsidRDefault="001C29C6" w:rsidP="000E226E">
      <w:pPr>
        <w:pStyle w:val="ListParagraph"/>
        <w:numPr>
          <w:ilvl w:val="0"/>
          <w:numId w:val="1"/>
        </w:numPr>
      </w:pPr>
      <w:r>
        <w:rPr>
          <w:b/>
        </w:rPr>
        <w:t>From</w:t>
      </w:r>
      <w:r w:rsidRPr="001C29C6">
        <w:rPr>
          <w:b/>
        </w:rPr>
        <w:t xml:space="preserve"> Email address (string)</w:t>
      </w:r>
      <w:r>
        <w:t xml:space="preserve"> – A valid email address to use when distributing emails from the workflow. If this is blank, the default SharePoint SMTP server configuration from address will be used. If it is invalid, an error will be logged and the workflow will not run.</w:t>
      </w:r>
    </w:p>
    <w:p w:rsidR="000E226E" w:rsidRDefault="000E226E" w:rsidP="000E226E">
      <w:pPr>
        <w:pStyle w:val="ListParagraph"/>
        <w:numPr>
          <w:ilvl w:val="0"/>
          <w:numId w:val="1"/>
        </w:numPr>
      </w:pPr>
      <w:r w:rsidRPr="000E226E">
        <w:rPr>
          <w:b/>
        </w:rPr>
        <w:t>Transitions</w:t>
      </w:r>
      <w:r>
        <w:t xml:space="preserve"> (collection of transitions</w:t>
      </w:r>
      <w:r w:rsidR="001C29C6">
        <w:t>… below is the definition of a transition</w:t>
      </w:r>
      <w:r>
        <w:t>)</w:t>
      </w:r>
    </w:p>
    <w:p w:rsidR="001C29C6" w:rsidRDefault="001C29C6" w:rsidP="001C29C6">
      <w:pPr>
        <w:pStyle w:val="ListParagraph"/>
        <w:numPr>
          <w:ilvl w:val="1"/>
          <w:numId w:val="1"/>
        </w:numPr>
      </w:pPr>
      <w:r>
        <w:rPr>
          <w:b/>
        </w:rPr>
        <w:t>Transition</w:t>
      </w:r>
    </w:p>
    <w:p w:rsidR="000E226E" w:rsidRDefault="000E226E" w:rsidP="001C29C6">
      <w:pPr>
        <w:pStyle w:val="ListParagraph"/>
        <w:numPr>
          <w:ilvl w:val="2"/>
          <w:numId w:val="1"/>
        </w:numPr>
      </w:pPr>
      <w:proofErr w:type="spellStart"/>
      <w:r w:rsidRPr="000E226E">
        <w:rPr>
          <w:b/>
        </w:rPr>
        <w:t>TransitionEmailTemplate</w:t>
      </w:r>
      <w:proofErr w:type="spellEnd"/>
      <w:r>
        <w:t xml:space="preserve"> (string</w:t>
      </w:r>
      <w:proofErr w:type="gramStart"/>
      <w:r>
        <w:t>)–</w:t>
      </w:r>
      <w:proofErr w:type="gramEnd"/>
      <w:r>
        <w:t xml:space="preserve"> For the given transition, an email template dictates the email to send, including the subject and recipients. An email template contains mandatory &lt;</w:t>
      </w:r>
      <w:proofErr w:type="spellStart"/>
      <w:r>
        <w:t>To</w:t>
      </w:r>
      <w:proofErr w:type="spellEnd"/>
      <w:r>
        <w:t>&gt;&lt;/</w:t>
      </w:r>
      <w:proofErr w:type="gramStart"/>
      <w:r>
        <w:t>To</w:t>
      </w:r>
      <w:proofErr w:type="gramEnd"/>
      <w:r>
        <w:t>&gt;&lt;Cc&gt;&lt;/Cc&gt; and &lt;Subject&gt;&lt;/Subject&gt;</w:t>
      </w:r>
      <w:r w:rsidR="00990959">
        <w:t>&lt;Body&gt;&lt;/Body&gt;</w:t>
      </w:r>
      <w:r>
        <w:t xml:space="preserve"> sections which allow </w:t>
      </w:r>
      <w:r w:rsidR="00990959">
        <w:t>f</w:t>
      </w:r>
      <w:r>
        <w:t xml:space="preserve">or </w:t>
      </w:r>
      <w:r w:rsidR="00990959">
        <w:t xml:space="preserve">HTML formatted emails with </w:t>
      </w:r>
      <w:r>
        <w:t>variable replacement</w:t>
      </w:r>
      <w:r w:rsidR="00990959">
        <w:t xml:space="preserve"> (see </w:t>
      </w:r>
      <w:proofErr w:type="spellStart"/>
      <w:r w:rsidR="00990959">
        <w:t>templating</w:t>
      </w:r>
      <w:proofErr w:type="spellEnd"/>
      <w:r w:rsidR="00990959">
        <w:t xml:space="preserve"> syntax section)</w:t>
      </w:r>
      <w:r>
        <w:t xml:space="preserve">. </w:t>
      </w:r>
      <w:r w:rsidR="00990959">
        <w:t>E</w:t>
      </w:r>
      <w:r>
        <w:t>mail addresses are expected in a comma-delimited format.</w:t>
      </w:r>
    </w:p>
    <w:p w:rsidR="000E226E" w:rsidRDefault="000E226E" w:rsidP="001C29C6">
      <w:pPr>
        <w:pStyle w:val="ListParagraph"/>
        <w:numPr>
          <w:ilvl w:val="2"/>
          <w:numId w:val="1"/>
        </w:numPr>
      </w:pPr>
      <w:proofErr w:type="spellStart"/>
      <w:r>
        <w:rPr>
          <w:b/>
        </w:rPr>
        <w:t>LogMessage</w:t>
      </w:r>
      <w:proofErr w:type="spellEnd"/>
      <w:r>
        <w:rPr>
          <w:b/>
        </w:rPr>
        <w:t xml:space="preserve"> (string) </w:t>
      </w:r>
      <w:r w:rsidRPr="000E226E">
        <w:t xml:space="preserve">– </w:t>
      </w:r>
      <w:r w:rsidR="005A5A89">
        <w:t xml:space="preserve">For the given transition, a record can be logged to an activity history list. </w:t>
      </w:r>
    </w:p>
    <w:p w:rsidR="005A5A89" w:rsidRDefault="005A5A89" w:rsidP="001C29C6">
      <w:pPr>
        <w:pStyle w:val="ListParagraph"/>
        <w:numPr>
          <w:ilvl w:val="2"/>
          <w:numId w:val="1"/>
        </w:numPr>
      </w:pPr>
      <w:proofErr w:type="spellStart"/>
      <w:r>
        <w:rPr>
          <w:b/>
        </w:rPr>
        <w:t>PermissionSet</w:t>
      </w:r>
      <w:proofErr w:type="spellEnd"/>
      <w:r>
        <w:rPr>
          <w:b/>
        </w:rPr>
        <w:t xml:space="preserve"> (string) </w:t>
      </w:r>
      <w:r>
        <w:t xml:space="preserve">– For the given transition, custom list-item level permissions can be </w:t>
      </w:r>
      <w:r w:rsidR="001C29C6">
        <w:t>provisioned</w:t>
      </w:r>
      <w:r>
        <w:t xml:space="preserve"> to the next state of the form. </w:t>
      </w:r>
      <w:r w:rsidR="001C29C6">
        <w:t>The permission set is defined in comma-delimited key/value pairs of the following format</w:t>
      </w:r>
      <w:r>
        <w:t>:</w:t>
      </w:r>
      <w:r w:rsidR="001C29C6">
        <w:t xml:space="preserve"> </w:t>
      </w:r>
      <w:r w:rsidR="001C29C6" w:rsidRPr="001C29C6">
        <w:rPr>
          <w:b/>
        </w:rPr>
        <w:t>&lt;Principal&gt;:&lt;Permission&gt;</w:t>
      </w:r>
    </w:p>
    <w:p w:rsidR="001C29C6" w:rsidRDefault="001C29C6" w:rsidP="001C29C6">
      <w:pPr>
        <w:pStyle w:val="ListParagraph"/>
        <w:numPr>
          <w:ilvl w:val="3"/>
          <w:numId w:val="1"/>
        </w:numPr>
      </w:pPr>
      <w:r>
        <w:rPr>
          <w:b/>
        </w:rPr>
        <w:t xml:space="preserve">Principal – </w:t>
      </w:r>
      <w:r>
        <w:t>The name of a user in the domain\username format OR a SharePoint group.</w:t>
      </w:r>
    </w:p>
    <w:p w:rsidR="001C29C6" w:rsidRDefault="001C29C6" w:rsidP="001C29C6">
      <w:pPr>
        <w:pStyle w:val="ListParagraph"/>
        <w:numPr>
          <w:ilvl w:val="3"/>
          <w:numId w:val="1"/>
        </w:numPr>
      </w:pPr>
      <w:r w:rsidRPr="001C29C6">
        <w:rPr>
          <w:b/>
        </w:rPr>
        <w:t>Permission</w:t>
      </w:r>
      <w:r>
        <w:t xml:space="preserve"> – SharePoint has a fixed set of permission settings for any object. The following codes apply:</w:t>
      </w:r>
    </w:p>
    <w:p w:rsidR="001C29C6" w:rsidRDefault="001C29C6" w:rsidP="001C29C6">
      <w:pPr>
        <w:pStyle w:val="ListParagraph"/>
        <w:numPr>
          <w:ilvl w:val="4"/>
          <w:numId w:val="1"/>
        </w:numPr>
      </w:pPr>
      <w:r>
        <w:t>R - Read Only</w:t>
      </w:r>
    </w:p>
    <w:p w:rsidR="001C29C6" w:rsidRDefault="001C29C6" w:rsidP="001C29C6">
      <w:pPr>
        <w:pStyle w:val="ListParagraph"/>
        <w:numPr>
          <w:ilvl w:val="4"/>
          <w:numId w:val="1"/>
        </w:numPr>
      </w:pPr>
      <w:r>
        <w:t>RW -  Contribute</w:t>
      </w:r>
    </w:p>
    <w:p w:rsidR="001C29C6" w:rsidRDefault="001C29C6" w:rsidP="001C29C6">
      <w:pPr>
        <w:pStyle w:val="ListParagraph"/>
        <w:numPr>
          <w:ilvl w:val="4"/>
          <w:numId w:val="1"/>
        </w:numPr>
      </w:pPr>
      <w:r>
        <w:t>A – Full control</w:t>
      </w:r>
    </w:p>
    <w:p w:rsidR="001C29C6" w:rsidRDefault="001C29C6" w:rsidP="001C29C6">
      <w:pPr>
        <w:pStyle w:val="ListParagraph"/>
        <w:numPr>
          <w:ilvl w:val="3"/>
          <w:numId w:val="1"/>
        </w:numPr>
      </w:pPr>
      <w:r>
        <w:t>Form variable substitution is allowed, but it is important the form fields accurately represent a SharePoint group or a domain user. You can also use variable substitution to represent multiple permission sets.</w:t>
      </w:r>
    </w:p>
    <w:p w:rsidR="001C29C6" w:rsidRDefault="001C29C6" w:rsidP="001C29C6">
      <w:pPr>
        <w:pStyle w:val="ListParagraph"/>
        <w:numPr>
          <w:ilvl w:val="3"/>
          <w:numId w:val="1"/>
        </w:numPr>
      </w:pPr>
      <w:r>
        <w:t>It is assumed anyone not stated within the permission set will have NO access</w:t>
      </w:r>
    </w:p>
    <w:p w:rsidR="00990959" w:rsidRDefault="00990959" w:rsidP="00990959">
      <w:pPr>
        <w:pStyle w:val="ListParagraph"/>
        <w:numPr>
          <w:ilvl w:val="2"/>
          <w:numId w:val="1"/>
        </w:numPr>
      </w:pPr>
      <w:proofErr w:type="spellStart"/>
      <w:r w:rsidRPr="0089119F">
        <w:rPr>
          <w:b/>
        </w:rPr>
        <w:t>FormFields</w:t>
      </w:r>
      <w:proofErr w:type="spellEnd"/>
      <w:r>
        <w:t xml:space="preserve"> (collection of </w:t>
      </w:r>
      <w:proofErr w:type="spellStart"/>
      <w:r>
        <w:t>FormField</w:t>
      </w:r>
      <w:r w:rsidR="0089119F">
        <w:t>s</w:t>
      </w:r>
      <w:proofErr w:type="spellEnd"/>
      <w:r w:rsidR="0089119F">
        <w:t xml:space="preserve">… below is the definition of a </w:t>
      </w:r>
      <w:proofErr w:type="spellStart"/>
      <w:r w:rsidR="0089119F">
        <w:t>FormField</w:t>
      </w:r>
      <w:proofErr w:type="spellEnd"/>
      <w:r w:rsidR="0089119F">
        <w:t>)</w:t>
      </w:r>
    </w:p>
    <w:p w:rsidR="0089119F" w:rsidRPr="0089119F" w:rsidRDefault="0089119F" w:rsidP="0089119F">
      <w:pPr>
        <w:pStyle w:val="ListParagraph"/>
        <w:numPr>
          <w:ilvl w:val="3"/>
          <w:numId w:val="1"/>
        </w:numPr>
        <w:rPr>
          <w:b/>
        </w:rPr>
      </w:pPr>
      <w:proofErr w:type="spellStart"/>
      <w:r w:rsidRPr="0089119F">
        <w:rPr>
          <w:b/>
        </w:rPr>
        <w:t>FormField</w:t>
      </w:r>
      <w:proofErr w:type="spellEnd"/>
    </w:p>
    <w:p w:rsidR="0089119F" w:rsidRDefault="0089119F" w:rsidP="0089119F">
      <w:pPr>
        <w:pStyle w:val="ListParagraph"/>
        <w:numPr>
          <w:ilvl w:val="4"/>
          <w:numId w:val="1"/>
        </w:numPr>
      </w:pPr>
      <w:proofErr w:type="spellStart"/>
      <w:r w:rsidRPr="0089119F">
        <w:rPr>
          <w:b/>
        </w:rPr>
        <w:t>XPath</w:t>
      </w:r>
      <w:proofErr w:type="spellEnd"/>
      <w:r>
        <w:t xml:space="preserve"> – The Xml path to the form field that needs to be set</w:t>
      </w:r>
    </w:p>
    <w:p w:rsidR="0089119F" w:rsidRDefault="0089119F" w:rsidP="0089119F">
      <w:pPr>
        <w:pStyle w:val="ListParagraph"/>
        <w:numPr>
          <w:ilvl w:val="4"/>
          <w:numId w:val="1"/>
        </w:numPr>
      </w:pPr>
      <w:r w:rsidRPr="0089119F">
        <w:rPr>
          <w:b/>
        </w:rPr>
        <w:t>Value</w:t>
      </w:r>
      <w:r>
        <w:t xml:space="preserve"> – The value to change the field into at the given transition </w:t>
      </w:r>
    </w:p>
    <w:p w:rsidR="0089119F" w:rsidRDefault="0089119F" w:rsidP="0089119F">
      <w:pPr>
        <w:ind w:left="2880"/>
      </w:pPr>
      <w:r>
        <w:t xml:space="preserve">Example: Transition 1: </w:t>
      </w:r>
      <w:proofErr w:type="spellStart"/>
      <w:r>
        <w:t>XPath</w:t>
      </w:r>
      <w:proofErr w:type="spellEnd"/>
      <w:r>
        <w:t>=</w:t>
      </w:r>
      <w:proofErr w:type="spellStart"/>
      <w:r>
        <w:t>my</w:t>
      </w:r>
      <w:proofErr w:type="gramStart"/>
      <w:r>
        <w:t>:Fields</w:t>
      </w:r>
      <w:proofErr w:type="spellEnd"/>
      <w:proofErr w:type="gramEnd"/>
      <w:r>
        <w:t>/</w:t>
      </w:r>
      <w:proofErr w:type="spellStart"/>
      <w:r>
        <w:t>my:approverName</w:t>
      </w:r>
      <w:proofErr w:type="spellEnd"/>
      <w:r>
        <w:t>, Value=”Dan” results in the “</w:t>
      </w:r>
      <w:proofErr w:type="spellStart"/>
      <w:r>
        <w:t>approverName</w:t>
      </w:r>
      <w:proofErr w:type="spellEnd"/>
      <w:r>
        <w:t>” field set to “Dan” when the form is submitted and Transition1 is executed.</w:t>
      </w:r>
    </w:p>
    <w:p w:rsidR="0089119F" w:rsidRDefault="0089119F" w:rsidP="0089119F">
      <w:pPr>
        <w:pStyle w:val="ListParagraph"/>
        <w:numPr>
          <w:ilvl w:val="2"/>
          <w:numId w:val="1"/>
        </w:numPr>
      </w:pPr>
      <w:proofErr w:type="spellStart"/>
      <w:r w:rsidRPr="0089119F">
        <w:rPr>
          <w:b/>
        </w:rPr>
        <w:t>CustomHook</w:t>
      </w:r>
      <w:proofErr w:type="spellEnd"/>
      <w:r>
        <w:t xml:space="preserve"> (string) –For the given transition, a fully-qualified assembly and class name that is accessible within the GAC. This class implements a simple interface that accepts a list item and </w:t>
      </w:r>
      <w:r>
        <w:lastRenderedPageBreak/>
        <w:t>performs any custom code beyond the capabilities of the GWE. Custom hooks can be thought of as plugins to the GWE. Custom hooks are called before the GWE executes workflow actions.</w:t>
      </w:r>
    </w:p>
    <w:p w:rsidR="000E226E" w:rsidRDefault="00B24732" w:rsidP="0089119F">
      <w:pPr>
        <w:pStyle w:val="Heading2"/>
      </w:pPr>
      <w:r>
        <w:t>Workflow</w:t>
      </w:r>
      <w:r w:rsidR="0089119F">
        <w:t xml:space="preserve"> Configuration UI</w:t>
      </w:r>
    </w:p>
    <w:p w:rsidR="0089119F" w:rsidRDefault="000D47E1" w:rsidP="0089119F">
      <w:r>
        <w:t>As stated earlier, the GWE comes in the form of an event receiver that must be attached to a form library. The GWE settings reside within the properties of the library. By default, a GWE has zero transitions and does nothing until configured. The GWE configuration is performed on a custom ASPX page that can only be reached by administrators under the form settings context menu.</w:t>
      </w:r>
    </w:p>
    <w:p w:rsidR="000E226E" w:rsidRDefault="000E226E">
      <w:r>
        <w:rPr>
          <w:noProof/>
        </w:rPr>
        <w:lastRenderedPageBreak/>
        <w:drawing>
          <wp:inline distT="0" distB="0" distL="0" distR="0">
            <wp:extent cx="6858000" cy="9155499"/>
            <wp:effectExtent l="0" t="0" r="0" b="7620"/>
            <wp:docPr id="2" name="Picture 2" descr="C:\Projects\Ltcp\trunk\Ltcp.Gwe\Docs\Gwe.WorkflowSettingsPag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jects\Ltcp\trunk\Ltcp.Gwe\Docs\Gwe.WorkflowSettingsPage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9155499"/>
                    </a:xfrm>
                    <a:prstGeom prst="rect">
                      <a:avLst/>
                    </a:prstGeom>
                    <a:noFill/>
                    <a:ln>
                      <a:noFill/>
                    </a:ln>
                  </pic:spPr>
                </pic:pic>
              </a:graphicData>
            </a:graphic>
          </wp:inline>
        </w:drawing>
      </w:r>
    </w:p>
    <w:p w:rsidR="007A0ABC" w:rsidRDefault="007A0ABC"/>
    <w:p w:rsidR="007A0ABC" w:rsidRDefault="007A0ABC" w:rsidP="007A0ABC">
      <w:pPr>
        <w:pStyle w:val="Heading2"/>
      </w:pPr>
      <w:r>
        <w:t>Time-triggered events</w:t>
      </w:r>
    </w:p>
    <w:p w:rsidR="007A0ABC" w:rsidRPr="007A0ABC" w:rsidRDefault="007A0ABC" w:rsidP="007A0ABC">
      <w:pPr>
        <w:spacing w:after="0" w:line="270" w:lineRule="atLeast"/>
        <w:rPr>
          <w:rFonts w:ascii="Arial" w:eastAsia="Times New Roman" w:hAnsi="Arial" w:cs="Arial"/>
          <w:color w:val="0C1725"/>
          <w:sz w:val="18"/>
          <w:szCs w:val="18"/>
          <w:shd w:val="clear" w:color="auto" w:fill="FFFFFF"/>
        </w:rPr>
      </w:pPr>
      <w:r w:rsidRPr="007A0ABC">
        <w:rPr>
          <w:rFonts w:ascii="Arial" w:eastAsia="Times New Roman" w:hAnsi="Arial" w:cs="Arial"/>
          <w:color w:val="0C1725"/>
          <w:sz w:val="18"/>
          <w:szCs w:val="18"/>
          <w:shd w:val="clear" w:color="auto" w:fill="FFFFFF"/>
        </w:rPr>
        <w:t>Requirements:</w:t>
      </w:r>
      <w:r w:rsidRPr="007A0ABC">
        <w:rPr>
          <w:rFonts w:ascii="Arial" w:eastAsia="Times New Roman" w:hAnsi="Arial" w:cs="Arial"/>
          <w:color w:val="0C1725"/>
          <w:sz w:val="18"/>
          <w:szCs w:val="18"/>
          <w:shd w:val="clear" w:color="auto" w:fill="FFFFFF"/>
        </w:rPr>
        <w:br/>
        <w:t>• A GWE workflow can have multiple time-triggered events</w:t>
      </w:r>
      <w:r w:rsidRPr="007A0ABC">
        <w:rPr>
          <w:rFonts w:ascii="Arial" w:eastAsia="Times New Roman" w:hAnsi="Arial" w:cs="Arial"/>
          <w:color w:val="0C1725"/>
          <w:sz w:val="18"/>
          <w:szCs w:val="18"/>
          <w:shd w:val="clear" w:color="auto" w:fill="FFFFFF"/>
        </w:rPr>
        <w:br/>
        <w:t>• For each event, the user defines a date field hidden inside the form that tells GWE when to execute the transition</w:t>
      </w:r>
      <w:r w:rsidRPr="007A0ABC">
        <w:rPr>
          <w:rFonts w:ascii="Arial" w:eastAsia="Times New Roman" w:hAnsi="Arial" w:cs="Arial"/>
          <w:color w:val="0C1725"/>
          <w:sz w:val="18"/>
          <w:szCs w:val="18"/>
          <w:shd w:val="clear" w:color="auto" w:fill="FFFFFF"/>
        </w:rPr>
        <w:br/>
        <w:t>o If the date field is empty or in the future, nothing will be executed</w:t>
      </w:r>
      <w:r w:rsidRPr="007A0ABC">
        <w:rPr>
          <w:rFonts w:ascii="Arial" w:eastAsia="Times New Roman" w:hAnsi="Arial" w:cs="Arial"/>
          <w:color w:val="0C1725"/>
          <w:sz w:val="18"/>
          <w:szCs w:val="18"/>
          <w:shd w:val="clear" w:color="auto" w:fill="FFFFFF"/>
        </w:rPr>
        <w:br/>
        <w:t xml:space="preserve">• For each time-triggered event, the following must be configured inside the GWE </w:t>
      </w:r>
      <w:proofErr w:type="spellStart"/>
      <w:r w:rsidRPr="007A0ABC">
        <w:rPr>
          <w:rFonts w:ascii="Arial" w:eastAsia="Times New Roman" w:hAnsi="Arial" w:cs="Arial"/>
          <w:color w:val="0C1725"/>
          <w:sz w:val="18"/>
          <w:szCs w:val="18"/>
          <w:shd w:val="clear" w:color="auto" w:fill="FFFFFF"/>
        </w:rPr>
        <w:t>config</w:t>
      </w:r>
      <w:proofErr w:type="spellEnd"/>
      <w:r w:rsidRPr="007A0ABC">
        <w:rPr>
          <w:rFonts w:ascii="Arial" w:eastAsia="Times New Roman" w:hAnsi="Arial" w:cs="Arial"/>
          <w:color w:val="0C1725"/>
          <w:sz w:val="18"/>
          <w:szCs w:val="18"/>
          <w:shd w:val="clear" w:color="auto" w:fill="FFFFFF"/>
        </w:rPr>
        <w:t xml:space="preserve"> page:</w:t>
      </w:r>
      <w:r w:rsidRPr="007A0ABC">
        <w:rPr>
          <w:rFonts w:ascii="Arial" w:eastAsia="Times New Roman" w:hAnsi="Arial" w:cs="Arial"/>
          <w:color w:val="0C1725"/>
          <w:sz w:val="18"/>
          <w:szCs w:val="18"/>
          <w:shd w:val="clear" w:color="auto" w:fill="FFFFFF"/>
        </w:rPr>
        <w:br/>
        <w:t>o A valid XPATH that pointing to the hidden date field</w:t>
      </w:r>
      <w:r w:rsidRPr="007A0ABC">
        <w:rPr>
          <w:rFonts w:ascii="Arial" w:eastAsia="Times New Roman" w:hAnsi="Arial" w:cs="Arial"/>
          <w:color w:val="0C1725"/>
          <w:sz w:val="18"/>
          <w:szCs w:val="18"/>
          <w:shd w:val="clear" w:color="auto" w:fill="FFFFFF"/>
        </w:rPr>
        <w:br/>
        <w:t>o The name of a transition to execute (must match one of the existing transitions already defined)</w:t>
      </w:r>
      <w:r w:rsidRPr="007A0ABC">
        <w:rPr>
          <w:rFonts w:ascii="Arial" w:eastAsia="Times New Roman" w:hAnsi="Arial" w:cs="Arial"/>
          <w:color w:val="0C1725"/>
          <w:sz w:val="18"/>
          <w:szCs w:val="18"/>
          <w:shd w:val="clear" w:color="auto" w:fill="FFFFFF"/>
        </w:rPr>
        <w:br/>
      </w:r>
      <w:r w:rsidRPr="007A0ABC">
        <w:rPr>
          <w:rFonts w:ascii="Arial" w:eastAsia="Times New Roman" w:hAnsi="Arial" w:cs="Arial"/>
          <w:color w:val="0C1725"/>
          <w:sz w:val="18"/>
          <w:szCs w:val="18"/>
          <w:shd w:val="clear" w:color="auto" w:fill="FFFFFF"/>
        </w:rPr>
        <w:br/>
        <w:t>From a mechanics point of view:</w:t>
      </w:r>
      <w:r w:rsidRPr="007A0ABC">
        <w:rPr>
          <w:rFonts w:ascii="Arial" w:eastAsia="Times New Roman" w:hAnsi="Arial" w:cs="Arial"/>
          <w:color w:val="0C1725"/>
          <w:sz w:val="18"/>
          <w:szCs w:val="18"/>
          <w:shd w:val="clear" w:color="auto" w:fill="FFFFFF"/>
        </w:rPr>
        <w:br/>
        <w:t>• Make the GWE a farm-level feature.</w:t>
      </w:r>
      <w:r w:rsidRPr="007A0ABC">
        <w:rPr>
          <w:rFonts w:ascii="Arial" w:eastAsia="Times New Roman" w:hAnsi="Arial" w:cs="Arial"/>
          <w:color w:val="0C1725"/>
          <w:sz w:val="18"/>
          <w:szCs w:val="18"/>
          <w:shd w:val="clear" w:color="auto" w:fill="FFFFFF"/>
        </w:rPr>
        <w:br/>
      </w:r>
      <w:proofErr w:type="gramStart"/>
      <w:r w:rsidRPr="007A0ABC">
        <w:rPr>
          <w:rFonts w:ascii="Arial" w:eastAsia="Times New Roman" w:hAnsi="Arial" w:cs="Arial"/>
          <w:color w:val="0C1725"/>
          <w:sz w:val="18"/>
          <w:szCs w:val="18"/>
          <w:shd w:val="clear" w:color="auto" w:fill="FFFFFF"/>
        </w:rPr>
        <w:t>o</w:t>
      </w:r>
      <w:proofErr w:type="gramEnd"/>
      <w:r w:rsidRPr="007A0ABC">
        <w:rPr>
          <w:rFonts w:ascii="Arial" w:eastAsia="Times New Roman" w:hAnsi="Arial" w:cs="Arial"/>
          <w:color w:val="0C1725"/>
          <w:sz w:val="18"/>
          <w:szCs w:val="18"/>
          <w:shd w:val="clear" w:color="auto" w:fill="FFFFFF"/>
        </w:rPr>
        <w:t xml:space="preserve"> At the time the GWE feature is activated create a timer job and install it to the farm.</w:t>
      </w:r>
      <w:r w:rsidRPr="007A0ABC">
        <w:rPr>
          <w:rFonts w:ascii="Arial" w:eastAsia="Times New Roman" w:hAnsi="Arial" w:cs="Arial"/>
          <w:color w:val="0C1725"/>
          <w:sz w:val="18"/>
          <w:szCs w:val="18"/>
          <w:shd w:val="clear" w:color="auto" w:fill="FFFFFF"/>
        </w:rPr>
        <w:br/>
      </w:r>
      <w:proofErr w:type="gramStart"/>
      <w:r w:rsidRPr="007A0ABC">
        <w:rPr>
          <w:rFonts w:ascii="Arial" w:eastAsia="Times New Roman" w:hAnsi="Arial" w:cs="Arial"/>
          <w:color w:val="0C1725"/>
          <w:sz w:val="18"/>
          <w:szCs w:val="18"/>
          <w:shd w:val="clear" w:color="auto" w:fill="FFFFFF"/>
        </w:rPr>
        <w:t>o</w:t>
      </w:r>
      <w:proofErr w:type="gramEnd"/>
      <w:r w:rsidRPr="007A0ABC">
        <w:rPr>
          <w:rFonts w:ascii="Arial" w:eastAsia="Times New Roman" w:hAnsi="Arial" w:cs="Arial"/>
          <w:color w:val="0C1725"/>
          <w:sz w:val="18"/>
          <w:szCs w:val="18"/>
          <w:shd w:val="clear" w:color="auto" w:fill="FFFFFF"/>
        </w:rPr>
        <w:t xml:space="preserve"> When the GWE feature is deactivated delete the timer job.</w:t>
      </w:r>
      <w:r w:rsidRPr="007A0ABC">
        <w:rPr>
          <w:rFonts w:ascii="Arial" w:eastAsia="Times New Roman" w:hAnsi="Arial" w:cs="Arial"/>
          <w:color w:val="0C1725"/>
          <w:sz w:val="18"/>
          <w:szCs w:val="18"/>
          <w:shd w:val="clear" w:color="auto" w:fill="FFFFFF"/>
        </w:rPr>
        <w:br/>
      </w:r>
      <w:proofErr w:type="gramStart"/>
      <w:r w:rsidRPr="007A0ABC">
        <w:rPr>
          <w:rFonts w:ascii="Arial" w:eastAsia="Times New Roman" w:hAnsi="Arial" w:cs="Arial"/>
          <w:color w:val="0C1725"/>
          <w:sz w:val="18"/>
          <w:szCs w:val="18"/>
          <w:shd w:val="clear" w:color="auto" w:fill="FFFFFF"/>
        </w:rPr>
        <w:t>o</w:t>
      </w:r>
      <w:proofErr w:type="gramEnd"/>
      <w:r w:rsidRPr="007A0ABC">
        <w:rPr>
          <w:rFonts w:ascii="Arial" w:eastAsia="Times New Roman" w:hAnsi="Arial" w:cs="Arial"/>
          <w:color w:val="0C1725"/>
          <w:sz w:val="18"/>
          <w:szCs w:val="18"/>
          <w:shd w:val="clear" w:color="auto" w:fill="FFFFFF"/>
        </w:rPr>
        <w:t xml:space="preserve"> Timer frequency can be adjusted in the central admin but by default we can let it run every 5 minutes.</w:t>
      </w:r>
      <w:r w:rsidRPr="007A0ABC">
        <w:rPr>
          <w:rFonts w:ascii="Arial" w:eastAsia="Times New Roman" w:hAnsi="Arial" w:cs="Arial"/>
          <w:color w:val="0C1725"/>
          <w:sz w:val="18"/>
          <w:szCs w:val="18"/>
          <w:shd w:val="clear" w:color="auto" w:fill="FFFFFF"/>
        </w:rPr>
        <w:br/>
        <w:t>• The timer job scans the farm for web applications containing GWE workflows</w:t>
      </w:r>
      <w:r w:rsidRPr="007A0ABC">
        <w:rPr>
          <w:rFonts w:ascii="Arial" w:eastAsia="Times New Roman" w:hAnsi="Arial" w:cs="Arial"/>
          <w:color w:val="0C1725"/>
          <w:sz w:val="18"/>
          <w:szCs w:val="18"/>
          <w:shd w:val="clear" w:color="auto" w:fill="FFFFFF"/>
        </w:rPr>
        <w:br/>
        <w:t>• For each web application, search for site collections containing GWE workflows</w:t>
      </w:r>
      <w:r w:rsidRPr="007A0ABC">
        <w:rPr>
          <w:rFonts w:ascii="Arial" w:eastAsia="Times New Roman" w:hAnsi="Arial" w:cs="Arial"/>
          <w:color w:val="0C1725"/>
          <w:sz w:val="18"/>
          <w:szCs w:val="18"/>
          <w:shd w:val="clear" w:color="auto" w:fill="FFFFFF"/>
        </w:rPr>
        <w:br/>
        <w:t>• For each site collection, search for sites containing GWE workflows</w:t>
      </w:r>
      <w:r w:rsidRPr="007A0ABC">
        <w:rPr>
          <w:rFonts w:ascii="Arial" w:eastAsia="Times New Roman" w:hAnsi="Arial" w:cs="Arial"/>
          <w:color w:val="0C1725"/>
          <w:sz w:val="18"/>
          <w:szCs w:val="18"/>
          <w:shd w:val="clear" w:color="auto" w:fill="FFFFFF"/>
        </w:rPr>
        <w:br/>
        <w:t>• For each site containing GWE workflows, find each GWE workflow</w:t>
      </w:r>
      <w:r w:rsidRPr="007A0ABC">
        <w:rPr>
          <w:rFonts w:ascii="Arial" w:eastAsia="Times New Roman" w:hAnsi="Arial" w:cs="Arial"/>
          <w:color w:val="0C1725"/>
          <w:sz w:val="18"/>
          <w:szCs w:val="18"/>
          <w:shd w:val="clear" w:color="auto" w:fill="FFFFFF"/>
        </w:rPr>
        <w:br/>
        <w:t>• For each GWE workflow, find all the time-triggered events that should happen</w:t>
      </w:r>
      <w:r w:rsidRPr="007A0ABC">
        <w:rPr>
          <w:rFonts w:ascii="Arial" w:eastAsia="Times New Roman" w:hAnsi="Arial" w:cs="Arial"/>
          <w:color w:val="0C1725"/>
          <w:sz w:val="18"/>
          <w:szCs w:val="18"/>
          <w:shd w:val="clear" w:color="auto" w:fill="FFFFFF"/>
        </w:rPr>
        <w:br/>
        <w:t>• For each time-triggered event, find the field containing the date AND the transition to execute. Then read each form</w:t>
      </w:r>
      <w:r w:rsidRPr="007A0ABC">
        <w:rPr>
          <w:rFonts w:ascii="Arial" w:eastAsia="Times New Roman" w:hAnsi="Arial" w:cs="Arial"/>
          <w:color w:val="0C1725"/>
          <w:sz w:val="18"/>
          <w:szCs w:val="18"/>
          <w:shd w:val="clear" w:color="auto" w:fill="FFFFFF"/>
        </w:rPr>
        <w:br/>
        <w:t xml:space="preserve">• </w:t>
      </w:r>
      <w:proofErr w:type="gramStart"/>
      <w:r w:rsidRPr="007A0ABC">
        <w:rPr>
          <w:rFonts w:ascii="Arial" w:eastAsia="Times New Roman" w:hAnsi="Arial" w:cs="Arial"/>
          <w:color w:val="0C1725"/>
          <w:sz w:val="18"/>
          <w:szCs w:val="18"/>
          <w:shd w:val="clear" w:color="auto" w:fill="FFFFFF"/>
        </w:rPr>
        <w:t>For</w:t>
      </w:r>
      <w:proofErr w:type="gramEnd"/>
      <w:r w:rsidRPr="007A0ABC">
        <w:rPr>
          <w:rFonts w:ascii="Arial" w:eastAsia="Times New Roman" w:hAnsi="Arial" w:cs="Arial"/>
          <w:color w:val="0C1725"/>
          <w:sz w:val="18"/>
          <w:szCs w:val="18"/>
          <w:shd w:val="clear" w:color="auto" w:fill="FFFFFF"/>
        </w:rPr>
        <w:t xml:space="preserve"> each form, read the specified date field. If the date value is in the past:</w:t>
      </w:r>
      <w:r w:rsidRPr="007A0ABC">
        <w:rPr>
          <w:rFonts w:ascii="Arial" w:eastAsia="Times New Roman" w:hAnsi="Arial" w:cs="Arial"/>
          <w:color w:val="0C1725"/>
          <w:sz w:val="18"/>
          <w:szCs w:val="18"/>
          <w:shd w:val="clear" w:color="auto" w:fill="FFFFFF"/>
        </w:rPr>
        <w:br/>
        <w:t>o Erase the date field (so the trigger doesn’t keep firing every 5 minutes)</w:t>
      </w:r>
      <w:r w:rsidRPr="007A0ABC">
        <w:rPr>
          <w:rFonts w:ascii="Arial" w:eastAsia="Times New Roman" w:hAnsi="Arial" w:cs="Arial"/>
          <w:color w:val="0C1725"/>
          <w:sz w:val="18"/>
          <w:szCs w:val="18"/>
          <w:shd w:val="clear" w:color="auto" w:fill="FFFFFF"/>
        </w:rPr>
        <w:br/>
        <w:t>o Set the “next action” field to the specified “next action” from GWE configuration</w:t>
      </w:r>
      <w:r w:rsidRPr="007A0ABC">
        <w:rPr>
          <w:rFonts w:ascii="Arial" w:eastAsia="Times New Roman" w:hAnsi="Arial" w:cs="Arial"/>
          <w:color w:val="0C1725"/>
          <w:sz w:val="18"/>
          <w:szCs w:val="18"/>
          <w:shd w:val="clear" w:color="auto" w:fill="FFFFFF"/>
        </w:rPr>
        <w:br/>
        <w:t>o Save the form (thereby triggering the GWE to perform the transition as currently designed)</w:t>
      </w:r>
    </w:p>
    <w:p w:rsidR="007A0ABC" w:rsidRPr="007A0ABC" w:rsidRDefault="007A0ABC" w:rsidP="007A0ABC"/>
    <w:p w:rsidR="007A0ABC" w:rsidRDefault="007A0ABC">
      <w:r>
        <w:rPr>
          <w:noProof/>
        </w:rPr>
        <w:drawing>
          <wp:inline distT="0" distB="0" distL="0" distR="0" wp14:anchorId="1333E331" wp14:editId="2C7D96A3">
            <wp:extent cx="5943600"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53765"/>
                    </a:xfrm>
                    <a:prstGeom prst="rect">
                      <a:avLst/>
                    </a:prstGeom>
                  </pic:spPr>
                </pic:pic>
              </a:graphicData>
            </a:graphic>
          </wp:inline>
        </w:drawing>
      </w:r>
    </w:p>
    <w:p w:rsidR="000D47E1" w:rsidRPr="000D47E1" w:rsidRDefault="000D47E1" w:rsidP="000D47E1">
      <w:pPr>
        <w:pStyle w:val="Heading2"/>
        <w:rPr>
          <w:rStyle w:val="Heading2Char"/>
          <w:b/>
          <w:bCs/>
        </w:rPr>
      </w:pPr>
      <w:r w:rsidRPr="000D47E1">
        <w:rPr>
          <w:rStyle w:val="Heading2Char"/>
          <w:b/>
          <w:bCs/>
        </w:rPr>
        <w:t>GWE Dashboard Web Part</w:t>
      </w:r>
    </w:p>
    <w:p w:rsidR="000D47E1" w:rsidRDefault="000D47E1">
      <w:p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 w:val="0"/>
          <w:bCs w:val="0"/>
          <w:color w:val="auto"/>
          <w:sz w:val="22"/>
          <w:szCs w:val="22"/>
        </w:rPr>
        <w:t xml:space="preserve">The out-of-the-box </w:t>
      </w:r>
      <w:proofErr w:type="spellStart"/>
      <w:r>
        <w:rPr>
          <w:rStyle w:val="Heading2Char"/>
          <w:rFonts w:asciiTheme="minorHAnsi" w:eastAsiaTheme="minorHAnsi" w:hAnsiTheme="minorHAnsi" w:cstheme="minorBidi"/>
          <w:b w:val="0"/>
          <w:bCs w:val="0"/>
          <w:color w:val="auto"/>
          <w:sz w:val="22"/>
          <w:szCs w:val="22"/>
        </w:rPr>
        <w:t>sharepoint</w:t>
      </w:r>
      <w:proofErr w:type="spellEnd"/>
      <w:r>
        <w:rPr>
          <w:rStyle w:val="Heading2Char"/>
          <w:rFonts w:asciiTheme="minorHAnsi" w:eastAsiaTheme="minorHAnsi" w:hAnsiTheme="minorHAnsi" w:cstheme="minorBidi"/>
          <w:b w:val="0"/>
          <w:bCs w:val="0"/>
          <w:color w:val="auto"/>
          <w:sz w:val="22"/>
          <w:szCs w:val="22"/>
        </w:rPr>
        <w:t xml:space="preserve"> list views are </w:t>
      </w:r>
      <w:r w:rsidR="0069664B">
        <w:rPr>
          <w:rStyle w:val="Heading2Char"/>
          <w:rFonts w:asciiTheme="minorHAnsi" w:eastAsiaTheme="minorHAnsi" w:hAnsiTheme="minorHAnsi" w:cstheme="minorBidi"/>
          <w:b w:val="0"/>
          <w:bCs w:val="0"/>
          <w:color w:val="auto"/>
          <w:sz w:val="22"/>
          <w:szCs w:val="22"/>
        </w:rPr>
        <w:t xml:space="preserve">simple to use but aren’t very good at </w:t>
      </w:r>
      <w:r>
        <w:rPr>
          <w:rStyle w:val="Heading2Char"/>
          <w:rFonts w:asciiTheme="minorHAnsi" w:eastAsiaTheme="minorHAnsi" w:hAnsiTheme="minorHAnsi" w:cstheme="minorBidi"/>
          <w:b w:val="0"/>
          <w:bCs w:val="0"/>
          <w:color w:val="auto"/>
          <w:sz w:val="22"/>
          <w:szCs w:val="22"/>
        </w:rPr>
        <w:t xml:space="preserve">partitioning forms out into a natural format for a workflow dashboard. The GWE dashboard web part is designed </w:t>
      </w:r>
      <w:r w:rsidR="0069664B">
        <w:rPr>
          <w:rStyle w:val="Heading2Char"/>
          <w:rFonts w:asciiTheme="minorHAnsi" w:eastAsiaTheme="minorHAnsi" w:hAnsiTheme="minorHAnsi" w:cstheme="minorBidi"/>
          <w:b w:val="0"/>
          <w:bCs w:val="0"/>
          <w:color w:val="auto"/>
          <w:sz w:val="22"/>
          <w:szCs w:val="22"/>
        </w:rPr>
        <w:t xml:space="preserve">so the users can separate out forms by </w:t>
      </w:r>
      <w:r w:rsidR="0069664B">
        <w:rPr>
          <w:rStyle w:val="Heading2Char"/>
          <w:rFonts w:asciiTheme="minorHAnsi" w:eastAsiaTheme="minorHAnsi" w:hAnsiTheme="minorHAnsi" w:cstheme="minorBidi"/>
          <w:b w:val="0"/>
          <w:bCs w:val="0"/>
          <w:color w:val="auto"/>
          <w:sz w:val="22"/>
          <w:szCs w:val="22"/>
        </w:rPr>
        <w:lastRenderedPageBreak/>
        <w:t>common attributes into a tabbed interface</w:t>
      </w:r>
      <w:r>
        <w:rPr>
          <w:rStyle w:val="Heading2Char"/>
          <w:rFonts w:asciiTheme="minorHAnsi" w:eastAsiaTheme="minorHAnsi" w:hAnsiTheme="minorHAnsi" w:cstheme="minorBidi"/>
          <w:b w:val="0"/>
          <w:bCs w:val="0"/>
          <w:color w:val="auto"/>
          <w:sz w:val="22"/>
          <w:szCs w:val="22"/>
        </w:rPr>
        <w:t>. Each tab</w:t>
      </w:r>
      <w:r w:rsidR="00D50AE9">
        <w:rPr>
          <w:rStyle w:val="Heading2Char"/>
          <w:rFonts w:asciiTheme="minorHAnsi" w:eastAsiaTheme="minorHAnsi" w:hAnsiTheme="minorHAnsi" w:cstheme="minorBidi"/>
          <w:b w:val="0"/>
          <w:bCs w:val="0"/>
          <w:color w:val="auto"/>
          <w:sz w:val="22"/>
          <w:szCs w:val="22"/>
        </w:rPr>
        <w:t xml:space="preserve"> contains a grid view </w:t>
      </w:r>
      <w:r w:rsidR="0069664B">
        <w:rPr>
          <w:rStyle w:val="Heading2Char"/>
          <w:rFonts w:asciiTheme="minorHAnsi" w:eastAsiaTheme="minorHAnsi" w:hAnsiTheme="minorHAnsi" w:cstheme="minorBidi"/>
          <w:b w:val="0"/>
          <w:bCs w:val="0"/>
          <w:color w:val="auto"/>
          <w:sz w:val="22"/>
          <w:szCs w:val="22"/>
        </w:rPr>
        <w:t xml:space="preserve">of forms </w:t>
      </w:r>
      <w:r w:rsidR="00D50AE9">
        <w:rPr>
          <w:rStyle w:val="Heading2Char"/>
          <w:rFonts w:asciiTheme="minorHAnsi" w:eastAsiaTheme="minorHAnsi" w:hAnsiTheme="minorHAnsi" w:cstheme="minorBidi"/>
          <w:b w:val="0"/>
          <w:bCs w:val="0"/>
          <w:color w:val="auto"/>
          <w:sz w:val="22"/>
          <w:szCs w:val="22"/>
        </w:rPr>
        <w:t xml:space="preserve">where the fields displayed and their order of display is configurable. All columns can be sorted in an ascending/descending fashion in real time. Each grid has a search box at the heading that provides the ability to search any field within the grid in real time. Paging and page size capabilities are optional. </w:t>
      </w:r>
      <w:proofErr w:type="gramStart"/>
      <w:r w:rsidR="00D50AE9">
        <w:rPr>
          <w:rStyle w:val="Heading2Char"/>
          <w:rFonts w:asciiTheme="minorHAnsi" w:eastAsiaTheme="minorHAnsi" w:hAnsiTheme="minorHAnsi" w:cstheme="minorBidi"/>
          <w:b w:val="0"/>
          <w:bCs w:val="0"/>
          <w:color w:val="auto"/>
          <w:sz w:val="22"/>
          <w:szCs w:val="22"/>
        </w:rPr>
        <w:t>See [</w:t>
      </w:r>
      <w:hyperlink r:id="rId12" w:history="1">
        <w:r w:rsidR="00D50AE9">
          <w:rPr>
            <w:rStyle w:val="Hyperlink"/>
          </w:rPr>
          <w:t>http://www.reallifedata.com/KeyboardGrid/demo.html</w:t>
        </w:r>
      </w:hyperlink>
      <w:r w:rsidR="00D50AE9">
        <w:rPr>
          <w:rStyle w:val="Heading2Char"/>
          <w:rFonts w:asciiTheme="minorHAnsi" w:eastAsiaTheme="minorHAnsi" w:hAnsiTheme="minorHAnsi" w:cstheme="minorBidi"/>
          <w:b w:val="0"/>
          <w:bCs w:val="0"/>
          <w:color w:val="auto"/>
          <w:sz w:val="22"/>
          <w:szCs w:val="22"/>
        </w:rPr>
        <w:t>] for an example of the grid component.</w:t>
      </w:r>
      <w:proofErr w:type="gramEnd"/>
      <w:r w:rsidR="00D50AE9">
        <w:rPr>
          <w:rStyle w:val="Heading2Char"/>
          <w:rFonts w:asciiTheme="minorHAnsi" w:eastAsiaTheme="minorHAnsi" w:hAnsiTheme="minorHAnsi" w:cstheme="minorBidi"/>
          <w:b w:val="0"/>
          <w:bCs w:val="0"/>
          <w:color w:val="auto"/>
          <w:sz w:val="22"/>
          <w:szCs w:val="22"/>
        </w:rPr>
        <w:t xml:space="preserve"> Selected tabs, sort orders and filters are remembered for each user such that re-visit</w:t>
      </w:r>
      <w:r w:rsidR="0069664B">
        <w:rPr>
          <w:rStyle w:val="Heading2Char"/>
          <w:rFonts w:asciiTheme="minorHAnsi" w:eastAsiaTheme="minorHAnsi" w:hAnsiTheme="minorHAnsi" w:cstheme="minorBidi"/>
          <w:b w:val="0"/>
          <w:bCs w:val="0"/>
          <w:color w:val="auto"/>
          <w:sz w:val="22"/>
          <w:szCs w:val="22"/>
        </w:rPr>
        <w:t>i</w:t>
      </w:r>
      <w:r w:rsidR="00D50AE9">
        <w:rPr>
          <w:rStyle w:val="Heading2Char"/>
          <w:rFonts w:asciiTheme="minorHAnsi" w:eastAsiaTheme="minorHAnsi" w:hAnsiTheme="minorHAnsi" w:cstheme="minorBidi"/>
          <w:b w:val="0"/>
          <w:bCs w:val="0"/>
          <w:color w:val="auto"/>
          <w:sz w:val="22"/>
          <w:szCs w:val="22"/>
        </w:rPr>
        <w:t>ng the page at a later point will maintain the state of the</w:t>
      </w:r>
      <w:r w:rsidR="0069664B">
        <w:rPr>
          <w:rStyle w:val="Heading2Char"/>
          <w:rFonts w:asciiTheme="minorHAnsi" w:eastAsiaTheme="minorHAnsi" w:hAnsiTheme="minorHAnsi" w:cstheme="minorBidi"/>
          <w:b w:val="0"/>
          <w:bCs w:val="0"/>
          <w:color w:val="auto"/>
          <w:sz w:val="22"/>
          <w:szCs w:val="22"/>
        </w:rPr>
        <w:t>ir filters and selected tabs</w:t>
      </w:r>
      <w:r w:rsidR="00D50AE9">
        <w:rPr>
          <w:rStyle w:val="Heading2Char"/>
          <w:rFonts w:asciiTheme="minorHAnsi" w:eastAsiaTheme="minorHAnsi" w:hAnsiTheme="minorHAnsi" w:cstheme="minorBidi"/>
          <w:b w:val="0"/>
          <w:bCs w:val="0"/>
          <w:color w:val="auto"/>
          <w:sz w:val="22"/>
          <w:szCs w:val="22"/>
        </w:rPr>
        <w:t xml:space="preserve">. Users can create a new form by clicking on the “new form” button which will bring up an empty form in the initial state either inside </w:t>
      </w:r>
      <w:proofErr w:type="spellStart"/>
      <w:r w:rsidR="00D50AE9">
        <w:rPr>
          <w:rStyle w:val="Heading2Char"/>
          <w:rFonts w:asciiTheme="minorHAnsi" w:eastAsiaTheme="minorHAnsi" w:hAnsiTheme="minorHAnsi" w:cstheme="minorBidi"/>
          <w:b w:val="0"/>
          <w:bCs w:val="0"/>
          <w:color w:val="auto"/>
          <w:sz w:val="22"/>
          <w:szCs w:val="22"/>
        </w:rPr>
        <w:t>infopath</w:t>
      </w:r>
      <w:proofErr w:type="spellEnd"/>
      <w:r w:rsidR="00D50AE9">
        <w:rPr>
          <w:rStyle w:val="Heading2Char"/>
          <w:rFonts w:asciiTheme="minorHAnsi" w:eastAsiaTheme="minorHAnsi" w:hAnsiTheme="minorHAnsi" w:cstheme="minorBidi"/>
          <w:b w:val="0"/>
          <w:bCs w:val="0"/>
          <w:color w:val="auto"/>
          <w:sz w:val="22"/>
          <w:szCs w:val="22"/>
        </w:rPr>
        <w:t xml:space="preserve"> client or browser form.</w:t>
      </w:r>
    </w:p>
    <w:p w:rsidR="00474C1F" w:rsidRDefault="00D50AE9">
      <w:p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 w:val="0"/>
          <w:bCs w:val="0"/>
          <w:color w:val="auto"/>
          <w:sz w:val="22"/>
          <w:szCs w:val="22"/>
        </w:rPr>
        <w:t xml:space="preserve">The web part is designed to be linked to a specific form library. Using the web part settings pane, the administrator </w:t>
      </w:r>
      <w:r w:rsidR="00474C1F">
        <w:rPr>
          <w:rStyle w:val="Heading2Char"/>
          <w:rFonts w:asciiTheme="minorHAnsi" w:eastAsiaTheme="minorHAnsi" w:hAnsiTheme="minorHAnsi" w:cstheme="minorBidi"/>
          <w:b w:val="0"/>
          <w:bCs w:val="0"/>
          <w:color w:val="auto"/>
          <w:sz w:val="22"/>
          <w:szCs w:val="22"/>
        </w:rPr>
        <w:t>configures the following items:</w:t>
      </w:r>
    </w:p>
    <w:p w:rsidR="00474C1F" w:rsidRDefault="00474C1F" w:rsidP="00474C1F">
      <w:pPr>
        <w:pStyle w:val="ListParagraph"/>
        <w:numPr>
          <w:ilvl w:val="0"/>
          <w:numId w:val="1"/>
        </w:numPr>
        <w:rPr>
          <w:rStyle w:val="Heading2Char"/>
          <w:rFonts w:asciiTheme="minorHAnsi" w:eastAsiaTheme="minorHAnsi" w:hAnsiTheme="minorHAnsi" w:cstheme="minorBidi"/>
          <w:b w:val="0"/>
          <w:bCs w:val="0"/>
          <w:color w:val="auto"/>
          <w:sz w:val="22"/>
          <w:szCs w:val="22"/>
        </w:rPr>
      </w:pPr>
      <w:r w:rsidRPr="00B939E6">
        <w:rPr>
          <w:rStyle w:val="Heading2Char"/>
          <w:rFonts w:asciiTheme="minorHAnsi" w:eastAsiaTheme="minorHAnsi" w:hAnsiTheme="minorHAnsi" w:cstheme="minorBidi"/>
          <w:bCs w:val="0"/>
          <w:color w:val="auto"/>
          <w:sz w:val="22"/>
          <w:szCs w:val="22"/>
        </w:rPr>
        <w:t>The location of the form library containing the forms</w:t>
      </w:r>
      <w:r>
        <w:rPr>
          <w:rStyle w:val="Heading2Char"/>
          <w:rFonts w:asciiTheme="minorHAnsi" w:eastAsiaTheme="minorHAnsi" w:hAnsiTheme="minorHAnsi" w:cstheme="minorBidi"/>
          <w:b w:val="0"/>
          <w:bCs w:val="0"/>
          <w:color w:val="auto"/>
          <w:sz w:val="22"/>
          <w:szCs w:val="22"/>
        </w:rPr>
        <w:t xml:space="preserve"> – The Site </w:t>
      </w:r>
      <w:proofErr w:type="spellStart"/>
      <w:r>
        <w:rPr>
          <w:rStyle w:val="Heading2Char"/>
          <w:rFonts w:asciiTheme="minorHAnsi" w:eastAsiaTheme="minorHAnsi" w:hAnsiTheme="minorHAnsi" w:cstheme="minorBidi"/>
          <w:b w:val="0"/>
          <w:bCs w:val="0"/>
          <w:color w:val="auto"/>
          <w:sz w:val="22"/>
          <w:szCs w:val="22"/>
        </w:rPr>
        <w:t>Url</w:t>
      </w:r>
      <w:proofErr w:type="spellEnd"/>
      <w:r>
        <w:rPr>
          <w:rStyle w:val="Heading2Char"/>
          <w:rFonts w:asciiTheme="minorHAnsi" w:eastAsiaTheme="minorHAnsi" w:hAnsiTheme="minorHAnsi" w:cstheme="minorBidi"/>
          <w:b w:val="0"/>
          <w:bCs w:val="0"/>
          <w:color w:val="auto"/>
          <w:sz w:val="22"/>
          <w:szCs w:val="22"/>
        </w:rPr>
        <w:t xml:space="preserve"> and the list name settings specify the location of the form library. Note that the web part can exist in a different location than the </w:t>
      </w:r>
      <w:r w:rsidR="00B939E6">
        <w:rPr>
          <w:rStyle w:val="Heading2Char"/>
          <w:rFonts w:asciiTheme="minorHAnsi" w:eastAsiaTheme="minorHAnsi" w:hAnsiTheme="minorHAnsi" w:cstheme="minorBidi"/>
          <w:b w:val="0"/>
          <w:bCs w:val="0"/>
          <w:color w:val="auto"/>
          <w:sz w:val="22"/>
          <w:szCs w:val="22"/>
        </w:rPr>
        <w:t>dashboard web part</w:t>
      </w:r>
      <w:r w:rsidR="0069664B">
        <w:rPr>
          <w:rStyle w:val="Heading2Char"/>
          <w:rFonts w:asciiTheme="minorHAnsi" w:eastAsiaTheme="minorHAnsi" w:hAnsiTheme="minorHAnsi" w:cstheme="minorBidi"/>
          <w:b w:val="0"/>
          <w:bCs w:val="0"/>
          <w:color w:val="auto"/>
          <w:sz w:val="22"/>
          <w:szCs w:val="22"/>
        </w:rPr>
        <w:t xml:space="preserve"> as long as they reside within the same farm</w:t>
      </w:r>
      <w:r w:rsidR="00B939E6">
        <w:rPr>
          <w:rStyle w:val="Heading2Char"/>
          <w:rFonts w:asciiTheme="minorHAnsi" w:eastAsiaTheme="minorHAnsi" w:hAnsiTheme="minorHAnsi" w:cstheme="minorBidi"/>
          <w:b w:val="0"/>
          <w:bCs w:val="0"/>
          <w:color w:val="auto"/>
          <w:sz w:val="22"/>
          <w:szCs w:val="22"/>
        </w:rPr>
        <w:t>.</w:t>
      </w:r>
    </w:p>
    <w:p w:rsidR="00B939E6" w:rsidRDefault="00B939E6" w:rsidP="00474C1F">
      <w:pPr>
        <w:pStyle w:val="ListParagraph"/>
        <w:numPr>
          <w:ilvl w:val="0"/>
          <w:numId w:val="1"/>
        </w:num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Cs w:val="0"/>
          <w:color w:val="auto"/>
          <w:sz w:val="22"/>
          <w:szCs w:val="22"/>
        </w:rPr>
        <w:t xml:space="preserve">The display columns and the order </w:t>
      </w:r>
      <w:r>
        <w:rPr>
          <w:rStyle w:val="Heading2Char"/>
          <w:rFonts w:asciiTheme="minorHAnsi" w:eastAsiaTheme="minorHAnsi" w:hAnsiTheme="minorHAnsi" w:cstheme="minorBidi"/>
          <w:b w:val="0"/>
          <w:bCs w:val="0"/>
          <w:color w:val="auto"/>
          <w:sz w:val="22"/>
          <w:szCs w:val="22"/>
        </w:rPr>
        <w:t xml:space="preserve">– This setting is a comma-delimited collection of field names found within the form library. The order in which the fields displayed dictate the display order. The first column is always the name of the form with a link to the form </w:t>
      </w:r>
      <w:r w:rsidR="0069664B">
        <w:rPr>
          <w:rStyle w:val="Heading2Char"/>
          <w:rFonts w:asciiTheme="minorHAnsi" w:eastAsiaTheme="minorHAnsi" w:hAnsiTheme="minorHAnsi" w:cstheme="minorBidi"/>
          <w:b w:val="0"/>
          <w:bCs w:val="0"/>
          <w:color w:val="auto"/>
          <w:sz w:val="22"/>
          <w:szCs w:val="22"/>
        </w:rPr>
        <w:t xml:space="preserve">view </w:t>
      </w:r>
      <w:r>
        <w:rPr>
          <w:rStyle w:val="Heading2Char"/>
          <w:rFonts w:asciiTheme="minorHAnsi" w:eastAsiaTheme="minorHAnsi" w:hAnsiTheme="minorHAnsi" w:cstheme="minorBidi"/>
          <w:b w:val="0"/>
          <w:bCs w:val="0"/>
          <w:color w:val="auto"/>
          <w:sz w:val="22"/>
          <w:szCs w:val="22"/>
        </w:rPr>
        <w:t>in the browser or the client.</w:t>
      </w:r>
    </w:p>
    <w:p w:rsidR="003E6064" w:rsidRDefault="003E6064" w:rsidP="00474C1F">
      <w:pPr>
        <w:pStyle w:val="ListParagraph"/>
        <w:numPr>
          <w:ilvl w:val="0"/>
          <w:numId w:val="1"/>
        </w:num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Cs w:val="0"/>
          <w:color w:val="auto"/>
          <w:sz w:val="22"/>
          <w:szCs w:val="22"/>
        </w:rPr>
        <w:t xml:space="preserve">The tabs, their labels, filters, and order of display </w:t>
      </w:r>
      <w:r>
        <w:rPr>
          <w:rStyle w:val="Heading2Char"/>
          <w:rFonts w:asciiTheme="minorHAnsi" w:eastAsiaTheme="minorHAnsi" w:hAnsiTheme="minorHAnsi" w:cstheme="minorBidi"/>
          <w:b w:val="0"/>
          <w:bCs w:val="0"/>
          <w:color w:val="auto"/>
          <w:sz w:val="22"/>
          <w:szCs w:val="22"/>
        </w:rPr>
        <w:t>– This setting uses a pipe (‘|’) delimited syntax of the following tab definition elements:  &lt;</w:t>
      </w:r>
      <w:proofErr w:type="spellStart"/>
      <w:r>
        <w:rPr>
          <w:rStyle w:val="Heading2Char"/>
          <w:rFonts w:asciiTheme="minorHAnsi" w:eastAsiaTheme="minorHAnsi" w:hAnsiTheme="minorHAnsi" w:cstheme="minorBidi"/>
          <w:b w:val="0"/>
          <w:bCs w:val="0"/>
          <w:color w:val="auto"/>
          <w:sz w:val="22"/>
          <w:szCs w:val="22"/>
        </w:rPr>
        <w:t>TabName</w:t>
      </w:r>
      <w:proofErr w:type="spellEnd"/>
      <w:r>
        <w:rPr>
          <w:rStyle w:val="Heading2Char"/>
          <w:rFonts w:asciiTheme="minorHAnsi" w:eastAsiaTheme="minorHAnsi" w:hAnsiTheme="minorHAnsi" w:cstheme="minorBidi"/>
          <w:b w:val="0"/>
          <w:bCs w:val="0"/>
          <w:color w:val="auto"/>
          <w:sz w:val="22"/>
          <w:szCs w:val="22"/>
        </w:rPr>
        <w:t>&gt;:&lt;Form Field&gt;=&lt;Value1&gt;,&lt;Value2&gt;…&lt;</w:t>
      </w:r>
      <w:proofErr w:type="spellStart"/>
      <w:r>
        <w:rPr>
          <w:rStyle w:val="Heading2Char"/>
          <w:rFonts w:asciiTheme="minorHAnsi" w:eastAsiaTheme="minorHAnsi" w:hAnsiTheme="minorHAnsi" w:cstheme="minorBidi"/>
          <w:b w:val="0"/>
          <w:bCs w:val="0"/>
          <w:color w:val="auto"/>
          <w:sz w:val="22"/>
          <w:szCs w:val="22"/>
        </w:rPr>
        <w:t>ValueN</w:t>
      </w:r>
      <w:proofErr w:type="spellEnd"/>
      <w:r>
        <w:rPr>
          <w:rStyle w:val="Heading2Char"/>
          <w:rFonts w:asciiTheme="minorHAnsi" w:eastAsiaTheme="minorHAnsi" w:hAnsiTheme="minorHAnsi" w:cstheme="minorBidi"/>
          <w:b w:val="0"/>
          <w:bCs w:val="0"/>
          <w:color w:val="auto"/>
          <w:sz w:val="22"/>
          <w:szCs w:val="22"/>
        </w:rPr>
        <w:t>&gt; where</w:t>
      </w:r>
    </w:p>
    <w:p w:rsidR="003E6064" w:rsidRDefault="003E6064" w:rsidP="003E6064">
      <w:pPr>
        <w:pStyle w:val="ListParagraph"/>
        <w:numPr>
          <w:ilvl w:val="1"/>
          <w:numId w:val="1"/>
        </w:numPr>
        <w:rPr>
          <w:rStyle w:val="Heading2Char"/>
          <w:rFonts w:asciiTheme="minorHAnsi" w:eastAsiaTheme="minorHAnsi" w:hAnsiTheme="minorHAnsi" w:cstheme="minorBidi"/>
          <w:b w:val="0"/>
          <w:bCs w:val="0"/>
          <w:color w:val="auto"/>
          <w:sz w:val="22"/>
          <w:szCs w:val="22"/>
        </w:rPr>
      </w:pPr>
      <w:proofErr w:type="spellStart"/>
      <w:r>
        <w:rPr>
          <w:rStyle w:val="Heading2Char"/>
          <w:rFonts w:asciiTheme="minorHAnsi" w:eastAsiaTheme="minorHAnsi" w:hAnsiTheme="minorHAnsi" w:cstheme="minorBidi"/>
          <w:bCs w:val="0"/>
          <w:color w:val="auto"/>
          <w:sz w:val="22"/>
          <w:szCs w:val="22"/>
        </w:rPr>
        <w:t>TabName</w:t>
      </w:r>
      <w:proofErr w:type="spellEnd"/>
      <w:r>
        <w:rPr>
          <w:rStyle w:val="Heading2Char"/>
          <w:rFonts w:asciiTheme="minorHAnsi" w:eastAsiaTheme="minorHAnsi" w:hAnsiTheme="minorHAnsi" w:cstheme="minorBidi"/>
          <w:bCs w:val="0"/>
          <w:color w:val="auto"/>
          <w:sz w:val="22"/>
          <w:szCs w:val="22"/>
        </w:rPr>
        <w:t xml:space="preserve"> </w:t>
      </w:r>
      <w:r>
        <w:rPr>
          <w:rStyle w:val="Heading2Char"/>
          <w:rFonts w:asciiTheme="minorHAnsi" w:eastAsiaTheme="minorHAnsi" w:hAnsiTheme="minorHAnsi" w:cstheme="minorBidi"/>
          <w:b w:val="0"/>
          <w:bCs w:val="0"/>
          <w:color w:val="auto"/>
          <w:sz w:val="22"/>
          <w:szCs w:val="22"/>
        </w:rPr>
        <w:t>– the label of the tab</w:t>
      </w:r>
    </w:p>
    <w:p w:rsidR="003E6064" w:rsidRDefault="003E6064" w:rsidP="003E6064">
      <w:pPr>
        <w:pStyle w:val="ListParagraph"/>
        <w:numPr>
          <w:ilvl w:val="1"/>
          <w:numId w:val="1"/>
        </w:num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Cs w:val="0"/>
          <w:color w:val="auto"/>
          <w:sz w:val="22"/>
          <w:szCs w:val="22"/>
        </w:rPr>
        <w:t>Form Field</w:t>
      </w:r>
      <w:r w:rsidRPr="003E6064">
        <w:rPr>
          <w:rStyle w:val="Heading2Char"/>
          <w:rFonts w:asciiTheme="minorHAnsi" w:eastAsiaTheme="minorHAnsi" w:hAnsiTheme="minorHAnsi" w:cstheme="minorBidi"/>
          <w:b w:val="0"/>
          <w:bCs w:val="0"/>
          <w:color w:val="auto"/>
          <w:sz w:val="22"/>
          <w:szCs w:val="22"/>
        </w:rPr>
        <w:t>-</w:t>
      </w:r>
      <w:r>
        <w:rPr>
          <w:rStyle w:val="Heading2Char"/>
          <w:rFonts w:asciiTheme="minorHAnsi" w:eastAsiaTheme="minorHAnsi" w:hAnsiTheme="minorHAnsi" w:cstheme="minorBidi"/>
          <w:b w:val="0"/>
          <w:bCs w:val="0"/>
          <w:color w:val="auto"/>
          <w:sz w:val="22"/>
          <w:szCs w:val="22"/>
        </w:rPr>
        <w:t xml:space="preserve"> the name of a field from the library to filter</w:t>
      </w:r>
    </w:p>
    <w:p w:rsidR="003E6064" w:rsidRDefault="003E6064" w:rsidP="003E6064">
      <w:pPr>
        <w:pStyle w:val="ListParagraph"/>
        <w:numPr>
          <w:ilvl w:val="1"/>
          <w:numId w:val="1"/>
        </w:numPr>
        <w:rPr>
          <w:rStyle w:val="Heading2Char"/>
          <w:rFonts w:asciiTheme="minorHAnsi" w:eastAsiaTheme="minorHAnsi" w:hAnsiTheme="minorHAnsi" w:cstheme="minorBidi"/>
          <w:b w:val="0"/>
          <w:bCs w:val="0"/>
          <w:color w:val="auto"/>
          <w:sz w:val="22"/>
          <w:szCs w:val="22"/>
        </w:rPr>
      </w:pPr>
      <w:r w:rsidRPr="003E6064">
        <w:rPr>
          <w:rStyle w:val="Heading2Char"/>
          <w:rFonts w:asciiTheme="minorHAnsi" w:eastAsiaTheme="minorHAnsi" w:hAnsiTheme="minorHAnsi" w:cstheme="minorBidi"/>
          <w:bCs w:val="0"/>
          <w:color w:val="auto"/>
          <w:sz w:val="22"/>
          <w:szCs w:val="22"/>
        </w:rPr>
        <w:t>Value1,2,3…</w:t>
      </w:r>
      <w:r>
        <w:rPr>
          <w:rStyle w:val="Heading2Char"/>
          <w:rFonts w:asciiTheme="minorHAnsi" w:eastAsiaTheme="minorHAnsi" w:hAnsiTheme="minorHAnsi" w:cstheme="minorBidi"/>
          <w:b w:val="0"/>
          <w:bCs w:val="0"/>
          <w:color w:val="auto"/>
          <w:sz w:val="22"/>
          <w:szCs w:val="22"/>
        </w:rPr>
        <w:t xml:space="preserve"> -A comma delimited list of values that serve as the filter </w:t>
      </w:r>
    </w:p>
    <w:p w:rsidR="0069664B" w:rsidRDefault="0069664B" w:rsidP="0069664B">
      <w:pPr>
        <w:ind w:left="360"/>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 w:val="0"/>
          <w:bCs w:val="0"/>
          <w:color w:val="auto"/>
          <w:sz w:val="22"/>
          <w:szCs w:val="22"/>
        </w:rPr>
        <w:t>In the example below, we have configured the web part to display forms from the library named ‘</w:t>
      </w:r>
      <w:r w:rsidRPr="003E6064">
        <w:rPr>
          <w:rStyle w:val="Heading2Char"/>
          <w:rFonts w:asciiTheme="minorHAnsi" w:eastAsiaTheme="minorHAnsi" w:hAnsiTheme="minorHAnsi" w:cstheme="minorBidi"/>
          <w:bCs w:val="0"/>
          <w:color w:val="auto"/>
          <w:sz w:val="22"/>
          <w:szCs w:val="22"/>
        </w:rPr>
        <w:t>Form Library X</w:t>
      </w:r>
      <w:r>
        <w:rPr>
          <w:rStyle w:val="Heading2Char"/>
          <w:rFonts w:asciiTheme="minorHAnsi" w:eastAsiaTheme="minorHAnsi" w:hAnsiTheme="minorHAnsi" w:cstheme="minorBidi"/>
          <w:b w:val="0"/>
          <w:bCs w:val="0"/>
          <w:color w:val="auto"/>
          <w:sz w:val="22"/>
          <w:szCs w:val="22"/>
        </w:rPr>
        <w:t>’ inside the SharePoint site ‘</w:t>
      </w:r>
      <w:r w:rsidRPr="003E6064">
        <w:rPr>
          <w:rStyle w:val="Heading2Char"/>
          <w:rFonts w:asciiTheme="minorHAnsi" w:eastAsiaTheme="minorHAnsi" w:hAnsiTheme="minorHAnsi" w:cstheme="minorBidi"/>
          <w:bCs w:val="0"/>
          <w:color w:val="auto"/>
          <w:sz w:val="22"/>
          <w:szCs w:val="22"/>
        </w:rPr>
        <w:t>http</w:t>
      </w:r>
      <w:proofErr w:type="gramStart"/>
      <w:r w:rsidRPr="003E6064">
        <w:rPr>
          <w:rStyle w:val="Heading2Char"/>
          <w:rFonts w:asciiTheme="minorHAnsi" w:eastAsiaTheme="minorHAnsi" w:hAnsiTheme="minorHAnsi" w:cstheme="minorBidi"/>
          <w:bCs w:val="0"/>
          <w:color w:val="auto"/>
          <w:sz w:val="22"/>
          <w:szCs w:val="22"/>
        </w:rPr>
        <w:t>:/</w:t>
      </w:r>
      <w:proofErr w:type="gramEnd"/>
      <w:r w:rsidRPr="003E6064">
        <w:rPr>
          <w:rStyle w:val="Heading2Char"/>
          <w:rFonts w:asciiTheme="minorHAnsi" w:eastAsiaTheme="minorHAnsi" w:hAnsiTheme="minorHAnsi" w:cstheme="minorBidi"/>
          <w:bCs w:val="0"/>
          <w:color w:val="auto"/>
          <w:sz w:val="22"/>
          <w:szCs w:val="22"/>
        </w:rPr>
        <w:t>/server/teams/site</w:t>
      </w:r>
      <w:r>
        <w:rPr>
          <w:rStyle w:val="Heading2Char"/>
          <w:rFonts w:asciiTheme="minorHAnsi" w:eastAsiaTheme="minorHAnsi" w:hAnsiTheme="minorHAnsi" w:cstheme="minorBidi"/>
          <w:b w:val="0"/>
          <w:bCs w:val="0"/>
          <w:color w:val="auto"/>
          <w:sz w:val="22"/>
          <w:szCs w:val="22"/>
        </w:rPr>
        <w:t>’. The grid displays the form fields ‘</w:t>
      </w:r>
      <w:r w:rsidRPr="003E6064">
        <w:rPr>
          <w:rStyle w:val="Heading2Char"/>
          <w:rFonts w:asciiTheme="minorHAnsi" w:eastAsiaTheme="minorHAnsi" w:hAnsiTheme="minorHAnsi" w:cstheme="minorBidi"/>
          <w:bCs w:val="0"/>
          <w:color w:val="auto"/>
          <w:sz w:val="22"/>
          <w:szCs w:val="22"/>
        </w:rPr>
        <w:t>Person</w:t>
      </w:r>
      <w:r>
        <w:rPr>
          <w:rStyle w:val="Heading2Char"/>
          <w:rFonts w:asciiTheme="minorHAnsi" w:eastAsiaTheme="minorHAnsi" w:hAnsiTheme="minorHAnsi" w:cstheme="minorBidi"/>
          <w:b w:val="0"/>
          <w:bCs w:val="0"/>
          <w:color w:val="auto"/>
          <w:sz w:val="22"/>
          <w:szCs w:val="22"/>
        </w:rPr>
        <w:t>’, ‘</w:t>
      </w:r>
      <w:proofErr w:type="spellStart"/>
      <w:r w:rsidRPr="003E6064">
        <w:rPr>
          <w:rStyle w:val="Heading2Char"/>
          <w:rFonts w:asciiTheme="minorHAnsi" w:eastAsiaTheme="minorHAnsi" w:hAnsiTheme="minorHAnsi" w:cstheme="minorBidi"/>
          <w:bCs w:val="0"/>
          <w:color w:val="auto"/>
          <w:sz w:val="22"/>
          <w:szCs w:val="22"/>
        </w:rPr>
        <w:t>FormState</w:t>
      </w:r>
      <w:proofErr w:type="spellEnd"/>
      <w:r>
        <w:rPr>
          <w:rStyle w:val="Heading2Char"/>
          <w:rFonts w:asciiTheme="minorHAnsi" w:eastAsiaTheme="minorHAnsi" w:hAnsiTheme="minorHAnsi" w:cstheme="minorBidi"/>
          <w:b w:val="0"/>
          <w:bCs w:val="0"/>
          <w:color w:val="auto"/>
          <w:sz w:val="22"/>
          <w:szCs w:val="22"/>
        </w:rPr>
        <w:t>’, and ‘</w:t>
      </w:r>
      <w:proofErr w:type="spellStart"/>
      <w:r w:rsidRPr="003E6064">
        <w:rPr>
          <w:rStyle w:val="Heading2Char"/>
          <w:rFonts w:asciiTheme="minorHAnsi" w:eastAsiaTheme="minorHAnsi" w:hAnsiTheme="minorHAnsi" w:cstheme="minorBidi"/>
          <w:bCs w:val="0"/>
          <w:color w:val="auto"/>
          <w:sz w:val="22"/>
          <w:szCs w:val="22"/>
        </w:rPr>
        <w:t>TheGroup</w:t>
      </w:r>
      <w:proofErr w:type="spellEnd"/>
      <w:r>
        <w:rPr>
          <w:rStyle w:val="Heading2Char"/>
          <w:rFonts w:asciiTheme="minorHAnsi" w:eastAsiaTheme="minorHAnsi" w:hAnsiTheme="minorHAnsi" w:cstheme="minorBidi"/>
          <w:b w:val="0"/>
          <w:bCs w:val="0"/>
          <w:color w:val="auto"/>
          <w:sz w:val="22"/>
          <w:szCs w:val="22"/>
        </w:rPr>
        <w:t>’ as columns. There are three tabs:</w:t>
      </w:r>
    </w:p>
    <w:p w:rsidR="0069664B" w:rsidRDefault="0069664B" w:rsidP="0069664B">
      <w:pPr>
        <w:pStyle w:val="ListParagraph"/>
        <w:numPr>
          <w:ilvl w:val="0"/>
          <w:numId w:val="1"/>
        </w:num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 w:val="0"/>
          <w:bCs w:val="0"/>
          <w:color w:val="auto"/>
          <w:sz w:val="22"/>
          <w:szCs w:val="22"/>
        </w:rPr>
        <w:t>A tab labeled ‘</w:t>
      </w:r>
      <w:r w:rsidRPr="003E6064">
        <w:rPr>
          <w:rStyle w:val="Heading2Char"/>
          <w:rFonts w:asciiTheme="minorHAnsi" w:eastAsiaTheme="minorHAnsi" w:hAnsiTheme="minorHAnsi" w:cstheme="minorBidi"/>
          <w:bCs w:val="0"/>
          <w:color w:val="auto"/>
          <w:sz w:val="22"/>
          <w:szCs w:val="22"/>
        </w:rPr>
        <w:t>Start</w:t>
      </w:r>
      <w:r>
        <w:rPr>
          <w:rStyle w:val="Heading2Char"/>
          <w:rFonts w:asciiTheme="minorHAnsi" w:eastAsiaTheme="minorHAnsi" w:hAnsiTheme="minorHAnsi" w:cstheme="minorBidi"/>
          <w:b w:val="0"/>
          <w:bCs w:val="0"/>
          <w:color w:val="auto"/>
          <w:sz w:val="22"/>
          <w:szCs w:val="22"/>
        </w:rPr>
        <w:t>’ which contains all forms where the field named ‘</w:t>
      </w:r>
      <w:proofErr w:type="spellStart"/>
      <w:r w:rsidRPr="003E6064">
        <w:rPr>
          <w:rStyle w:val="Heading2Char"/>
          <w:rFonts w:asciiTheme="minorHAnsi" w:eastAsiaTheme="minorHAnsi" w:hAnsiTheme="minorHAnsi" w:cstheme="minorBidi"/>
          <w:bCs w:val="0"/>
          <w:color w:val="auto"/>
          <w:sz w:val="22"/>
          <w:szCs w:val="22"/>
        </w:rPr>
        <w:t>FormState</w:t>
      </w:r>
      <w:proofErr w:type="spellEnd"/>
      <w:r>
        <w:rPr>
          <w:rStyle w:val="Heading2Char"/>
          <w:rFonts w:asciiTheme="minorHAnsi" w:eastAsiaTheme="minorHAnsi" w:hAnsiTheme="minorHAnsi" w:cstheme="minorBidi"/>
          <w:b w:val="0"/>
          <w:bCs w:val="0"/>
          <w:color w:val="auto"/>
          <w:sz w:val="22"/>
          <w:szCs w:val="22"/>
        </w:rPr>
        <w:t>’ is equal to “</w:t>
      </w:r>
      <w:r w:rsidRPr="003E6064">
        <w:rPr>
          <w:rStyle w:val="Heading2Char"/>
          <w:rFonts w:asciiTheme="minorHAnsi" w:eastAsiaTheme="minorHAnsi" w:hAnsiTheme="minorHAnsi" w:cstheme="minorBidi"/>
          <w:bCs w:val="0"/>
          <w:color w:val="auto"/>
          <w:sz w:val="22"/>
          <w:szCs w:val="22"/>
        </w:rPr>
        <w:t>Start</w:t>
      </w:r>
      <w:r>
        <w:rPr>
          <w:rStyle w:val="Heading2Char"/>
          <w:rFonts w:asciiTheme="minorHAnsi" w:eastAsiaTheme="minorHAnsi" w:hAnsiTheme="minorHAnsi" w:cstheme="minorBidi"/>
          <w:b w:val="0"/>
          <w:bCs w:val="0"/>
          <w:color w:val="auto"/>
          <w:sz w:val="22"/>
          <w:szCs w:val="22"/>
        </w:rPr>
        <w:t>”</w:t>
      </w:r>
    </w:p>
    <w:p w:rsidR="0069664B" w:rsidRDefault="0069664B" w:rsidP="0069664B">
      <w:pPr>
        <w:pStyle w:val="ListParagraph"/>
        <w:numPr>
          <w:ilvl w:val="0"/>
          <w:numId w:val="1"/>
        </w:num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 w:val="0"/>
          <w:bCs w:val="0"/>
          <w:color w:val="auto"/>
          <w:sz w:val="22"/>
          <w:szCs w:val="22"/>
        </w:rPr>
        <w:t>A tab labeled ‘</w:t>
      </w:r>
      <w:r w:rsidRPr="003E6064">
        <w:rPr>
          <w:rStyle w:val="Heading2Char"/>
          <w:rFonts w:asciiTheme="minorHAnsi" w:eastAsiaTheme="minorHAnsi" w:hAnsiTheme="minorHAnsi" w:cstheme="minorBidi"/>
          <w:bCs w:val="0"/>
          <w:color w:val="auto"/>
          <w:sz w:val="22"/>
          <w:szCs w:val="22"/>
        </w:rPr>
        <w:t>Review</w:t>
      </w:r>
      <w:r>
        <w:rPr>
          <w:rStyle w:val="Heading2Char"/>
          <w:rFonts w:asciiTheme="minorHAnsi" w:eastAsiaTheme="minorHAnsi" w:hAnsiTheme="minorHAnsi" w:cstheme="minorBidi"/>
          <w:b w:val="0"/>
          <w:bCs w:val="0"/>
          <w:color w:val="auto"/>
          <w:sz w:val="22"/>
          <w:szCs w:val="22"/>
        </w:rPr>
        <w:t>’ which contains all forms where the field named ‘</w:t>
      </w:r>
      <w:proofErr w:type="spellStart"/>
      <w:r w:rsidRPr="003E6064">
        <w:rPr>
          <w:rStyle w:val="Heading2Char"/>
          <w:rFonts w:asciiTheme="minorHAnsi" w:eastAsiaTheme="minorHAnsi" w:hAnsiTheme="minorHAnsi" w:cstheme="minorBidi"/>
          <w:bCs w:val="0"/>
          <w:color w:val="auto"/>
          <w:sz w:val="22"/>
          <w:szCs w:val="22"/>
        </w:rPr>
        <w:t>FormState</w:t>
      </w:r>
      <w:proofErr w:type="spellEnd"/>
      <w:r>
        <w:rPr>
          <w:rStyle w:val="Heading2Char"/>
          <w:rFonts w:asciiTheme="minorHAnsi" w:eastAsiaTheme="minorHAnsi" w:hAnsiTheme="minorHAnsi" w:cstheme="minorBidi"/>
          <w:b w:val="0"/>
          <w:bCs w:val="0"/>
          <w:color w:val="auto"/>
          <w:sz w:val="22"/>
          <w:szCs w:val="22"/>
        </w:rPr>
        <w:t>’ is equal to “</w:t>
      </w:r>
      <w:r w:rsidR="00245AFD" w:rsidRPr="003E6064">
        <w:rPr>
          <w:rStyle w:val="Heading2Char"/>
          <w:rFonts w:asciiTheme="minorHAnsi" w:eastAsiaTheme="minorHAnsi" w:hAnsiTheme="minorHAnsi" w:cstheme="minorBidi"/>
          <w:bCs w:val="0"/>
          <w:color w:val="auto"/>
          <w:sz w:val="22"/>
          <w:szCs w:val="22"/>
        </w:rPr>
        <w:t>Group1</w:t>
      </w:r>
      <w:r>
        <w:rPr>
          <w:rStyle w:val="Heading2Char"/>
          <w:rFonts w:asciiTheme="minorHAnsi" w:eastAsiaTheme="minorHAnsi" w:hAnsiTheme="minorHAnsi" w:cstheme="minorBidi"/>
          <w:b w:val="0"/>
          <w:bCs w:val="0"/>
          <w:color w:val="auto"/>
          <w:sz w:val="22"/>
          <w:szCs w:val="22"/>
        </w:rPr>
        <w:t>”</w:t>
      </w:r>
      <w:r w:rsidR="00245AFD">
        <w:rPr>
          <w:rStyle w:val="Heading2Char"/>
          <w:rFonts w:asciiTheme="minorHAnsi" w:eastAsiaTheme="minorHAnsi" w:hAnsiTheme="minorHAnsi" w:cstheme="minorBidi"/>
          <w:b w:val="0"/>
          <w:bCs w:val="0"/>
          <w:color w:val="auto"/>
          <w:sz w:val="22"/>
          <w:szCs w:val="22"/>
        </w:rPr>
        <w:t xml:space="preserve"> or “</w:t>
      </w:r>
      <w:r w:rsidR="00245AFD" w:rsidRPr="003E6064">
        <w:rPr>
          <w:rStyle w:val="Heading2Char"/>
          <w:rFonts w:asciiTheme="minorHAnsi" w:eastAsiaTheme="minorHAnsi" w:hAnsiTheme="minorHAnsi" w:cstheme="minorBidi"/>
          <w:bCs w:val="0"/>
          <w:color w:val="auto"/>
          <w:sz w:val="22"/>
          <w:szCs w:val="22"/>
        </w:rPr>
        <w:t>Group2</w:t>
      </w:r>
      <w:r w:rsidR="00245AFD">
        <w:rPr>
          <w:rStyle w:val="Heading2Char"/>
          <w:rFonts w:asciiTheme="minorHAnsi" w:eastAsiaTheme="minorHAnsi" w:hAnsiTheme="minorHAnsi" w:cstheme="minorBidi"/>
          <w:b w:val="0"/>
          <w:bCs w:val="0"/>
          <w:color w:val="auto"/>
          <w:sz w:val="22"/>
          <w:szCs w:val="22"/>
        </w:rPr>
        <w:t>”</w:t>
      </w:r>
    </w:p>
    <w:p w:rsidR="0069664B" w:rsidRPr="0069664B" w:rsidRDefault="00245AFD" w:rsidP="0069664B">
      <w:pPr>
        <w:pStyle w:val="ListParagraph"/>
        <w:numPr>
          <w:ilvl w:val="0"/>
          <w:numId w:val="1"/>
        </w:num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 w:val="0"/>
          <w:bCs w:val="0"/>
          <w:color w:val="auto"/>
          <w:sz w:val="22"/>
          <w:szCs w:val="22"/>
        </w:rPr>
        <w:t>A tab labeled ‘</w:t>
      </w:r>
      <w:r w:rsidRPr="003E6064">
        <w:rPr>
          <w:rStyle w:val="Heading2Char"/>
          <w:rFonts w:asciiTheme="minorHAnsi" w:eastAsiaTheme="minorHAnsi" w:hAnsiTheme="minorHAnsi" w:cstheme="minorBidi"/>
          <w:bCs w:val="0"/>
          <w:color w:val="auto"/>
          <w:sz w:val="22"/>
          <w:szCs w:val="22"/>
        </w:rPr>
        <w:t>Complete</w:t>
      </w:r>
      <w:r>
        <w:rPr>
          <w:rStyle w:val="Heading2Char"/>
          <w:rFonts w:asciiTheme="minorHAnsi" w:eastAsiaTheme="minorHAnsi" w:hAnsiTheme="minorHAnsi" w:cstheme="minorBidi"/>
          <w:b w:val="0"/>
          <w:bCs w:val="0"/>
          <w:color w:val="auto"/>
          <w:sz w:val="22"/>
          <w:szCs w:val="22"/>
        </w:rPr>
        <w:t>’ which contains all forms where the field named ‘</w:t>
      </w:r>
      <w:proofErr w:type="spellStart"/>
      <w:r w:rsidRPr="003E6064">
        <w:rPr>
          <w:rStyle w:val="Heading2Char"/>
          <w:rFonts w:asciiTheme="minorHAnsi" w:eastAsiaTheme="minorHAnsi" w:hAnsiTheme="minorHAnsi" w:cstheme="minorBidi"/>
          <w:bCs w:val="0"/>
          <w:color w:val="auto"/>
          <w:sz w:val="22"/>
          <w:szCs w:val="22"/>
        </w:rPr>
        <w:t>FormState</w:t>
      </w:r>
      <w:r>
        <w:rPr>
          <w:rStyle w:val="Heading2Char"/>
          <w:rFonts w:asciiTheme="minorHAnsi" w:eastAsiaTheme="minorHAnsi" w:hAnsiTheme="minorHAnsi" w:cstheme="minorBidi"/>
          <w:b w:val="0"/>
          <w:bCs w:val="0"/>
          <w:color w:val="auto"/>
          <w:sz w:val="22"/>
          <w:szCs w:val="22"/>
        </w:rPr>
        <w:t>’is</w:t>
      </w:r>
      <w:proofErr w:type="spellEnd"/>
      <w:r>
        <w:rPr>
          <w:rStyle w:val="Heading2Char"/>
          <w:rFonts w:asciiTheme="minorHAnsi" w:eastAsiaTheme="minorHAnsi" w:hAnsiTheme="minorHAnsi" w:cstheme="minorBidi"/>
          <w:b w:val="0"/>
          <w:bCs w:val="0"/>
          <w:color w:val="auto"/>
          <w:sz w:val="22"/>
          <w:szCs w:val="22"/>
        </w:rPr>
        <w:t xml:space="preserve"> equal to “</w:t>
      </w:r>
      <w:r w:rsidRPr="003E6064">
        <w:rPr>
          <w:rStyle w:val="Heading2Char"/>
          <w:rFonts w:asciiTheme="minorHAnsi" w:eastAsiaTheme="minorHAnsi" w:hAnsiTheme="minorHAnsi" w:cstheme="minorBidi"/>
          <w:bCs w:val="0"/>
          <w:color w:val="auto"/>
          <w:sz w:val="22"/>
          <w:szCs w:val="22"/>
        </w:rPr>
        <w:t>Complete</w:t>
      </w:r>
      <w:r>
        <w:rPr>
          <w:rStyle w:val="Heading2Char"/>
          <w:rFonts w:asciiTheme="minorHAnsi" w:eastAsiaTheme="minorHAnsi" w:hAnsiTheme="minorHAnsi" w:cstheme="minorBidi"/>
          <w:b w:val="0"/>
          <w:bCs w:val="0"/>
          <w:color w:val="auto"/>
          <w:sz w:val="22"/>
          <w:szCs w:val="22"/>
        </w:rPr>
        <w:t>”</w:t>
      </w:r>
    </w:p>
    <w:p w:rsidR="000C56DA" w:rsidRDefault="003E6064">
      <w:pPr>
        <w:rPr>
          <w:rStyle w:val="Heading2Char"/>
          <w:rFonts w:asciiTheme="minorHAnsi" w:eastAsiaTheme="minorHAnsi" w:hAnsiTheme="minorHAnsi" w:cstheme="minorBidi"/>
          <w:b w:val="0"/>
          <w:bCs w:val="0"/>
          <w:color w:val="auto"/>
          <w:sz w:val="22"/>
          <w:szCs w:val="22"/>
        </w:rPr>
      </w:pPr>
      <w:r>
        <w:rPr>
          <w:noProof/>
        </w:rPr>
        <w:drawing>
          <wp:inline distT="0" distB="0" distL="0" distR="0">
            <wp:extent cx="6858000" cy="2901462"/>
            <wp:effectExtent l="0" t="0" r="0" b="0"/>
            <wp:docPr id="3" name="Picture 3" descr="C:\Projects\Ltcp\trunk\Ltcp.Gwe\Docs\Gwe.DashboardWebPart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jects\Ltcp\trunk\Ltcp.Gwe\Docs\Gwe.DashboardWebPartDe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901462"/>
                    </a:xfrm>
                    <a:prstGeom prst="rect">
                      <a:avLst/>
                    </a:prstGeom>
                    <a:noFill/>
                    <a:ln>
                      <a:noFill/>
                    </a:ln>
                  </pic:spPr>
                </pic:pic>
              </a:graphicData>
            </a:graphic>
          </wp:inline>
        </w:drawing>
      </w:r>
    </w:p>
    <w:p w:rsidR="0089119F" w:rsidRDefault="000D47E1">
      <w:r w:rsidRPr="000D47E1">
        <w:rPr>
          <w:rStyle w:val="Heading2Char"/>
        </w:rPr>
        <w:lastRenderedPageBreak/>
        <w:t>GWE Deliverables</w:t>
      </w:r>
    </w:p>
    <w:p w:rsidR="000D47E1" w:rsidRDefault="000D47E1" w:rsidP="000D47E1">
      <w:pPr>
        <w:pStyle w:val="ListParagraph"/>
        <w:numPr>
          <w:ilvl w:val="0"/>
          <w:numId w:val="1"/>
        </w:numPr>
      </w:pPr>
      <w:r>
        <w:t>All source code</w:t>
      </w:r>
    </w:p>
    <w:p w:rsidR="000D47E1" w:rsidRDefault="000D47E1" w:rsidP="000D47E1">
      <w:pPr>
        <w:pStyle w:val="ListParagraph"/>
        <w:numPr>
          <w:ilvl w:val="0"/>
          <w:numId w:val="1"/>
        </w:numPr>
      </w:pPr>
      <w:r>
        <w:t>WSP containing GWE assemblies and custom UI</w:t>
      </w:r>
    </w:p>
    <w:p w:rsidR="000D47E1" w:rsidRDefault="000D47E1" w:rsidP="000D47E1">
      <w:pPr>
        <w:pStyle w:val="ListParagraph"/>
        <w:numPr>
          <w:ilvl w:val="0"/>
          <w:numId w:val="1"/>
        </w:numPr>
      </w:pPr>
      <w:r>
        <w:t>Documentation</w:t>
      </w:r>
    </w:p>
    <w:p w:rsidR="000D47E1" w:rsidRDefault="000D47E1" w:rsidP="000D47E1"/>
    <w:p w:rsidR="000D47E1" w:rsidRDefault="000D47E1"/>
    <w:sectPr w:rsidR="000D47E1" w:rsidSect="000E22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C0D"/>
    <w:multiLevelType w:val="hybridMultilevel"/>
    <w:tmpl w:val="8DB85D18"/>
    <w:lvl w:ilvl="0" w:tplc="F2681F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C688D"/>
    <w:multiLevelType w:val="hybridMultilevel"/>
    <w:tmpl w:val="18225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B57A8"/>
    <w:multiLevelType w:val="hybridMultilevel"/>
    <w:tmpl w:val="9198104A"/>
    <w:lvl w:ilvl="0" w:tplc="6F8262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7B1001"/>
    <w:multiLevelType w:val="hybridMultilevel"/>
    <w:tmpl w:val="18225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53"/>
    <w:rsid w:val="000C56DA"/>
    <w:rsid w:val="000D47E1"/>
    <w:rsid w:val="000E226E"/>
    <w:rsid w:val="001C29C6"/>
    <w:rsid w:val="00245AFD"/>
    <w:rsid w:val="00265347"/>
    <w:rsid w:val="002A3619"/>
    <w:rsid w:val="003E6064"/>
    <w:rsid w:val="00474C1F"/>
    <w:rsid w:val="005A5A89"/>
    <w:rsid w:val="0067471C"/>
    <w:rsid w:val="0069664B"/>
    <w:rsid w:val="007A0ABC"/>
    <w:rsid w:val="00805853"/>
    <w:rsid w:val="0089119F"/>
    <w:rsid w:val="009667E6"/>
    <w:rsid w:val="00990959"/>
    <w:rsid w:val="009A57CF"/>
    <w:rsid w:val="00A95E74"/>
    <w:rsid w:val="00B24732"/>
    <w:rsid w:val="00B939E6"/>
    <w:rsid w:val="00B97953"/>
    <w:rsid w:val="00C348BF"/>
    <w:rsid w:val="00C47A8D"/>
    <w:rsid w:val="00C726A3"/>
    <w:rsid w:val="00D50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7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1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47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71C"/>
    <w:pPr>
      <w:ind w:left="720"/>
      <w:contextualSpacing/>
    </w:pPr>
  </w:style>
  <w:style w:type="paragraph" w:styleId="BalloonText">
    <w:name w:val="Balloon Text"/>
    <w:basedOn w:val="Normal"/>
    <w:link w:val="BalloonTextChar"/>
    <w:uiPriority w:val="99"/>
    <w:semiHidden/>
    <w:unhideWhenUsed/>
    <w:rsid w:val="000E2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6E"/>
    <w:rPr>
      <w:rFonts w:ascii="Tahoma" w:hAnsi="Tahoma" w:cs="Tahoma"/>
      <w:sz w:val="16"/>
      <w:szCs w:val="16"/>
    </w:rPr>
  </w:style>
  <w:style w:type="character" w:customStyle="1" w:styleId="Heading2Char">
    <w:name w:val="Heading 2 Char"/>
    <w:basedOn w:val="DefaultParagraphFont"/>
    <w:link w:val="Heading2"/>
    <w:uiPriority w:val="9"/>
    <w:rsid w:val="008911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47E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D47E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D47E1"/>
    <w:pPr>
      <w:spacing w:after="0" w:line="240" w:lineRule="auto"/>
    </w:pPr>
  </w:style>
  <w:style w:type="paragraph" w:styleId="Title">
    <w:name w:val="Title"/>
    <w:basedOn w:val="Normal"/>
    <w:next w:val="Normal"/>
    <w:link w:val="TitleChar"/>
    <w:uiPriority w:val="10"/>
    <w:qFormat/>
    <w:rsid w:val="000D47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7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D50A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7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1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47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71C"/>
    <w:pPr>
      <w:ind w:left="720"/>
      <w:contextualSpacing/>
    </w:pPr>
  </w:style>
  <w:style w:type="paragraph" w:styleId="BalloonText">
    <w:name w:val="Balloon Text"/>
    <w:basedOn w:val="Normal"/>
    <w:link w:val="BalloonTextChar"/>
    <w:uiPriority w:val="99"/>
    <w:semiHidden/>
    <w:unhideWhenUsed/>
    <w:rsid w:val="000E2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6E"/>
    <w:rPr>
      <w:rFonts w:ascii="Tahoma" w:hAnsi="Tahoma" w:cs="Tahoma"/>
      <w:sz w:val="16"/>
      <w:szCs w:val="16"/>
    </w:rPr>
  </w:style>
  <w:style w:type="character" w:customStyle="1" w:styleId="Heading2Char">
    <w:name w:val="Heading 2 Char"/>
    <w:basedOn w:val="DefaultParagraphFont"/>
    <w:link w:val="Heading2"/>
    <w:uiPriority w:val="9"/>
    <w:rsid w:val="008911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47E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D47E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D47E1"/>
    <w:pPr>
      <w:spacing w:after="0" w:line="240" w:lineRule="auto"/>
    </w:pPr>
  </w:style>
  <w:style w:type="paragraph" w:styleId="Title">
    <w:name w:val="Title"/>
    <w:basedOn w:val="Normal"/>
    <w:next w:val="Normal"/>
    <w:link w:val="TitleChar"/>
    <w:uiPriority w:val="10"/>
    <w:qFormat/>
    <w:rsid w:val="000D47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7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D50A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19460">
      <w:bodyDiv w:val="1"/>
      <w:marLeft w:val="0"/>
      <w:marRight w:val="0"/>
      <w:marTop w:val="0"/>
      <w:marBottom w:val="0"/>
      <w:divBdr>
        <w:top w:val="none" w:sz="0" w:space="0" w:color="auto"/>
        <w:left w:val="none" w:sz="0" w:space="0" w:color="auto"/>
        <w:bottom w:val="none" w:sz="0" w:space="0" w:color="auto"/>
        <w:right w:val="none" w:sz="0" w:space="0" w:color="auto"/>
      </w:divBdr>
      <w:divsChild>
        <w:div w:id="1450858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www.reallifedata.com/KeyboardGrid/dem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1253</TotalTime>
  <Pages>8</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Peter Weissbrod</cp:lastModifiedBy>
  <cp:revision>10</cp:revision>
  <dcterms:created xsi:type="dcterms:W3CDTF">2011-10-18T12:29:00Z</dcterms:created>
  <dcterms:modified xsi:type="dcterms:W3CDTF">2013-09-06T19:28:00Z</dcterms:modified>
</cp:coreProperties>
</file>