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0CDAA" w14:textId="02E99611" w:rsidR="00A37105" w:rsidRPr="007639CD" w:rsidRDefault="00AD2642" w:rsidP="007639CD">
      <w:pPr>
        <w:spacing w:after="12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7639CD">
        <w:rPr>
          <w:rFonts w:ascii="Times New Roman" w:hAnsi="Times New Roman" w:cs="Times New Roman"/>
          <w:b/>
        </w:rPr>
        <w:t>Online Resource 1</w:t>
      </w:r>
      <w:r w:rsidR="00A37105" w:rsidRPr="007639CD">
        <w:rPr>
          <w:rFonts w:ascii="Times New Roman" w:hAnsi="Times New Roman" w:cs="Times New Roman"/>
          <w:b/>
        </w:rPr>
        <w:t xml:space="preserve">: </w:t>
      </w:r>
      <w:r w:rsidR="00A37105" w:rsidRPr="007639CD">
        <w:rPr>
          <w:rFonts w:ascii="Times New Roman" w:hAnsi="Times New Roman" w:cs="Times New Roman"/>
        </w:rPr>
        <w:t xml:space="preserve">This section provides a brief description of the metrics derived in this study. Metrics are grouped according to the characteristics they measure, although there is some overlap between categories. </w:t>
      </w:r>
      <w:r w:rsidR="00FA6FAB" w:rsidRPr="007639CD">
        <w:rPr>
          <w:rFonts w:ascii="Times New Roman" w:hAnsi="Times New Roman" w:cs="Times New Roman"/>
        </w:rPr>
        <w:t>Many of these metrics are based on 2D analogue landscape metrics in FRAGSTATS (</w:t>
      </w:r>
      <w:proofErr w:type="spellStart"/>
      <w:r w:rsidR="00FA6FAB" w:rsidRPr="007639CD">
        <w:rPr>
          <w:rFonts w:ascii="Times New Roman" w:hAnsi="Times New Roman" w:cs="Times New Roman"/>
        </w:rPr>
        <w:t>McGarigal</w:t>
      </w:r>
      <w:proofErr w:type="spellEnd"/>
      <w:r w:rsidR="00FA6FAB" w:rsidRPr="007639CD">
        <w:rPr>
          <w:rFonts w:ascii="Times New Roman" w:hAnsi="Times New Roman" w:cs="Times New Roman"/>
        </w:rPr>
        <w:t xml:space="preserve"> et al. 20</w:t>
      </w:r>
      <w:r w:rsidR="000F74F6" w:rsidRPr="007639CD">
        <w:rPr>
          <w:rFonts w:ascii="Times New Roman" w:hAnsi="Times New Roman" w:cs="Times New Roman"/>
        </w:rPr>
        <w:t>12</w:t>
      </w:r>
      <w:r w:rsidR="00FA6FAB" w:rsidRPr="007639CD">
        <w:rPr>
          <w:rFonts w:ascii="Times New Roman" w:hAnsi="Times New Roman" w:cs="Times New Roman"/>
        </w:rPr>
        <w:t xml:space="preserve">). </w:t>
      </w:r>
      <w:r w:rsidR="002646BD">
        <w:rPr>
          <w:rFonts w:ascii="Times New Roman" w:hAnsi="Times New Roman" w:cs="Times New Roman"/>
        </w:rPr>
        <w:t xml:space="preserve">We index individual pixels with </w:t>
      </w:r>
      <w:r w:rsidR="002646BD">
        <w:rPr>
          <w:rFonts w:ascii="Times New Roman" w:hAnsi="Times New Roman" w:cs="Times New Roman"/>
          <w:i/>
        </w:rPr>
        <w:t>p,</w:t>
      </w:r>
      <w:r w:rsidR="002646BD">
        <w:rPr>
          <w:rFonts w:ascii="Times New Roman" w:hAnsi="Times New Roman" w:cs="Times New Roman"/>
        </w:rPr>
        <w:t xml:space="preserve"> individual objects with </w:t>
      </w:r>
      <w:proofErr w:type="spellStart"/>
      <w:r w:rsidR="002646BD">
        <w:rPr>
          <w:rFonts w:ascii="Times New Roman" w:hAnsi="Times New Roman" w:cs="Times New Roman"/>
          <w:i/>
        </w:rPr>
        <w:t>i</w:t>
      </w:r>
      <w:proofErr w:type="spellEnd"/>
      <w:r w:rsidR="002646BD">
        <w:rPr>
          <w:rFonts w:ascii="Times New Roman" w:hAnsi="Times New Roman" w:cs="Times New Roman"/>
        </w:rPr>
        <w:t xml:space="preserve">, and classes of objects with </w:t>
      </w:r>
      <w:r w:rsidR="002646BD">
        <w:rPr>
          <w:rFonts w:ascii="Times New Roman" w:hAnsi="Times New Roman" w:cs="Times New Roman"/>
          <w:i/>
        </w:rPr>
        <w:t>j</w:t>
      </w:r>
      <w:r w:rsidR="002646BD">
        <w:rPr>
          <w:rFonts w:ascii="Times New Roman" w:hAnsi="Times New Roman" w:cs="Times New Roman"/>
        </w:rPr>
        <w:t>.</w:t>
      </w:r>
      <w:r w:rsidR="002646BD">
        <w:rPr>
          <w:rFonts w:ascii="Times New Roman" w:hAnsi="Times New Roman" w:cs="Times New Roman"/>
          <w:i/>
        </w:rPr>
        <w:t xml:space="preserve">  </w:t>
      </w:r>
      <w:r w:rsidR="00A37105" w:rsidRPr="007639CD">
        <w:rPr>
          <w:rFonts w:ascii="Times New Roman" w:hAnsi="Times New Roman" w:cs="Times New Roman"/>
        </w:rPr>
        <w:t xml:space="preserve">We first describe the </w:t>
      </w:r>
      <w:r w:rsidRPr="007639CD">
        <w:rPr>
          <w:rFonts w:ascii="Times New Roman" w:hAnsi="Times New Roman" w:cs="Times New Roman"/>
        </w:rPr>
        <w:t>three</w:t>
      </w:r>
      <w:r w:rsidR="00A37105" w:rsidRPr="007639CD">
        <w:rPr>
          <w:rFonts w:ascii="Times New Roman" w:hAnsi="Times New Roman" w:cs="Times New Roman"/>
        </w:rPr>
        <w:t xml:space="preserve"> </w:t>
      </w:r>
      <w:r w:rsidRPr="007639CD">
        <w:rPr>
          <w:rFonts w:ascii="Times New Roman" w:hAnsi="Times New Roman" w:cs="Times New Roman"/>
        </w:rPr>
        <w:t>fundamental</w:t>
      </w:r>
      <w:r w:rsidR="00A37105" w:rsidRPr="007639CD">
        <w:rPr>
          <w:rFonts w:ascii="Times New Roman" w:hAnsi="Times New Roman" w:cs="Times New Roman"/>
        </w:rPr>
        <w:t xml:space="preserve"> metrics that provide a basis for the derivation of </w:t>
      </w:r>
      <w:r w:rsidRPr="007639CD">
        <w:rPr>
          <w:rFonts w:ascii="Times New Roman" w:hAnsi="Times New Roman" w:cs="Times New Roman"/>
        </w:rPr>
        <w:t>the other metrics</w:t>
      </w:r>
      <w:r w:rsidR="00A37105" w:rsidRPr="007639CD">
        <w:rPr>
          <w:rFonts w:ascii="Times New Roman" w:hAnsi="Times New Roman" w:cs="Times New Roman"/>
        </w:rPr>
        <w:t>.</w:t>
      </w:r>
    </w:p>
    <w:p w14:paraId="7D0ED1C3" w14:textId="39BAA21A" w:rsidR="006B5A8F" w:rsidRPr="009B10CC" w:rsidRDefault="00AD2642" w:rsidP="007639C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10CC">
        <w:rPr>
          <w:rFonts w:ascii="Times New Roman" w:hAnsi="Times New Roman" w:cs="Times New Roman"/>
          <w:b/>
          <w:sz w:val="28"/>
        </w:rPr>
        <w:t>Fundamental</w:t>
      </w:r>
      <w:r w:rsidR="006136B8" w:rsidRPr="009B10CC">
        <w:rPr>
          <w:rFonts w:ascii="Times New Roman" w:hAnsi="Times New Roman" w:cs="Times New Roman"/>
          <w:b/>
          <w:sz w:val="28"/>
        </w:rPr>
        <w:t xml:space="preserve"> </w:t>
      </w:r>
      <w:r w:rsidR="00CD2D26" w:rsidRPr="009B10CC">
        <w:rPr>
          <w:rFonts w:ascii="Times New Roman" w:hAnsi="Times New Roman" w:cs="Times New Roman"/>
          <w:b/>
          <w:sz w:val="28"/>
        </w:rPr>
        <w:t>Metrics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786EAF" w14:paraId="270A3EC1" w14:textId="77777777" w:rsidTr="003835F5">
        <w:tc>
          <w:tcPr>
            <w:tcW w:w="2515" w:type="dxa"/>
          </w:tcPr>
          <w:p w14:paraId="0B7B639E" w14:textId="77777777" w:rsidR="00F45D79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 xml:space="preserve">Number of Objects </w:t>
            </w:r>
          </w:p>
          <w:p w14:paraId="4D75CBFC" w14:textId="4A2513F4" w:rsidR="00786EAF" w:rsidRPr="00786EAF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(NO)</w:t>
            </w:r>
          </w:p>
        </w:tc>
        <w:tc>
          <w:tcPr>
            <w:tcW w:w="6930" w:type="dxa"/>
          </w:tcPr>
          <w:p w14:paraId="4684944B" w14:textId="4EC3B486" w:rsidR="00786EAF" w:rsidRPr="007639CD" w:rsidRDefault="00786EAF" w:rsidP="00786EA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discrete objects, computed as </w:t>
            </w:r>
            <w:r w:rsidRPr="007639CD">
              <w:rPr>
                <w:rFonts w:ascii="Times New Roman" w:hAnsi="Times New Roman" w:cs="Times New Roman"/>
              </w:rPr>
              <w:t>the number of objects</w:t>
            </w:r>
            <w:r w:rsidR="00543A9B">
              <w:rPr>
                <w:rFonts w:ascii="Times New Roman" w:hAnsi="Times New Roman" w:cs="Times New Roman"/>
              </w:rPr>
              <w:t xml:space="preserve"> </w:t>
            </w:r>
            <w:r w:rsidRPr="007639CD">
              <w:rPr>
                <w:rFonts w:ascii="Times New Roman" w:hAnsi="Times New Roman" w:cs="Times New Roman"/>
              </w:rPr>
              <w:t>of the corresponding object type (class)</w:t>
            </w:r>
            <w:r w:rsidR="008E593F">
              <w:rPr>
                <w:rFonts w:ascii="Times New Roman" w:hAnsi="Times New Roman" w:cs="Times New Roman"/>
              </w:rPr>
              <w:t xml:space="preserve"> </w:t>
            </w:r>
            <w:r w:rsidR="008E593F">
              <w:rPr>
                <w:rFonts w:ascii="Times New Roman" w:hAnsi="Times New Roman" w:cs="Times New Roman"/>
                <w:i/>
              </w:rPr>
              <w:t>j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8E593F">
              <w:rPr>
                <w:rFonts w:ascii="Times New Roman" w:eastAsiaTheme="minorEastAsia" w:hAnsi="Times New Roman" w:cs="Times New Roman"/>
              </w:rPr>
              <w:t>in the landscape</w:t>
            </w:r>
          </w:p>
          <w:p w14:paraId="54DC6B39" w14:textId="7AA6B696" w:rsidR="00786EAF" w:rsidRPr="00424E40" w:rsidRDefault="00786EAF" w:rsidP="00F63F50">
            <w:pPr>
              <w:spacing w:after="12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NO=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</w:tr>
      <w:tr w:rsidR="00786EAF" w14:paraId="670E939A" w14:textId="77777777" w:rsidTr="003835F5">
        <w:tc>
          <w:tcPr>
            <w:tcW w:w="2515" w:type="dxa"/>
          </w:tcPr>
          <w:p w14:paraId="2D58FE6B" w14:textId="77777777" w:rsidR="00F45D79" w:rsidRDefault="00786EAF" w:rsidP="00F45D79">
            <w:pPr>
              <w:rPr>
                <w:rFonts w:ascii="Times New Roman" w:eastAsiaTheme="minorEastAsia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 xml:space="preserve">Surface Area </w:t>
            </w:r>
          </w:p>
          <w:p w14:paraId="4F162BCF" w14:textId="4D00A8CF" w:rsidR="00786EAF" w:rsidRPr="00786EAF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>(SA)</w:t>
            </w:r>
          </w:p>
        </w:tc>
        <w:tc>
          <w:tcPr>
            <w:tcW w:w="6930" w:type="dxa"/>
          </w:tcPr>
          <w:p w14:paraId="37C52C69" w14:textId="6615C9EE" w:rsidR="00786EAF" w:rsidRPr="00BA43BD" w:rsidRDefault="00C86F15" w:rsidP="00786EAF">
            <w:pPr>
              <w:spacing w:after="120"/>
              <w:rPr>
                <w:rFonts w:ascii="Times New Roman" w:hAnsi="Times New Roman" w:cs="Times New Roman"/>
              </w:rPr>
            </w:pPr>
            <w:r w:rsidRPr="00BA43BD">
              <w:rPr>
                <w:rFonts w:ascii="Times New Roman" w:hAnsi="Times New Roman" w:cs="Times New Roman"/>
              </w:rPr>
              <w:t>The</w:t>
            </w:r>
            <w:r w:rsidR="00786EAF" w:rsidRPr="00BA43BD">
              <w:rPr>
                <w:rFonts w:ascii="Times New Roman" w:hAnsi="Times New Roman" w:cs="Times New Roman"/>
              </w:rPr>
              <w:t xml:space="preserve"> surface area </w:t>
            </w:r>
            <w:r w:rsidR="00786EAF" w:rsidRPr="00BA43BD">
              <w:rPr>
                <w:rFonts w:ascii="Times New Roman" w:eastAsiaTheme="minorEastAsia" w:hAnsi="Times New Roman" w:cs="Times New Roman"/>
              </w:rPr>
              <w:t>(m</w:t>
            </w:r>
            <w:r w:rsidR="00786EAF" w:rsidRPr="00BA43BD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786EAF" w:rsidRPr="00BA43BD">
              <w:rPr>
                <w:rFonts w:ascii="Times New Roman" w:eastAsiaTheme="minorEastAsia" w:hAnsi="Times New Roman" w:cs="Times New Roman"/>
              </w:rPr>
              <w:t xml:space="preserve">) of a 3D object.  </w:t>
            </w:r>
            <w:r w:rsidR="00786EAF" w:rsidRPr="00BA43BD">
              <w:rPr>
                <w:rFonts w:ascii="Times New Roman" w:eastAsiaTheme="minorEastAsia" w:hAnsi="Times New Roman" w:cs="Times New Roman"/>
                <w:i/>
              </w:rPr>
              <w:t>SA</w:t>
            </w:r>
            <w:r w:rsidR="00786EAF" w:rsidRPr="00BA43BD">
              <w:rPr>
                <w:rFonts w:ascii="Times New Roman" w:eastAsiaTheme="minorEastAsia" w:hAnsi="Times New Roman" w:cs="Times New Roman"/>
              </w:rPr>
              <w:t xml:space="preserve"> </w:t>
            </w:r>
            <w:r w:rsidR="00786EAF" w:rsidRPr="00BA43BD">
              <w:rPr>
                <w:rFonts w:ascii="Times New Roman" w:hAnsi="Times New Roman" w:cs="Times New Roman"/>
              </w:rPr>
              <w:t>ranges [0, ∞] and is bounded by the total volume of the study area</w:t>
            </w:r>
            <w:r w:rsidR="009E784D" w:rsidRPr="00BA43BD">
              <w:rPr>
                <w:rFonts w:ascii="Times New Roman" w:hAnsi="Times New Roman" w:cs="Times New Roman"/>
              </w:rPr>
              <w:t xml:space="preserve">, 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where </w:t>
            </w:r>
            <w:proofErr w:type="spellStart"/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>h</w:t>
            </w:r>
            <w:r w:rsidR="008E593F" w:rsidRPr="00BA43BD">
              <w:rPr>
                <w:rFonts w:ascii="Times New Roman" w:eastAsiaTheme="minorEastAsia" w:hAnsi="Times New Roman" w:cs="Times New Roman"/>
                <w:i/>
                <w:vertAlign w:val="subscript"/>
              </w:rPr>
              <w:t>p</w:t>
            </w:r>
            <w:proofErr w:type="spellEnd"/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</w:t>
            </w:r>
            <w:r w:rsidR="008E593F" w:rsidRPr="00BA43BD">
              <w:rPr>
                <w:rFonts w:ascii="Times New Roman" w:eastAsiaTheme="minorEastAsia" w:hAnsi="Times New Roman" w:cs="Times New Roman"/>
              </w:rPr>
              <w:t xml:space="preserve">and </w:t>
            </w:r>
            <w:proofErr w:type="spellStart"/>
            <w:r w:rsidR="008E593F" w:rsidRPr="00BA43BD">
              <w:rPr>
                <w:rFonts w:ascii="Times New Roman" w:eastAsiaTheme="minorEastAsia" w:hAnsi="Times New Roman" w:cs="Times New Roman"/>
                <w:i/>
              </w:rPr>
              <w:t>w</w:t>
            </w:r>
            <w:r w:rsidR="008E593F" w:rsidRPr="00BA43BD">
              <w:rPr>
                <w:rFonts w:ascii="Times New Roman" w:eastAsiaTheme="minorEastAsia" w:hAnsi="Times New Roman" w:cs="Times New Roman"/>
                <w:i/>
                <w:vertAlign w:val="subscript"/>
              </w:rPr>
              <w:t>p</w:t>
            </w:r>
            <w:proofErr w:type="spellEnd"/>
            <w:r w:rsidR="008E593F" w:rsidRPr="00BA43BD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8E593F" w:rsidRPr="00BA43BD">
              <w:rPr>
                <w:rFonts w:ascii="Times New Roman" w:eastAsiaTheme="minorEastAsia" w:hAnsi="Times New Roman" w:cs="Times New Roman"/>
              </w:rPr>
              <w:t>are the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height </w:t>
            </w:r>
            <w:r w:rsidR="008E593F" w:rsidRPr="00BA43BD">
              <w:rPr>
                <w:rFonts w:ascii="Times New Roman" w:eastAsiaTheme="minorEastAsia" w:hAnsi="Times New Roman" w:cs="Times New Roman"/>
              </w:rPr>
              <w:t xml:space="preserve">and width 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of </w:t>
            </w:r>
            <w:r w:rsidR="008E593F" w:rsidRPr="00BA43BD">
              <w:rPr>
                <w:rFonts w:ascii="Times New Roman" w:eastAsiaTheme="minorEastAsia" w:hAnsi="Times New Roman" w:cs="Times New Roman"/>
              </w:rPr>
              <w:t>a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pixel </w:t>
            </w:r>
            <w:r w:rsidRPr="00BA43BD">
              <w:rPr>
                <w:rFonts w:ascii="Times New Roman" w:eastAsiaTheme="minorEastAsia" w:hAnsi="Times New Roman" w:cs="Times New Roman"/>
                <w:i/>
              </w:rPr>
              <w:t>p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that intersect the boundary of the 2D spatial footprint</w:t>
            </w:r>
            <w:r w:rsidR="00362C2D" w:rsidRPr="00BA43BD">
              <w:rPr>
                <w:rFonts w:ascii="Times New Roman" w:eastAsiaTheme="minorEastAsia" w:hAnsi="Times New Roman" w:cs="Times New Roman"/>
              </w:rPr>
              <w:t xml:space="preserve">, </w:t>
            </w:r>
            <w:r w:rsidR="00690615">
              <w:rPr>
                <w:rFonts w:ascii="Times New Roman" w:eastAsiaTheme="minorEastAsia" w:hAnsi="Times New Roman" w:cs="Times New Roman"/>
                <w:i/>
              </w:rPr>
              <w:t>F</w:t>
            </w:r>
            <w:r w:rsidR="00362C2D" w:rsidRPr="00BA43BD">
              <w:rPr>
                <w:rFonts w:ascii="Times New Roman" w:eastAsiaTheme="minorEastAsia" w:hAnsi="Times New Roman" w:cs="Times New Roman"/>
                <w:i/>
              </w:rPr>
              <w:t>,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of object </w:t>
            </w:r>
            <w:proofErr w:type="spellStart"/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>i</w:t>
            </w:r>
            <w:proofErr w:type="spellEnd"/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</w:t>
            </w:r>
            <w:r w:rsidR="009E784D" w:rsidRPr="00BA43BD">
              <w:rPr>
                <w:rFonts w:ascii="Times New Roman" w:hAnsi="Times New Roman" w:cs="Times New Roman"/>
              </w:rPr>
              <w:t xml:space="preserve">(to calculate the area of object sides), and </w:t>
            </w:r>
            <w:proofErr w:type="spellStart"/>
            <w:r w:rsidR="009E784D" w:rsidRPr="00BA43BD">
              <w:rPr>
                <w:rFonts w:ascii="Times New Roman" w:hAnsi="Times New Roman" w:cs="Times New Roman"/>
                <w:i/>
              </w:rPr>
              <w:t>a</w:t>
            </w:r>
            <w:r w:rsidR="009E784D" w:rsidRPr="00BA43BD">
              <w:rPr>
                <w:rFonts w:ascii="Times New Roman" w:hAnsi="Times New Roman" w:cs="Times New Roman"/>
                <w:i/>
                <w:vertAlign w:val="subscript"/>
              </w:rPr>
              <w:t>p</w:t>
            </w:r>
            <w:proofErr w:type="spellEnd"/>
            <w:r w:rsidR="009E784D" w:rsidRPr="00BA43BD">
              <w:rPr>
                <w:rFonts w:ascii="Times New Roman" w:hAnsi="Times New Roman" w:cs="Times New Roman"/>
              </w:rPr>
              <w:t xml:space="preserve"> is the area of pixels </w:t>
            </w:r>
            <w:r w:rsidRPr="00BA43BD">
              <w:rPr>
                <w:rFonts w:ascii="Times New Roman" w:eastAsiaTheme="minorEastAsia" w:hAnsi="Times New Roman" w:cs="Times New Roman"/>
              </w:rPr>
              <w:t xml:space="preserve">within 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the 2D spatial footprint object </w:t>
            </w:r>
            <w:proofErr w:type="spellStart"/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>i</w:t>
            </w:r>
            <w:proofErr w:type="spellEnd"/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(to approximate the top of the object).  </w:t>
            </w:r>
          </w:p>
          <w:p w14:paraId="502CF061" w14:textId="05158D44" w:rsidR="00786EAF" w:rsidRPr="00786EAF" w:rsidRDefault="006E0AB1" w:rsidP="00543A9B">
            <w:pPr>
              <w:spacing w:after="12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p∩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p∈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786EAF" w14:paraId="0040A305" w14:textId="77777777" w:rsidTr="003835F5">
        <w:tc>
          <w:tcPr>
            <w:tcW w:w="2515" w:type="dxa"/>
          </w:tcPr>
          <w:p w14:paraId="6BF26459" w14:textId="77777777" w:rsidR="00F45D79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 xml:space="preserve">Volume </w:t>
            </w:r>
          </w:p>
          <w:p w14:paraId="35415708" w14:textId="1A7A96A8" w:rsidR="00786EAF" w:rsidRPr="00786EAF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(VOL)</w:t>
            </w:r>
          </w:p>
        </w:tc>
        <w:tc>
          <w:tcPr>
            <w:tcW w:w="6930" w:type="dxa"/>
          </w:tcPr>
          <w:p w14:paraId="0FAE5856" w14:textId="26D9225A" w:rsidR="00786EAF" w:rsidRPr="007639CD" w:rsidRDefault="00C86F15" w:rsidP="00786EAF">
            <w:pPr>
              <w:spacing w:after="120"/>
              <w:rPr>
                <w:rFonts w:ascii="Times New Roman" w:hAnsi="Times New Roman" w:cs="Times New Roman"/>
              </w:rPr>
            </w:pPr>
            <w:r w:rsidRPr="00BA43BD">
              <w:rPr>
                <w:rFonts w:ascii="Times New Roman" w:hAnsi="Times New Roman" w:cs="Times New Roman"/>
              </w:rPr>
              <w:t>The volume (</w:t>
            </w:r>
            <w:r w:rsidR="00786EAF" w:rsidRPr="00BA43BD">
              <w:rPr>
                <w:rFonts w:ascii="Times New Roman" w:hAnsi="Times New Roman" w:cs="Times New Roman"/>
              </w:rPr>
              <w:t>m</w:t>
            </w:r>
            <w:r w:rsidR="00786EAF" w:rsidRPr="00BA43BD">
              <w:rPr>
                <w:rFonts w:ascii="Times New Roman" w:hAnsi="Times New Roman" w:cs="Times New Roman"/>
                <w:vertAlign w:val="superscript"/>
              </w:rPr>
              <w:t>3</w:t>
            </w:r>
            <w:r w:rsidRPr="00BA43BD">
              <w:rPr>
                <w:rFonts w:ascii="Times New Roman" w:hAnsi="Times New Roman" w:cs="Times New Roman"/>
              </w:rPr>
              <w:t xml:space="preserve">) </w:t>
            </w:r>
            <w:r w:rsidR="008E593F" w:rsidRPr="00BA43BD">
              <w:rPr>
                <w:rFonts w:ascii="Times New Roman" w:hAnsi="Times New Roman" w:cs="Times New Roman"/>
              </w:rPr>
              <w:t xml:space="preserve">of a 3D object. </w:t>
            </w:r>
            <w:r w:rsidR="00786EAF" w:rsidRPr="00BA43BD">
              <w:rPr>
                <w:rFonts w:ascii="Times New Roman" w:hAnsi="Times New Roman" w:cs="Times New Roman"/>
                <w:i/>
              </w:rPr>
              <w:t>VOL</w:t>
            </w:r>
            <w:r w:rsidR="00786EAF" w:rsidRPr="00BA43BD">
              <w:rPr>
                <w:rFonts w:ascii="Times New Roman" w:hAnsi="Times New Roman" w:cs="Times New Roman"/>
              </w:rPr>
              <w:t xml:space="preserve"> ranges [0, ∞] and is bounded by the t</w:t>
            </w:r>
            <w:r w:rsidR="00944341" w:rsidRPr="00BA43BD">
              <w:rPr>
                <w:rFonts w:ascii="Times New Roman" w:hAnsi="Times New Roman" w:cs="Times New Roman"/>
              </w:rPr>
              <w:t xml:space="preserve">otal volume of the study area.  For the calculation of </w:t>
            </w:r>
            <w:r w:rsidR="00944341" w:rsidRPr="00BA43BD">
              <w:rPr>
                <w:rFonts w:ascii="Times New Roman" w:hAnsi="Times New Roman" w:cs="Times New Roman"/>
                <w:i/>
              </w:rPr>
              <w:t xml:space="preserve">VOL, </w:t>
            </w:r>
            <w:proofErr w:type="spellStart"/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9E784D" w:rsidRPr="00BA43BD">
              <w:rPr>
                <w:rFonts w:ascii="Times New Roman" w:eastAsiaTheme="minorEastAsia" w:hAnsi="Times New Roman" w:cs="Times New Roman"/>
                <w:i/>
                <w:vertAlign w:val="subscript"/>
              </w:rPr>
              <w:t>p</w:t>
            </w:r>
            <w:proofErr w:type="spellEnd"/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and </w:t>
            </w:r>
            <w:proofErr w:type="spellStart"/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>h</w:t>
            </w:r>
            <w:r w:rsidR="009E784D" w:rsidRPr="00BA43BD">
              <w:rPr>
                <w:rFonts w:ascii="Times New Roman" w:eastAsiaTheme="minorEastAsia" w:hAnsi="Times New Roman" w:cs="Times New Roman"/>
                <w:i/>
                <w:vertAlign w:val="subscript"/>
              </w:rPr>
              <w:t>p</w:t>
            </w:r>
            <w:proofErr w:type="spellEnd"/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>are the area and height of pixel</w:t>
            </w:r>
            <w:r w:rsidR="00944341" w:rsidRPr="00BA43BD">
              <w:rPr>
                <w:rFonts w:ascii="Times New Roman" w:eastAsiaTheme="minorEastAsia" w:hAnsi="Times New Roman" w:cs="Times New Roman"/>
              </w:rPr>
              <w:t>s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</w:t>
            </w:r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>p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, </w:t>
            </w:r>
            <w:r w:rsidR="00944341" w:rsidRPr="00BA43BD">
              <w:rPr>
                <w:rFonts w:ascii="Times New Roman" w:eastAsiaTheme="minorEastAsia" w:hAnsi="Times New Roman" w:cs="Times New Roman"/>
              </w:rPr>
              <w:t>within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the 2D spatial footprint, </w:t>
            </w:r>
            <w:r w:rsidR="00690615">
              <w:rPr>
                <w:rFonts w:ascii="Times New Roman" w:eastAsiaTheme="minorEastAsia" w:hAnsi="Times New Roman" w:cs="Times New Roman"/>
                <w:i/>
              </w:rPr>
              <w:t>F</w:t>
            </w:r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>,</w:t>
            </w:r>
            <w:r w:rsidR="009E784D" w:rsidRPr="00BA43BD">
              <w:rPr>
                <w:rFonts w:ascii="Times New Roman" w:eastAsiaTheme="minorEastAsia" w:hAnsi="Times New Roman" w:cs="Times New Roman"/>
              </w:rPr>
              <w:t xml:space="preserve"> of object </w:t>
            </w:r>
            <w:proofErr w:type="spellStart"/>
            <w:r w:rsidR="009E784D" w:rsidRPr="00BA43BD">
              <w:rPr>
                <w:rFonts w:ascii="Times New Roman" w:eastAsiaTheme="minorEastAsia" w:hAnsi="Times New Roman" w:cs="Times New Roman"/>
                <w:i/>
              </w:rPr>
              <w:t>i</w:t>
            </w:r>
            <w:proofErr w:type="spellEnd"/>
            <w:r w:rsidR="009E784D" w:rsidRPr="007639CD">
              <w:rPr>
                <w:rFonts w:ascii="Times New Roman" w:eastAsiaTheme="minorEastAsia" w:hAnsi="Times New Roman" w:cs="Times New Roman"/>
                <w:i/>
              </w:rPr>
              <w:t xml:space="preserve">. </w:t>
            </w:r>
            <w:r w:rsidR="009E784D" w:rsidRPr="007639CD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B4D519D" w14:textId="4FB25BA4" w:rsidR="00786EAF" w:rsidRPr="00786EAF" w:rsidRDefault="006E0AB1" w:rsidP="00786EAF">
            <w:pPr>
              <w:spacing w:after="12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VOL=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p∈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14:paraId="65C41A06" w14:textId="562EB81B" w:rsidR="007639CD" w:rsidRPr="007639CD" w:rsidRDefault="007639CD" w:rsidP="007639CD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14:paraId="06DD2557" w14:textId="146F236E" w:rsidR="00786EAF" w:rsidRPr="00786EAF" w:rsidRDefault="007639CD" w:rsidP="00786EAF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6EAF">
        <w:rPr>
          <w:rFonts w:ascii="Times New Roman" w:hAnsi="Times New Roman" w:cs="Times New Roman"/>
          <w:b/>
          <w:sz w:val="28"/>
        </w:rPr>
        <w:t>Object</w:t>
      </w:r>
      <w:r w:rsidR="00786EAF" w:rsidRPr="00786EAF">
        <w:rPr>
          <w:rFonts w:ascii="Times New Roman" w:hAnsi="Times New Roman" w:cs="Times New Roman"/>
          <w:b/>
          <w:sz w:val="28"/>
        </w:rPr>
        <w:t>-based</w:t>
      </w:r>
      <w:r w:rsidRPr="00786EAF">
        <w:rPr>
          <w:rFonts w:ascii="Times New Roman" w:hAnsi="Times New Roman" w:cs="Times New Roman"/>
          <w:b/>
          <w:sz w:val="28"/>
        </w:rPr>
        <w:t xml:space="preserve"> Metrics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786EAF" w14:paraId="18A0E272" w14:textId="77777777" w:rsidTr="003835F5">
        <w:tc>
          <w:tcPr>
            <w:tcW w:w="2515" w:type="dxa"/>
          </w:tcPr>
          <w:p w14:paraId="1C2CF5AB" w14:textId="77777777" w:rsidR="00F45D79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 xml:space="preserve">Object Density </w:t>
            </w:r>
          </w:p>
          <w:p w14:paraId="0B733115" w14:textId="0421B517" w:rsidR="00786EAF" w:rsidRPr="00786EAF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(OD)</w:t>
            </w:r>
          </w:p>
        </w:tc>
        <w:tc>
          <w:tcPr>
            <w:tcW w:w="6930" w:type="dxa"/>
          </w:tcPr>
          <w:p w14:paraId="2EDD4D66" w14:textId="1362196F" w:rsidR="00786EAF" w:rsidRDefault="00F45D79" w:rsidP="00786EAF">
            <w:pPr>
              <w:spacing w:after="12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The density of objects in a study area is the n</w:t>
            </w:r>
            <w:r w:rsidR="00786EAF" w:rsidRPr="007639CD">
              <w:rPr>
                <w:rFonts w:ascii="Times New Roman" w:hAnsi="Times New Roman" w:cs="Times New Roman"/>
                <w:lang w:val="en"/>
              </w:rPr>
              <w:t>umber of objects of a particular class divided by the study area</w:t>
            </w:r>
            <w:r w:rsidR="004D3D90">
              <w:rPr>
                <w:rFonts w:ascii="Times New Roman" w:hAnsi="Times New Roman" w:cs="Times New Roman"/>
                <w:lang w:val="en"/>
              </w:rPr>
              <w:t>, multiplied by 1</w:t>
            </w:r>
            <w:r w:rsidR="00210218">
              <w:rPr>
                <w:rFonts w:ascii="Times New Roman" w:hAnsi="Times New Roman" w:cs="Times New Roman"/>
                <w:lang w:val="en"/>
              </w:rPr>
              <w:t>,000</w:t>
            </w:r>
            <w:r w:rsidR="004D3D90">
              <w:rPr>
                <w:rFonts w:ascii="Times New Roman" w:hAnsi="Times New Roman" w:cs="Times New Roman"/>
                <w:lang w:val="en"/>
              </w:rPr>
              <w:t>,000</w:t>
            </w:r>
            <w:r w:rsidR="00210218">
              <w:rPr>
                <w:rFonts w:ascii="Times New Roman" w:hAnsi="Times New Roman" w:cs="Times New Roman"/>
                <w:lang w:val="en"/>
              </w:rPr>
              <w:t xml:space="preserve"> to convert to </w:t>
            </w:r>
            <w:r w:rsidR="00362C2D">
              <w:rPr>
                <w:rFonts w:ascii="Times New Roman" w:hAnsi="Times New Roman" w:cs="Times New Roman"/>
                <w:lang w:val="en"/>
              </w:rPr>
              <w:t>number</w:t>
            </w:r>
            <w:r w:rsidR="00210218">
              <w:rPr>
                <w:rFonts w:ascii="Times New Roman" w:hAnsi="Times New Roman" w:cs="Times New Roman"/>
                <w:lang w:val="en"/>
              </w:rPr>
              <w:t xml:space="preserve"> of objects</w:t>
            </w:r>
            <w:r w:rsidR="00362C2D">
              <w:rPr>
                <w:rFonts w:ascii="Times New Roman" w:hAnsi="Times New Roman" w:cs="Times New Roman"/>
                <w:lang w:val="en"/>
              </w:rPr>
              <w:t xml:space="preserve"> per </w:t>
            </w:r>
            <w:r w:rsidR="00310586">
              <w:rPr>
                <w:rFonts w:ascii="Times New Roman" w:hAnsi="Times New Roman" w:cs="Times New Roman"/>
                <w:lang w:val="en"/>
              </w:rPr>
              <w:t>square kilometer</w:t>
            </w:r>
            <w:r w:rsidR="00362C2D">
              <w:rPr>
                <w:rFonts w:ascii="Times New Roman" w:hAnsi="Times New Roman" w:cs="Times New Roman"/>
                <w:lang w:val="en"/>
              </w:rPr>
              <w:t>.</w:t>
            </w:r>
          </w:p>
          <w:p w14:paraId="607C38EE" w14:textId="0961E09B" w:rsidR="00786EAF" w:rsidRPr="00F45D79" w:rsidRDefault="00786EAF" w:rsidP="00210218">
            <w:pPr>
              <w:spacing w:after="120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OD=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1,000,000</m:t>
                    </m:r>
                  </m:e>
                </m:d>
              </m:oMath>
            </m:oMathPara>
          </w:p>
        </w:tc>
      </w:tr>
      <w:tr w:rsidR="00786EAF" w14:paraId="346E4C82" w14:textId="77777777" w:rsidTr="003835F5">
        <w:tc>
          <w:tcPr>
            <w:tcW w:w="2515" w:type="dxa"/>
          </w:tcPr>
          <w:p w14:paraId="47E1F177" w14:textId="77777777" w:rsidR="00F45D79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 xml:space="preserve">Object Richness </w:t>
            </w:r>
          </w:p>
          <w:p w14:paraId="6F1BFD0A" w14:textId="03D97173" w:rsidR="00786EAF" w:rsidRPr="00786EAF" w:rsidRDefault="00786EAF" w:rsidP="00F45D79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(OR)</w:t>
            </w:r>
          </w:p>
        </w:tc>
        <w:tc>
          <w:tcPr>
            <w:tcW w:w="6930" w:type="dxa"/>
          </w:tcPr>
          <w:p w14:paraId="6BDB9312" w14:textId="34C63EB3" w:rsidR="00786EAF" w:rsidRPr="00424E40" w:rsidRDefault="00F45D79" w:rsidP="00786EAF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Object richness is the n</w:t>
            </w:r>
            <w:r w:rsidR="00786EAF" w:rsidRPr="007639CD">
              <w:rPr>
                <w:rFonts w:ascii="Times New Roman" w:hAnsi="Times New Roman" w:cs="Times New Roman"/>
                <w:lang w:val="en"/>
              </w:rPr>
              <w:t>umber of different object classes</w:t>
            </w:r>
            <w:r w:rsidR="00FF0F63">
              <w:rPr>
                <w:rFonts w:ascii="Times New Roman" w:hAnsi="Times New Roman" w:cs="Times New Roman"/>
                <w:lang w:val="en"/>
              </w:rPr>
              <w:t xml:space="preserve"> </w:t>
            </w:r>
            <w:r w:rsidR="00786EAF">
              <w:rPr>
                <w:rFonts w:ascii="Times New Roman" w:hAnsi="Times New Roman" w:cs="Times New Roman"/>
                <w:lang w:val="en"/>
              </w:rPr>
              <w:t xml:space="preserve">within the landscape, </w:t>
            </w:r>
            <w:r w:rsidR="00786EAF">
              <w:rPr>
                <w:rFonts w:ascii="Times New Roman" w:eastAsiaTheme="minorEastAsia" w:hAnsi="Times New Roman" w:cs="Times New Roman"/>
              </w:rPr>
              <w:t xml:space="preserve">where </w:t>
            </w:r>
            <m:oMath>
              <m:r>
                <w:rPr>
                  <w:rFonts w:ascii="Cambria Math" w:eastAsiaTheme="minorEastAsia" w:hAnsi="Cambria Math" w:cs="Times New Roman"/>
                </w:rPr>
                <m:t>c</m:t>
              </m:r>
            </m:oMath>
            <w:r w:rsidR="00786EAF">
              <w:rPr>
                <w:rFonts w:ascii="Times New Roman" w:eastAsiaTheme="minorEastAsia" w:hAnsi="Times New Roman" w:cs="Times New Roman"/>
              </w:rPr>
              <w:t xml:space="preserve"> equals the number of different object types (classes) within the landscape</w:t>
            </w:r>
          </w:p>
          <w:p w14:paraId="7BF300B0" w14:textId="6EED417F" w:rsidR="00786EAF" w:rsidRPr="00F45D79" w:rsidRDefault="00786EAF" w:rsidP="00F45D79">
            <w:pPr>
              <w:spacing w:after="120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OR</m:t>
              </m:r>
            </m:oMath>
            <w:r w:rsidR="00543A9B">
              <w:rPr>
                <w:rFonts w:ascii="Times New Roman" w:eastAsiaTheme="minorEastAsia" w:hAnsi="Times New Roman" w:cs="Times New Roman"/>
              </w:rPr>
              <w:t xml:space="preserve"> = c</w:t>
            </w:r>
          </w:p>
        </w:tc>
      </w:tr>
      <w:tr w:rsidR="00786EAF" w14:paraId="6820045B" w14:textId="77777777" w:rsidTr="003835F5">
        <w:tc>
          <w:tcPr>
            <w:tcW w:w="2515" w:type="dxa"/>
          </w:tcPr>
          <w:p w14:paraId="6C954633" w14:textId="6B80EC10" w:rsidR="00786EAF" w:rsidRPr="00786EAF" w:rsidRDefault="00786EAF" w:rsidP="003835F5">
            <w:pPr>
              <w:spacing w:after="120"/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Object Richness Density (ORD)</w:t>
            </w:r>
          </w:p>
        </w:tc>
        <w:tc>
          <w:tcPr>
            <w:tcW w:w="6930" w:type="dxa"/>
          </w:tcPr>
          <w:p w14:paraId="73028E66" w14:textId="7182F83D" w:rsidR="00786EAF" w:rsidRDefault="00F45D79" w:rsidP="00786EAF">
            <w:pPr>
              <w:spacing w:after="120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The object richness density of a landscape is the n</w:t>
            </w:r>
            <w:r w:rsidR="00786EAF" w:rsidRPr="007639CD">
              <w:rPr>
                <w:rFonts w:ascii="Times New Roman" w:hAnsi="Times New Roman" w:cs="Times New Roman"/>
                <w:lang w:val="en"/>
              </w:rPr>
              <w:t xml:space="preserve">umber of different object </w:t>
            </w:r>
            <w:r w:rsidR="00786EAF">
              <w:rPr>
                <w:rFonts w:ascii="Times New Roman" w:hAnsi="Times New Roman" w:cs="Times New Roman"/>
                <w:lang w:val="en"/>
              </w:rPr>
              <w:t>classes divided by total landscape area (</w:t>
            </w:r>
            <w:r w:rsidR="00786EAF" w:rsidRPr="00F45D79">
              <w:rPr>
                <w:rFonts w:ascii="Times New Roman" w:hAnsi="Times New Roman" w:cs="Times New Roman"/>
                <w:i/>
                <w:lang w:val="en"/>
              </w:rPr>
              <w:t>A</w:t>
            </w:r>
            <w:r w:rsidR="004D3D90">
              <w:rPr>
                <w:rFonts w:ascii="Times New Roman" w:hAnsi="Times New Roman" w:cs="Times New Roman"/>
                <w:lang w:val="en"/>
              </w:rPr>
              <w:t>), multiplied by 1</w:t>
            </w:r>
            <w:r w:rsidR="00786EAF">
              <w:rPr>
                <w:rFonts w:ascii="Times New Roman" w:hAnsi="Times New Roman" w:cs="Times New Roman"/>
                <w:lang w:val="en"/>
              </w:rPr>
              <w:t>,000</w:t>
            </w:r>
            <w:r w:rsidR="004D3D90">
              <w:rPr>
                <w:rFonts w:ascii="Times New Roman" w:hAnsi="Times New Roman" w:cs="Times New Roman"/>
                <w:lang w:val="en"/>
              </w:rPr>
              <w:t>,000</w:t>
            </w:r>
            <w:r w:rsidR="00786EAF">
              <w:rPr>
                <w:rFonts w:ascii="Times New Roman" w:hAnsi="Times New Roman" w:cs="Times New Roman"/>
                <w:lang w:val="en"/>
              </w:rPr>
              <w:t xml:space="preserve"> to convert to </w:t>
            </w:r>
            <w:r w:rsidR="004D3D90">
              <w:rPr>
                <w:rFonts w:ascii="Times New Roman" w:hAnsi="Times New Roman" w:cs="Times New Roman"/>
                <w:lang w:val="en"/>
              </w:rPr>
              <w:t>square kilometer</w:t>
            </w:r>
            <w:r w:rsidR="00762A99">
              <w:rPr>
                <w:rFonts w:ascii="Times New Roman" w:hAnsi="Times New Roman" w:cs="Times New Roman"/>
                <w:lang w:val="en"/>
              </w:rPr>
              <w:t>s</w:t>
            </w:r>
            <w:r w:rsidR="00786EAF">
              <w:rPr>
                <w:rFonts w:ascii="Times New Roman" w:hAnsi="Times New Roman" w:cs="Times New Roman"/>
                <w:lang w:val="en"/>
              </w:rPr>
              <w:t>:</w:t>
            </w:r>
          </w:p>
          <w:p w14:paraId="7711275D" w14:textId="415DA680" w:rsidR="00786EAF" w:rsidRPr="00F45D79" w:rsidRDefault="00786EAF" w:rsidP="003835F5">
            <w:pPr>
              <w:spacing w:after="12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ORD=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1,000,000</m:t>
                    </m:r>
                  </m:e>
                </m:d>
              </m:oMath>
            </m:oMathPara>
          </w:p>
        </w:tc>
      </w:tr>
    </w:tbl>
    <w:p w14:paraId="4657C523" w14:textId="5959CAE9" w:rsidR="00424E40" w:rsidRDefault="00424E40" w:rsidP="00786EAF">
      <w:pPr>
        <w:spacing w:after="120" w:line="240" w:lineRule="auto"/>
        <w:rPr>
          <w:rFonts w:ascii="Times New Roman" w:hAnsi="Times New Roman" w:cs="Times New Roman"/>
          <w:b/>
          <w:u w:val="single"/>
        </w:rPr>
      </w:pPr>
    </w:p>
    <w:p w14:paraId="0F46B2A5" w14:textId="1BB777BF" w:rsidR="0061118B" w:rsidRPr="00786EAF" w:rsidRDefault="00AD2642" w:rsidP="007639C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6EAF">
        <w:rPr>
          <w:rFonts w:ascii="Times New Roman" w:hAnsi="Times New Roman" w:cs="Times New Roman"/>
          <w:b/>
          <w:sz w:val="28"/>
        </w:rPr>
        <w:lastRenderedPageBreak/>
        <w:t>Surface Area</w:t>
      </w:r>
      <w:r w:rsidR="00786EAF">
        <w:rPr>
          <w:rFonts w:ascii="Times New Roman" w:hAnsi="Times New Roman" w:cs="Times New Roman"/>
          <w:b/>
          <w:sz w:val="28"/>
        </w:rPr>
        <w:t>-based</w:t>
      </w:r>
      <w:r w:rsidRPr="00786EAF">
        <w:rPr>
          <w:rFonts w:ascii="Times New Roman" w:hAnsi="Times New Roman" w:cs="Times New Roman"/>
          <w:b/>
          <w:sz w:val="28"/>
        </w:rPr>
        <w:t xml:space="preserve"> Metrics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424E40" w14:paraId="41472FE5" w14:textId="77777777" w:rsidTr="00424E40">
        <w:tc>
          <w:tcPr>
            <w:tcW w:w="2515" w:type="dxa"/>
          </w:tcPr>
          <w:p w14:paraId="2C9F7953" w14:textId="30F06D95" w:rsidR="00CA7738" w:rsidRDefault="00424E40" w:rsidP="005551A1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 xml:space="preserve">Largest Object Surface Area </w:t>
            </w:r>
            <w:r w:rsidR="004126F9">
              <w:rPr>
                <w:rFonts w:ascii="Times New Roman" w:hAnsi="Times New Roman" w:cs="Times New Roman"/>
              </w:rPr>
              <w:t>Index</w:t>
            </w:r>
          </w:p>
          <w:p w14:paraId="46A37D9B" w14:textId="1C5080A7" w:rsidR="00424E40" w:rsidRPr="00786EAF" w:rsidRDefault="00424E40" w:rsidP="005551A1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(LOSA</w:t>
            </w:r>
            <w:r w:rsidR="004126F9">
              <w:rPr>
                <w:rFonts w:ascii="Times New Roman" w:hAnsi="Times New Roman" w:cs="Times New Roman"/>
              </w:rPr>
              <w:t>I</w:t>
            </w:r>
            <w:r w:rsidRPr="00786EA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0" w:type="dxa"/>
          </w:tcPr>
          <w:p w14:paraId="612C55C5" w14:textId="45E1253A" w:rsidR="00424E40" w:rsidRPr="007639CD" w:rsidRDefault="00CA7738" w:rsidP="00424E40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The s</w:t>
            </w:r>
            <w:r w:rsidR="00424E40" w:rsidRPr="007639CD">
              <w:rPr>
                <w:rFonts w:ascii="Times New Roman" w:hAnsi="Times New Roman" w:cs="Times New Roman"/>
                <w:lang w:val="en"/>
              </w:rPr>
              <w:t xml:space="preserve">urface area of largest object </w:t>
            </w:r>
            <w:r>
              <w:rPr>
                <w:rFonts w:ascii="Times New Roman" w:hAnsi="Times New Roman" w:cs="Times New Roman"/>
                <w:lang w:val="en"/>
              </w:rPr>
              <w:t>i</w:t>
            </w:r>
            <w:r w:rsidR="002646BD">
              <w:rPr>
                <w:rFonts w:ascii="Times New Roman" w:hAnsi="Times New Roman" w:cs="Times New Roman"/>
                <w:lang w:val="en"/>
              </w:rPr>
              <w:t>n a landscape is computed as</w:t>
            </w:r>
            <w:r>
              <w:rPr>
                <w:rFonts w:ascii="Times New Roman" w:hAnsi="Times New Roman" w:cs="Times New Roman"/>
                <w:lang w:val="en"/>
              </w:rPr>
              <w:t xml:space="preserve"> </w:t>
            </w:r>
            <w:r w:rsidR="002646BD">
              <w:rPr>
                <w:rFonts w:ascii="Times New Roman" w:hAnsi="Times New Roman" w:cs="Times New Roman"/>
                <w:lang w:val="en"/>
              </w:rPr>
              <w:t>the</w:t>
            </w:r>
            <w:r w:rsidR="00424E40" w:rsidRPr="007639CD">
              <w:rPr>
                <w:rFonts w:ascii="Times New Roman" w:hAnsi="Times New Roman" w:cs="Times New Roman"/>
                <w:lang w:val="en"/>
              </w:rPr>
              <w:t xml:space="preserve"> percent of total object surface area</w:t>
            </w:r>
            <w:r>
              <w:rPr>
                <w:rFonts w:ascii="Times New Roman" w:hAnsi="Times New Roman" w:cs="Times New Roman"/>
                <w:lang w:val="en"/>
              </w:rPr>
              <w:t xml:space="preserve"> in that landscape</w:t>
            </w:r>
            <w:r w:rsidR="00424E40">
              <w:rPr>
                <w:rFonts w:ascii="Times New Roman" w:hAnsi="Times New Roman" w:cs="Times New Roman"/>
                <w:lang w:val="en"/>
              </w:rPr>
              <w:t>:</w:t>
            </w:r>
          </w:p>
          <w:p w14:paraId="09168DB6" w14:textId="3BEF056A" w:rsidR="00424E40" w:rsidRPr="00424E40" w:rsidRDefault="00786EAF" w:rsidP="00CA7738">
            <w:pPr>
              <w:spacing w:after="12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LOSAI=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</w:tc>
      </w:tr>
      <w:tr w:rsidR="00424E40" w14:paraId="18A4B146" w14:textId="77777777" w:rsidTr="00424E40">
        <w:tc>
          <w:tcPr>
            <w:tcW w:w="2515" w:type="dxa"/>
          </w:tcPr>
          <w:p w14:paraId="3BFADF0A" w14:textId="0A6985BC" w:rsidR="00CA7738" w:rsidRDefault="00424E40" w:rsidP="005551A1">
            <w:pPr>
              <w:rPr>
                <w:rFonts w:ascii="Times New Roman" w:eastAsiaTheme="minorEastAsia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 xml:space="preserve">Percentage of </w:t>
            </w:r>
            <w:r w:rsidR="00BB21F0">
              <w:rPr>
                <w:rFonts w:ascii="Times New Roman" w:eastAsiaTheme="minorEastAsia" w:hAnsi="Times New Roman" w:cs="Times New Roman"/>
              </w:rPr>
              <w:t xml:space="preserve">Landscape </w:t>
            </w:r>
            <w:r w:rsidRPr="00786EAF">
              <w:rPr>
                <w:rFonts w:ascii="Times New Roman" w:eastAsiaTheme="minorEastAsia" w:hAnsi="Times New Roman" w:cs="Times New Roman"/>
              </w:rPr>
              <w:t xml:space="preserve">Object Surface Areas </w:t>
            </w:r>
          </w:p>
          <w:p w14:paraId="6305478B" w14:textId="0D3C3605" w:rsidR="00424E40" w:rsidRPr="00786EAF" w:rsidRDefault="00424E40" w:rsidP="005551A1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>(P</w:t>
            </w:r>
            <w:r w:rsidR="00BB21F0">
              <w:rPr>
                <w:rFonts w:ascii="Times New Roman" w:eastAsiaTheme="minorEastAsia" w:hAnsi="Times New Roman" w:cs="Times New Roman"/>
              </w:rPr>
              <w:t>L</w:t>
            </w:r>
            <w:r w:rsidRPr="00786EAF">
              <w:rPr>
                <w:rFonts w:ascii="Times New Roman" w:eastAsiaTheme="minorEastAsia" w:hAnsi="Times New Roman" w:cs="Times New Roman"/>
              </w:rPr>
              <w:t>OSA)</w:t>
            </w:r>
          </w:p>
        </w:tc>
        <w:tc>
          <w:tcPr>
            <w:tcW w:w="6930" w:type="dxa"/>
          </w:tcPr>
          <w:p w14:paraId="561A4A05" w14:textId="3F786B44" w:rsidR="00424E40" w:rsidRPr="00424E40" w:rsidRDefault="00571F77" w:rsidP="00424E40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The percent of total object surface area for all object of a single type (class) </w:t>
            </w:r>
            <w:r w:rsidR="00E96094">
              <w:rPr>
                <w:rFonts w:ascii="Times New Roman" w:hAnsi="Times New Roman" w:cs="Times New Roman"/>
                <w:i/>
                <w:szCs w:val="20"/>
              </w:rPr>
              <w:t>j</w:t>
            </w:r>
            <w:r>
              <w:rPr>
                <w:rFonts w:ascii="Times New Roman" w:hAnsi="Times New Roman" w:cs="Times New Roman"/>
                <w:szCs w:val="20"/>
              </w:rPr>
              <w:t>, is computed as the s</w:t>
            </w:r>
            <w:r w:rsidR="00424E40" w:rsidRPr="00424E40">
              <w:rPr>
                <w:rFonts w:ascii="Times New Roman" w:hAnsi="Times New Roman" w:cs="Times New Roman"/>
                <w:szCs w:val="20"/>
              </w:rPr>
              <w:t xml:space="preserve">um of </w:t>
            </w:r>
            <w:r>
              <w:rPr>
                <w:rFonts w:ascii="Times New Roman" w:hAnsi="Times New Roman" w:cs="Times New Roman"/>
                <w:szCs w:val="20"/>
              </w:rPr>
              <w:t xml:space="preserve">that </w:t>
            </w:r>
            <w:r w:rsidR="00424E40" w:rsidRPr="00424E40">
              <w:rPr>
                <w:rFonts w:ascii="Times New Roman" w:hAnsi="Times New Roman" w:cs="Times New Roman"/>
                <w:szCs w:val="20"/>
              </w:rPr>
              <w:t>class</w:t>
            </w:r>
            <w:r>
              <w:rPr>
                <w:rFonts w:ascii="Times New Roman" w:hAnsi="Times New Roman" w:cs="Times New Roman"/>
                <w:szCs w:val="20"/>
              </w:rPr>
              <w:t>’s</w:t>
            </w:r>
            <w:r w:rsidR="00424E40" w:rsidRPr="00424E40">
              <w:rPr>
                <w:rFonts w:ascii="Times New Roman" w:hAnsi="Times New Roman" w:cs="Times New Roman"/>
                <w:szCs w:val="20"/>
              </w:rPr>
              <w:t xml:space="preserve"> surface area divided by</w:t>
            </w:r>
            <w:r w:rsidR="00FF0F63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="00424E40" w:rsidRPr="00424E40">
              <w:rPr>
                <w:rFonts w:ascii="Times New Roman" w:hAnsi="Times New Roman" w:cs="Times New Roman"/>
                <w:szCs w:val="20"/>
              </w:rPr>
              <w:t xml:space="preserve"> total surface area of all objects</w:t>
            </w:r>
            <w:r w:rsidR="00E96094">
              <w:rPr>
                <w:rFonts w:ascii="Times New Roman" w:hAnsi="Times New Roman" w:cs="Times New Roman"/>
                <w:szCs w:val="20"/>
              </w:rPr>
              <w:t xml:space="preserve"> in all classes </w:t>
            </w:r>
            <w:r w:rsidR="00E96094">
              <w:rPr>
                <w:rFonts w:ascii="Times New Roman" w:hAnsi="Times New Roman" w:cs="Times New Roman"/>
                <w:i/>
                <w:szCs w:val="20"/>
              </w:rPr>
              <w:t>c</w:t>
            </w:r>
            <w:r w:rsidR="00424E40">
              <w:rPr>
                <w:rFonts w:ascii="Times New Roman" w:hAnsi="Times New Roman" w:cs="Times New Roman"/>
                <w:szCs w:val="20"/>
              </w:rPr>
              <w:t>:</w:t>
            </w:r>
          </w:p>
          <w:p w14:paraId="5C969A27" w14:textId="6756A985" w:rsidR="00424E40" w:rsidRPr="00571F77" w:rsidRDefault="00571F77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PLOSA=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</m:oMath>
            </m:oMathPara>
          </w:p>
        </w:tc>
      </w:tr>
      <w:tr w:rsidR="00424E40" w14:paraId="7EEF7387" w14:textId="77777777" w:rsidTr="00424E40">
        <w:tc>
          <w:tcPr>
            <w:tcW w:w="2515" w:type="dxa"/>
          </w:tcPr>
          <w:p w14:paraId="01317B83" w14:textId="21B870D0" w:rsidR="00424E40" w:rsidRPr="00786EAF" w:rsidRDefault="00B03ED8" w:rsidP="005551A1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>Shannon’s Diversity of Surface Area Index (SHDSAI)</w:t>
            </w:r>
          </w:p>
        </w:tc>
        <w:tc>
          <w:tcPr>
            <w:tcW w:w="6930" w:type="dxa"/>
          </w:tcPr>
          <w:p w14:paraId="59A20F0A" w14:textId="4474FF62" w:rsidR="00424E40" w:rsidRPr="00786EAF" w:rsidRDefault="00171B93" w:rsidP="007639CD">
            <w:pPr>
              <w:spacing w:after="1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Shannon’s diversity equals m</w:t>
            </w:r>
            <w:r w:rsidR="00B03ED8" w:rsidRPr="00786EAF">
              <w:rPr>
                <w:rFonts w:ascii="Times New Roman" w:hAnsi="Times New Roman" w:cs="Times New Roman"/>
                <w:szCs w:val="20"/>
              </w:rPr>
              <w:t xml:space="preserve">inus the sum of the surface area-based proportional abundance </w:t>
            </w:r>
            <w:r w:rsidR="00F26C62">
              <w:rPr>
                <w:rFonts w:ascii="Times New Roman" w:hAnsi="Times New Roman" w:cs="Times New Roman"/>
                <w:szCs w:val="20"/>
              </w:rPr>
              <w:t>(</w:t>
            </w:r>
            <w:r w:rsidR="00F26C62" w:rsidRPr="00F26C62">
              <w:rPr>
                <w:rFonts w:ascii="Times New Roman" w:hAnsi="Times New Roman" w:cs="Times New Roman"/>
                <w:i/>
                <w:szCs w:val="20"/>
              </w:rPr>
              <w:t>PLOSA</w:t>
            </w:r>
            <w:r w:rsidR="00F26C62">
              <w:rPr>
                <w:rFonts w:ascii="Times New Roman" w:hAnsi="Times New Roman" w:cs="Times New Roman"/>
                <w:szCs w:val="20"/>
              </w:rPr>
              <w:t xml:space="preserve">) </w:t>
            </w:r>
            <w:r w:rsidR="00B03ED8" w:rsidRPr="00786EAF">
              <w:rPr>
                <w:rFonts w:ascii="Times New Roman" w:hAnsi="Times New Roman" w:cs="Times New Roman"/>
                <w:szCs w:val="20"/>
              </w:rPr>
              <w:t xml:space="preserve">of each </w:t>
            </w:r>
            <w:r w:rsidR="00F26C62">
              <w:rPr>
                <w:rFonts w:ascii="Times New Roman" w:hAnsi="Times New Roman" w:cs="Times New Roman"/>
                <w:szCs w:val="20"/>
              </w:rPr>
              <w:t xml:space="preserve">class </w:t>
            </w:r>
            <w:r w:rsidR="00F26C62">
              <w:rPr>
                <w:rFonts w:ascii="Times New Roman" w:hAnsi="Times New Roman" w:cs="Times New Roman"/>
                <w:i/>
                <w:szCs w:val="20"/>
              </w:rPr>
              <w:t>j</w:t>
            </w:r>
            <w:r w:rsidR="00B03ED8" w:rsidRPr="00786EAF">
              <w:rPr>
                <w:rFonts w:ascii="Times New Roman" w:hAnsi="Times New Roman" w:cs="Times New Roman"/>
                <w:szCs w:val="20"/>
              </w:rPr>
              <w:t xml:space="preserve"> multiplied by </w:t>
            </w:r>
            <w:r w:rsidR="00F26C62">
              <w:rPr>
                <w:rFonts w:ascii="Times New Roman" w:hAnsi="Times New Roman" w:cs="Times New Roman"/>
                <w:szCs w:val="20"/>
              </w:rPr>
              <w:t>the natural log of that</w:t>
            </w:r>
            <w:r w:rsidR="00B03ED8" w:rsidRPr="00786EAF">
              <w:rPr>
                <w:rFonts w:ascii="Times New Roman" w:hAnsi="Times New Roman" w:cs="Times New Roman"/>
                <w:szCs w:val="20"/>
              </w:rPr>
              <w:t xml:space="preserve"> prop</w:t>
            </w:r>
            <w:r w:rsidR="00F26C62">
              <w:rPr>
                <w:rFonts w:ascii="Times New Roman" w:hAnsi="Times New Roman" w:cs="Times New Roman"/>
                <w:szCs w:val="20"/>
              </w:rPr>
              <w:t>ortion</w:t>
            </w:r>
            <w:r w:rsidR="00B03ED8" w:rsidRPr="00786EAF">
              <w:rPr>
                <w:rFonts w:ascii="Times New Roman" w:hAnsi="Times New Roman" w:cs="Times New Roman"/>
                <w:szCs w:val="20"/>
              </w:rPr>
              <w:t>:</w:t>
            </w:r>
          </w:p>
          <w:p w14:paraId="625C0317" w14:textId="14D17114" w:rsidR="00B03ED8" w:rsidRPr="00171B93" w:rsidRDefault="00786EAF" w:rsidP="00171B93">
            <w:pPr>
              <w:spacing w:after="12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SHDSAI=-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POSA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PLOSA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</w:tr>
      <w:tr w:rsidR="00424E40" w14:paraId="27A3B0EC" w14:textId="77777777" w:rsidTr="00424E40">
        <w:tc>
          <w:tcPr>
            <w:tcW w:w="2515" w:type="dxa"/>
          </w:tcPr>
          <w:p w14:paraId="432FF61B" w14:textId="1A5ADF2A" w:rsidR="00424E40" w:rsidRPr="00786EAF" w:rsidRDefault="00B03ED8" w:rsidP="007639CD">
            <w:pPr>
              <w:spacing w:after="120"/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>Simpson’s Diversity of Surface Area Index (SIDSAI)</w:t>
            </w:r>
          </w:p>
        </w:tc>
        <w:tc>
          <w:tcPr>
            <w:tcW w:w="6930" w:type="dxa"/>
          </w:tcPr>
          <w:p w14:paraId="078120B6" w14:textId="111E085B" w:rsidR="00786EAF" w:rsidRPr="00786EAF" w:rsidRDefault="00171B93" w:rsidP="00786EAF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Simpson’s diversity equals</w:t>
            </w:r>
            <w:r w:rsidR="00786EAF" w:rsidRPr="00786EAF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A924CF">
              <w:rPr>
                <w:rFonts w:ascii="Times New Roman" w:hAnsi="Times New Roman" w:cs="Times New Roman"/>
                <w:szCs w:val="20"/>
              </w:rPr>
              <w:t xml:space="preserve">one </w:t>
            </w:r>
            <w:r w:rsidR="00786EAF" w:rsidRPr="00786EAF">
              <w:rPr>
                <w:rFonts w:ascii="Times New Roman" w:hAnsi="Times New Roman" w:cs="Times New Roman"/>
                <w:szCs w:val="20"/>
              </w:rPr>
              <w:t>minus the sum, across all object classes</w:t>
            </w:r>
            <w:r w:rsidR="00F7786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F77865">
              <w:rPr>
                <w:rFonts w:ascii="Times New Roman" w:hAnsi="Times New Roman" w:cs="Times New Roman"/>
                <w:i/>
                <w:szCs w:val="20"/>
              </w:rPr>
              <w:t>c</w:t>
            </w:r>
            <w:r w:rsidR="00786EAF" w:rsidRPr="00786EAF">
              <w:rPr>
                <w:rFonts w:ascii="Times New Roman" w:hAnsi="Times New Roman" w:cs="Times New Roman"/>
                <w:szCs w:val="20"/>
              </w:rPr>
              <w:t xml:space="preserve">, of the surface area-based proportional abundance </w:t>
            </w:r>
            <w:r w:rsidR="00F26C62">
              <w:rPr>
                <w:rFonts w:ascii="Times New Roman" w:hAnsi="Times New Roman" w:cs="Times New Roman"/>
                <w:szCs w:val="20"/>
              </w:rPr>
              <w:t>(</w:t>
            </w:r>
            <w:r w:rsidR="00F26C62">
              <w:rPr>
                <w:rFonts w:ascii="Times New Roman" w:hAnsi="Times New Roman" w:cs="Times New Roman"/>
                <w:i/>
                <w:szCs w:val="20"/>
              </w:rPr>
              <w:t>PLOSA</w:t>
            </w:r>
            <w:r w:rsidR="00F26C62">
              <w:rPr>
                <w:rFonts w:ascii="Times New Roman" w:hAnsi="Times New Roman" w:cs="Times New Roman"/>
                <w:szCs w:val="20"/>
              </w:rPr>
              <w:t>)</w:t>
            </w:r>
            <w:r w:rsidR="00F26C62"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r w:rsidR="00786EAF" w:rsidRPr="00786EAF">
              <w:rPr>
                <w:rFonts w:ascii="Times New Roman" w:hAnsi="Times New Roman" w:cs="Times New Roman"/>
                <w:szCs w:val="20"/>
              </w:rPr>
              <w:t xml:space="preserve">of each object class </w:t>
            </w:r>
            <w:r w:rsidR="00F77865">
              <w:rPr>
                <w:rFonts w:ascii="Times New Roman" w:hAnsi="Times New Roman" w:cs="Times New Roman"/>
                <w:i/>
                <w:szCs w:val="20"/>
              </w:rPr>
              <w:t xml:space="preserve">j </w:t>
            </w:r>
            <w:r w:rsidR="00786EAF" w:rsidRPr="00786EAF">
              <w:rPr>
                <w:rFonts w:ascii="Times New Roman" w:hAnsi="Times New Roman" w:cs="Times New Roman"/>
                <w:szCs w:val="20"/>
              </w:rPr>
              <w:t>squared</w:t>
            </w:r>
          </w:p>
          <w:p w14:paraId="22015196" w14:textId="27533579" w:rsidR="00424E40" w:rsidRPr="00171B93" w:rsidRDefault="00786EAF" w:rsidP="0020331D">
            <w:pPr>
              <w:spacing w:after="12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SIDSAI=1-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PLOSA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</w:tr>
    </w:tbl>
    <w:p w14:paraId="5829463F" w14:textId="77777777" w:rsidR="00424E40" w:rsidRDefault="00424E40" w:rsidP="007639CD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14:paraId="4751D80F" w14:textId="4C7029FA" w:rsidR="00AD2642" w:rsidRPr="00786EAF" w:rsidRDefault="00AD2642" w:rsidP="00786EAF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14:paraId="4074DC05" w14:textId="3DCBE1CE" w:rsidR="00AD2642" w:rsidRPr="00786EAF" w:rsidRDefault="00AD2642" w:rsidP="00786EAF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6EAF">
        <w:rPr>
          <w:rFonts w:ascii="Times New Roman" w:hAnsi="Times New Roman" w:cs="Times New Roman"/>
          <w:b/>
          <w:sz w:val="28"/>
        </w:rPr>
        <w:t>Volume</w:t>
      </w:r>
      <w:r w:rsidR="00786EAF">
        <w:rPr>
          <w:rFonts w:ascii="Times New Roman" w:hAnsi="Times New Roman" w:cs="Times New Roman"/>
          <w:b/>
          <w:sz w:val="28"/>
        </w:rPr>
        <w:t>-based</w:t>
      </w:r>
      <w:r w:rsidRPr="00786EAF">
        <w:rPr>
          <w:rFonts w:ascii="Times New Roman" w:hAnsi="Times New Roman" w:cs="Times New Roman"/>
          <w:b/>
          <w:sz w:val="28"/>
        </w:rPr>
        <w:t xml:space="preserve"> Metrics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786EAF" w14:paraId="4CB3ECB2" w14:textId="77777777" w:rsidTr="003835F5">
        <w:tc>
          <w:tcPr>
            <w:tcW w:w="2515" w:type="dxa"/>
          </w:tcPr>
          <w:p w14:paraId="31B46B8B" w14:textId="77777777" w:rsidR="004126F9" w:rsidRDefault="00786EAF" w:rsidP="002F42FC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 xml:space="preserve">Largest Object Volume </w:t>
            </w:r>
            <w:r w:rsidR="004126F9">
              <w:rPr>
                <w:rFonts w:ascii="Times New Roman" w:hAnsi="Times New Roman" w:cs="Times New Roman"/>
              </w:rPr>
              <w:t xml:space="preserve">Index </w:t>
            </w:r>
          </w:p>
          <w:p w14:paraId="4119B7D6" w14:textId="64587CB1" w:rsidR="00786EAF" w:rsidRPr="00786EAF" w:rsidRDefault="00786EAF" w:rsidP="002F42FC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(LOV</w:t>
            </w:r>
            <w:r w:rsidR="004126F9">
              <w:rPr>
                <w:rFonts w:ascii="Times New Roman" w:hAnsi="Times New Roman" w:cs="Times New Roman"/>
              </w:rPr>
              <w:t>I</w:t>
            </w:r>
            <w:r w:rsidRPr="00786EA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0" w:type="dxa"/>
          </w:tcPr>
          <w:p w14:paraId="323053E2" w14:textId="11568141" w:rsidR="00786EAF" w:rsidRPr="007639CD" w:rsidRDefault="00FF0F63" w:rsidP="00786EA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483A0E">
              <w:rPr>
                <w:rFonts w:ascii="Times New Roman" w:hAnsi="Times New Roman" w:cs="Times New Roman"/>
              </w:rPr>
              <w:t>he object</w:t>
            </w:r>
            <w:r w:rsidR="00786EAF" w:rsidRPr="007639CD">
              <w:rPr>
                <w:rFonts w:ascii="Times New Roman" w:hAnsi="Times New Roman" w:cs="Times New Roman"/>
              </w:rPr>
              <w:t xml:space="preserve"> with the largest volume </w:t>
            </w:r>
            <w:r w:rsidR="00483A0E">
              <w:rPr>
                <w:rFonts w:ascii="Times New Roman" w:hAnsi="Times New Roman" w:cs="Times New Roman"/>
              </w:rPr>
              <w:t xml:space="preserve">relative to the volume of </w:t>
            </w:r>
            <w:r w:rsidR="00786EAF" w:rsidRPr="007639CD">
              <w:rPr>
                <w:rFonts w:ascii="Times New Roman" w:hAnsi="Times New Roman" w:cs="Times New Roman"/>
              </w:rPr>
              <w:t xml:space="preserve">all objects in a class </w:t>
            </w:r>
            <w:r w:rsidR="00690615">
              <w:rPr>
                <w:rFonts w:ascii="Times New Roman" w:hAnsi="Times New Roman" w:cs="Times New Roman"/>
                <w:i/>
              </w:rPr>
              <w:t>j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computed</w:t>
            </w:r>
            <w:r w:rsidR="00786EAF" w:rsidRPr="007639CD">
              <w:rPr>
                <w:rFonts w:ascii="Times New Roman" w:hAnsi="Times New Roman" w:cs="Times New Roman"/>
              </w:rPr>
              <w:t xml:space="preserve"> as</w:t>
            </w:r>
            <w:r>
              <w:rPr>
                <w:rFonts w:ascii="Times New Roman" w:hAnsi="Times New Roman" w:cs="Times New Roman"/>
              </w:rPr>
              <w:t xml:space="preserve"> the ratio of the volume of the largest object, max(</w:t>
            </w:r>
            <w:proofErr w:type="spellStart"/>
            <w:r>
              <w:rPr>
                <w:rFonts w:ascii="Times New Roman" w:hAnsi="Times New Roman" w:cs="Times New Roman"/>
              </w:rPr>
              <w:t>VOL</w:t>
            </w:r>
            <w:r w:rsidRPr="00690615">
              <w:rPr>
                <w:rFonts w:ascii="Times New Roman" w:hAnsi="Times New Roman" w:cs="Times New Roman"/>
                <w:vertAlign w:val="subscript"/>
              </w:rPr>
              <w:t>i</w:t>
            </w:r>
            <w:r w:rsidR="003835F5">
              <w:rPr>
                <w:rFonts w:ascii="Times New Roman" w:hAnsi="Times New Roman" w:cs="Times New Roman"/>
                <w:vertAlign w:val="subscript"/>
              </w:rPr>
              <w:t>j</w:t>
            </w:r>
            <w:proofErr w:type="spellEnd"/>
            <w:r w:rsidR="003835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to the sum of the volume of all objects in a class</w:t>
            </w:r>
            <w:r w:rsidR="00786EAF" w:rsidRPr="007639CD">
              <w:rPr>
                <w:rFonts w:ascii="Times New Roman" w:hAnsi="Times New Roman" w:cs="Times New Roman"/>
              </w:rPr>
              <w:t xml:space="preserve"> </w:t>
            </w:r>
          </w:p>
          <w:p w14:paraId="452F8FFE" w14:textId="1690CC4C" w:rsidR="00786EAF" w:rsidRPr="00424E40" w:rsidRDefault="00786EAF" w:rsidP="00483A0E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LOVI=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VOL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VOL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</w:tc>
      </w:tr>
      <w:tr w:rsidR="00786EAF" w14:paraId="700D5164" w14:textId="77777777" w:rsidTr="003835F5">
        <w:tc>
          <w:tcPr>
            <w:tcW w:w="2515" w:type="dxa"/>
          </w:tcPr>
          <w:p w14:paraId="05968FE7" w14:textId="77777777" w:rsidR="00E41E6D" w:rsidRDefault="00786EAF" w:rsidP="002F42FC">
            <w:pPr>
              <w:rPr>
                <w:rFonts w:ascii="Times New Roman" w:eastAsiaTheme="minorEastAsia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 xml:space="preserve">Percentage of Landscape </w:t>
            </w:r>
            <w:r w:rsidR="00BB21F0">
              <w:rPr>
                <w:rFonts w:ascii="Times New Roman" w:eastAsiaTheme="minorEastAsia" w:hAnsi="Times New Roman" w:cs="Times New Roman"/>
              </w:rPr>
              <w:t xml:space="preserve">Object </w:t>
            </w:r>
            <w:r w:rsidRPr="00786EAF">
              <w:rPr>
                <w:rFonts w:ascii="Times New Roman" w:eastAsiaTheme="minorEastAsia" w:hAnsi="Times New Roman" w:cs="Times New Roman"/>
              </w:rPr>
              <w:t xml:space="preserve">Volume </w:t>
            </w:r>
          </w:p>
          <w:p w14:paraId="2D8C584F" w14:textId="7314F20B" w:rsidR="00786EAF" w:rsidRPr="00786EAF" w:rsidRDefault="00BB21F0" w:rsidP="002F42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(PLOV</w:t>
            </w:r>
            <w:r w:rsidR="00786EAF" w:rsidRPr="00786EAF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6930" w:type="dxa"/>
          </w:tcPr>
          <w:p w14:paraId="1CFB9B61" w14:textId="2BDB4781" w:rsidR="00786EAF" w:rsidRPr="007639CD" w:rsidRDefault="00E96094" w:rsidP="00786EAF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The percent of total object volume for all object of a single type (class) </w:t>
            </w:r>
            <w:r>
              <w:rPr>
                <w:rFonts w:ascii="Times New Roman" w:hAnsi="Times New Roman" w:cs="Times New Roman"/>
                <w:i/>
                <w:szCs w:val="20"/>
              </w:rPr>
              <w:t>j</w:t>
            </w:r>
            <w:r>
              <w:rPr>
                <w:rFonts w:ascii="Times New Roman" w:hAnsi="Times New Roman" w:cs="Times New Roman"/>
                <w:szCs w:val="20"/>
              </w:rPr>
              <w:t>, is computed as the s</w:t>
            </w:r>
            <w:r w:rsidRPr="00424E40">
              <w:rPr>
                <w:rFonts w:ascii="Times New Roman" w:hAnsi="Times New Roman" w:cs="Times New Roman"/>
                <w:szCs w:val="20"/>
              </w:rPr>
              <w:t xml:space="preserve">um of </w:t>
            </w:r>
            <w:r>
              <w:rPr>
                <w:rFonts w:ascii="Times New Roman" w:hAnsi="Times New Roman" w:cs="Times New Roman"/>
                <w:szCs w:val="20"/>
              </w:rPr>
              <w:t xml:space="preserve">that </w:t>
            </w:r>
            <w:r w:rsidRPr="00424E40">
              <w:rPr>
                <w:rFonts w:ascii="Times New Roman" w:hAnsi="Times New Roman" w:cs="Times New Roman"/>
                <w:szCs w:val="20"/>
              </w:rPr>
              <w:t>class</w:t>
            </w:r>
            <w:r>
              <w:rPr>
                <w:rFonts w:ascii="Times New Roman" w:hAnsi="Times New Roman" w:cs="Times New Roman"/>
                <w:szCs w:val="20"/>
              </w:rPr>
              <w:t>’s</w:t>
            </w:r>
            <w:r w:rsidRPr="00424E40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volume</w:t>
            </w:r>
            <w:r w:rsidRPr="00424E40">
              <w:rPr>
                <w:rFonts w:ascii="Times New Roman" w:hAnsi="Times New Roman" w:cs="Times New Roman"/>
                <w:szCs w:val="20"/>
              </w:rPr>
              <w:t xml:space="preserve"> divided by total </w:t>
            </w:r>
            <w:r>
              <w:rPr>
                <w:rFonts w:ascii="Times New Roman" w:hAnsi="Times New Roman" w:cs="Times New Roman"/>
                <w:szCs w:val="20"/>
              </w:rPr>
              <w:t>volume</w:t>
            </w:r>
            <w:r w:rsidRPr="00424E40">
              <w:rPr>
                <w:rFonts w:ascii="Times New Roman" w:hAnsi="Times New Roman" w:cs="Times New Roman"/>
                <w:szCs w:val="20"/>
              </w:rPr>
              <w:t xml:space="preserve"> of all objects</w:t>
            </w:r>
            <w:r>
              <w:rPr>
                <w:rFonts w:ascii="Times New Roman" w:hAnsi="Times New Roman" w:cs="Times New Roman"/>
                <w:szCs w:val="20"/>
              </w:rPr>
              <w:t xml:space="preserve"> in all classes </w:t>
            </w:r>
            <w:r>
              <w:rPr>
                <w:rFonts w:ascii="Times New Roman" w:hAnsi="Times New Roman" w:cs="Times New Roman"/>
                <w:i/>
                <w:szCs w:val="20"/>
              </w:rPr>
              <w:t>c</w:t>
            </w:r>
            <w:r>
              <w:rPr>
                <w:rFonts w:ascii="Times New Roman" w:hAnsi="Times New Roman" w:cs="Times New Roman"/>
                <w:szCs w:val="20"/>
              </w:rPr>
              <w:t>: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69F17B1F" w14:textId="7EA18B7C" w:rsidR="00786EAF" w:rsidRPr="00786EAF" w:rsidRDefault="00B54EC6" w:rsidP="00041EE3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PLOV=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VOL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VOL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</m:oMath>
            </m:oMathPara>
          </w:p>
        </w:tc>
      </w:tr>
      <w:tr w:rsidR="00786EAF" w14:paraId="6E882435" w14:textId="77777777" w:rsidTr="003835F5">
        <w:tc>
          <w:tcPr>
            <w:tcW w:w="2515" w:type="dxa"/>
          </w:tcPr>
          <w:p w14:paraId="2F8A660B" w14:textId="77777777" w:rsidR="00041EE3" w:rsidRDefault="00786EAF" w:rsidP="002F42FC">
            <w:pPr>
              <w:rPr>
                <w:rFonts w:ascii="Times New Roman" w:eastAsiaTheme="minorEastAsia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 xml:space="preserve">Percent of Landscape Volume </w:t>
            </w:r>
          </w:p>
          <w:p w14:paraId="49F85034" w14:textId="58DCF406" w:rsidR="00786EAF" w:rsidRPr="00786EAF" w:rsidRDefault="00786EAF" w:rsidP="002F42FC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>(VPLAND)</w:t>
            </w:r>
          </w:p>
        </w:tc>
        <w:tc>
          <w:tcPr>
            <w:tcW w:w="6930" w:type="dxa"/>
          </w:tcPr>
          <w:p w14:paraId="2DC63F44" w14:textId="167100B2" w:rsidR="00786EAF" w:rsidRPr="007639CD" w:rsidRDefault="00041EE3" w:rsidP="00786EAF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Percent of landscape volume 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standardizes the volume of a class </w:t>
            </w:r>
            <w:r>
              <w:rPr>
                <w:rFonts w:ascii="Times New Roman" w:eastAsiaTheme="minorEastAsia" w:hAnsi="Times New Roman" w:cs="Times New Roman"/>
                <w:i/>
              </w:rPr>
              <w:t>j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 using the total volume of the study area, which is horizontally bounded by the perimeter of the study area, and vertically bounded by the</w:t>
            </w:r>
            <w:r w:rsidR="0033534C">
              <w:rPr>
                <w:rFonts w:ascii="Times New Roman" w:eastAsiaTheme="minorEastAsia" w:hAnsi="Times New Roman" w:cs="Times New Roman"/>
              </w:rPr>
              <w:t xml:space="preserve"> height of the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 tallest object with</w:t>
            </w:r>
            <w:r w:rsidR="0033534C">
              <w:rPr>
                <w:rFonts w:ascii="Times New Roman" w:eastAsiaTheme="minorEastAsia" w:hAnsi="Times New Roman" w:cs="Times New Roman"/>
              </w:rPr>
              <w:t>in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 the study area </w:t>
            </w:r>
            <w:r w:rsidR="0033534C">
              <w:rPr>
                <w:rFonts w:ascii="Times New Roman" w:eastAsiaTheme="minorEastAsia" w:hAnsi="Times New Roman" w:cs="Times New Roman"/>
              </w:rPr>
              <w:t>boundary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.  </w:t>
            </w:r>
            <w:r>
              <w:rPr>
                <w:rFonts w:ascii="Times New Roman" w:eastAsiaTheme="minorEastAsia" w:hAnsi="Times New Roman" w:cs="Times New Roman"/>
              </w:rPr>
              <w:t>Total landscape volume is computed using landscape area</w:t>
            </w:r>
            <w:r w:rsidR="00D75458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7639CD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D75458">
              <w:rPr>
                <w:rFonts w:ascii="Times New Roman" w:eastAsiaTheme="minorEastAsia" w:hAnsi="Times New Roman" w:cs="Times New Roman"/>
                <w:i/>
              </w:rPr>
              <w:t>,</w:t>
            </w:r>
            <w:r w:rsidRPr="007639CD"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</w:rPr>
              <w:t xml:space="preserve">the height of the tallest pixel </w:t>
            </w:r>
            <w:r w:rsidRPr="00041EE3">
              <w:rPr>
                <w:rFonts w:ascii="Times New Roman" w:eastAsiaTheme="minorEastAsia" w:hAnsi="Times New Roman" w:cs="Times New Roman"/>
              </w:rPr>
              <w:t>max</w:t>
            </w:r>
            <w:r w:rsidR="0033534C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lastRenderedPageBreak/>
              <w:t>(</w:t>
            </w:r>
            <w:proofErr w:type="spellStart"/>
            <w:r w:rsidRPr="007639CD">
              <w:rPr>
                <w:rFonts w:ascii="Times New Roman" w:eastAsiaTheme="minorEastAsia" w:hAnsi="Times New Roman" w:cs="Times New Roman"/>
                <w:i/>
              </w:rPr>
              <w:t>h</w:t>
            </w:r>
            <w:r w:rsidRPr="007639CD">
              <w:rPr>
                <w:rFonts w:ascii="Times New Roman" w:eastAsiaTheme="minorEastAsia" w:hAnsi="Times New Roman" w:cs="Times New Roman"/>
                <w:i/>
                <w:vertAlign w:val="subscript"/>
              </w:rPr>
              <w:t>p</w:t>
            </w:r>
            <w:proofErr w:type="spellEnd"/>
            <w:r w:rsidRPr="00041EE3">
              <w:rPr>
                <w:rFonts w:ascii="Times New Roman" w:eastAsiaTheme="minorEastAsia" w:hAnsi="Times New Roman" w:cs="Times New Roman"/>
                <w:i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in landscape</w:t>
            </w:r>
            <w:r>
              <w:rPr>
                <w:rFonts w:ascii="Times New Roman" w:eastAsiaTheme="minorEastAsia" w:hAnsi="Times New Roman" w:cs="Times New Roman"/>
                <w:i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>This metric provides a measure of how densely packed the 3D space of a study area is with objects of a particular class, or, if analyzed at the la</w:t>
            </w:r>
            <w:r w:rsidR="009E784D">
              <w:rPr>
                <w:rFonts w:ascii="Times New Roman" w:eastAsiaTheme="minorEastAsia" w:hAnsi="Times New Roman" w:cs="Times New Roman"/>
              </w:rPr>
              <w:t>ndscape level, all 3D objects.</w:t>
            </w:r>
          </w:p>
          <w:p w14:paraId="4916109D" w14:textId="152D2EB4" w:rsidR="00786EAF" w:rsidRPr="00041EE3" w:rsidRDefault="00DB54F9" w:rsidP="00041EE3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VPLAND=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VOL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</w:tr>
      <w:tr w:rsidR="00786EAF" w14:paraId="73A64349" w14:textId="77777777" w:rsidTr="003835F5">
        <w:tc>
          <w:tcPr>
            <w:tcW w:w="2515" w:type="dxa"/>
          </w:tcPr>
          <w:p w14:paraId="66EEA39A" w14:textId="77777777" w:rsidR="00F77865" w:rsidRDefault="00786EAF" w:rsidP="002F42FC">
            <w:pPr>
              <w:rPr>
                <w:rFonts w:ascii="Times New Roman" w:eastAsiaTheme="minorEastAsia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lastRenderedPageBreak/>
              <w:t xml:space="preserve">Shannon’s Diversity of Volume Index </w:t>
            </w:r>
          </w:p>
          <w:p w14:paraId="77E208E6" w14:textId="4B145ADD" w:rsidR="00786EAF" w:rsidRPr="00786EAF" w:rsidRDefault="00786EAF" w:rsidP="002F42FC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>(SHDVI)</w:t>
            </w:r>
          </w:p>
        </w:tc>
        <w:tc>
          <w:tcPr>
            <w:tcW w:w="6930" w:type="dxa"/>
          </w:tcPr>
          <w:p w14:paraId="2B85D9D5" w14:textId="7DED5106" w:rsidR="006A7733" w:rsidRPr="00786EAF" w:rsidRDefault="006A7733" w:rsidP="006A7733">
            <w:pPr>
              <w:spacing w:after="1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Shannon’s diversity equals m</w:t>
            </w:r>
            <w:r w:rsidRPr="00786EAF">
              <w:rPr>
                <w:rFonts w:ascii="Times New Roman" w:hAnsi="Times New Roman" w:cs="Times New Roman"/>
                <w:szCs w:val="20"/>
              </w:rPr>
              <w:t xml:space="preserve">inus the sum of the </w:t>
            </w:r>
            <w:r w:rsidR="003835F5">
              <w:rPr>
                <w:rFonts w:ascii="Times New Roman" w:hAnsi="Times New Roman" w:cs="Times New Roman"/>
                <w:szCs w:val="20"/>
              </w:rPr>
              <w:t>percentage of landscape object volume</w:t>
            </w:r>
            <w:r w:rsidRPr="00786EAF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</w:rPr>
              <w:t>PLOV</w:t>
            </w:r>
            <w:r>
              <w:rPr>
                <w:rFonts w:ascii="Times New Roman" w:hAnsi="Times New Roman" w:cs="Times New Roman"/>
                <w:szCs w:val="20"/>
              </w:rPr>
              <w:t>) class</w:t>
            </w:r>
            <w:r w:rsidR="003835F5">
              <w:rPr>
                <w:rFonts w:ascii="Times New Roman" w:hAnsi="Times New Roman" w:cs="Times New Roman"/>
                <w:szCs w:val="20"/>
              </w:rPr>
              <w:t>es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0"/>
              </w:rPr>
              <w:t>j</w:t>
            </w:r>
            <w:r w:rsidRPr="00786EAF">
              <w:rPr>
                <w:rFonts w:ascii="Times New Roman" w:hAnsi="Times New Roman" w:cs="Times New Roman"/>
                <w:szCs w:val="20"/>
              </w:rPr>
              <w:t xml:space="preserve"> multiplied by </w:t>
            </w:r>
            <w:r>
              <w:rPr>
                <w:rFonts w:ascii="Times New Roman" w:hAnsi="Times New Roman" w:cs="Times New Roman"/>
                <w:szCs w:val="20"/>
              </w:rPr>
              <w:t>the natural log of that</w:t>
            </w:r>
            <w:r w:rsidRPr="00786EAF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3835F5">
              <w:rPr>
                <w:rFonts w:ascii="Times New Roman" w:hAnsi="Times New Roman" w:cs="Times New Roman"/>
                <w:szCs w:val="20"/>
              </w:rPr>
              <w:t>percentage</w:t>
            </w:r>
            <w:r w:rsidRPr="00786EAF">
              <w:rPr>
                <w:rFonts w:ascii="Times New Roman" w:hAnsi="Times New Roman" w:cs="Times New Roman"/>
                <w:szCs w:val="20"/>
              </w:rPr>
              <w:t>:</w:t>
            </w:r>
          </w:p>
          <w:p w14:paraId="434971F9" w14:textId="535D3824" w:rsidR="00786EAF" w:rsidRPr="00F77865" w:rsidRDefault="00786EAF" w:rsidP="003835F5">
            <w:pPr>
              <w:spacing w:after="12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SHDVI=-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PLOV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PLOV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</w:tr>
      <w:tr w:rsidR="00786EAF" w14:paraId="4421E0A7" w14:textId="77777777" w:rsidTr="003835F5">
        <w:tc>
          <w:tcPr>
            <w:tcW w:w="2515" w:type="dxa"/>
          </w:tcPr>
          <w:p w14:paraId="4F715D47" w14:textId="77777777" w:rsidR="00F77865" w:rsidRDefault="00786EAF" w:rsidP="002F42FC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 xml:space="preserve">Simpson’s Diversity of Volume Index </w:t>
            </w:r>
          </w:p>
          <w:p w14:paraId="78C60055" w14:textId="4E312BFD" w:rsidR="00786EAF" w:rsidRPr="00786EAF" w:rsidRDefault="00786EAF" w:rsidP="002F42FC">
            <w:pPr>
              <w:rPr>
                <w:rFonts w:ascii="Times New Roman" w:eastAsiaTheme="minorEastAsia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(SIDVI)</w:t>
            </w:r>
          </w:p>
        </w:tc>
        <w:tc>
          <w:tcPr>
            <w:tcW w:w="6930" w:type="dxa"/>
          </w:tcPr>
          <w:p w14:paraId="630A12AE" w14:textId="179E98B9" w:rsidR="00F77865" w:rsidRPr="00786EAF" w:rsidRDefault="00F77865" w:rsidP="00F77865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Simpson’s diversity equals</w:t>
            </w:r>
            <w:r w:rsidR="00A924CF">
              <w:rPr>
                <w:rFonts w:ascii="Times New Roman" w:hAnsi="Times New Roman" w:cs="Times New Roman"/>
                <w:szCs w:val="20"/>
              </w:rPr>
              <w:t xml:space="preserve"> one</w:t>
            </w:r>
            <w:r w:rsidRPr="00786EAF">
              <w:rPr>
                <w:rFonts w:ascii="Times New Roman" w:hAnsi="Times New Roman" w:cs="Times New Roman"/>
                <w:szCs w:val="20"/>
              </w:rPr>
              <w:t xml:space="preserve"> minus the sum, across all obj</w:t>
            </w:r>
            <w:r>
              <w:rPr>
                <w:rFonts w:ascii="Times New Roman" w:hAnsi="Times New Roman" w:cs="Times New Roman"/>
                <w:szCs w:val="20"/>
              </w:rPr>
              <w:t xml:space="preserve">ect classes </w:t>
            </w:r>
            <w:r>
              <w:rPr>
                <w:rFonts w:ascii="Times New Roman" w:hAnsi="Times New Roman" w:cs="Times New Roman"/>
                <w:i/>
                <w:szCs w:val="20"/>
              </w:rPr>
              <w:t>c</w:t>
            </w:r>
            <w:r>
              <w:rPr>
                <w:rFonts w:ascii="Times New Roman" w:hAnsi="Times New Roman" w:cs="Times New Roman"/>
                <w:szCs w:val="20"/>
              </w:rPr>
              <w:t>, of the volume</w:t>
            </w:r>
            <w:r w:rsidRPr="00786EAF">
              <w:rPr>
                <w:rFonts w:ascii="Times New Roman" w:hAnsi="Times New Roman" w:cs="Times New Roman"/>
                <w:szCs w:val="20"/>
              </w:rPr>
              <w:t xml:space="preserve">-based proportional abundance </w:t>
            </w:r>
            <w:r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</w:rPr>
              <w:t>PLOV</w:t>
            </w:r>
            <w:r>
              <w:rPr>
                <w:rFonts w:ascii="Times New Roman" w:hAnsi="Times New Roman" w:cs="Times New Roman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Cs w:val="20"/>
              </w:rPr>
              <w:t xml:space="preserve"> </w:t>
            </w:r>
            <w:r w:rsidRPr="00786EAF">
              <w:rPr>
                <w:rFonts w:ascii="Times New Roman" w:hAnsi="Times New Roman" w:cs="Times New Roman"/>
                <w:szCs w:val="20"/>
              </w:rPr>
              <w:t xml:space="preserve">of each object class </w:t>
            </w:r>
            <w:r>
              <w:rPr>
                <w:rFonts w:ascii="Times New Roman" w:hAnsi="Times New Roman" w:cs="Times New Roman"/>
                <w:i/>
                <w:szCs w:val="20"/>
              </w:rPr>
              <w:t xml:space="preserve">j </w:t>
            </w:r>
            <w:r w:rsidRPr="00786EAF">
              <w:rPr>
                <w:rFonts w:ascii="Times New Roman" w:hAnsi="Times New Roman" w:cs="Times New Roman"/>
                <w:szCs w:val="20"/>
              </w:rPr>
              <w:t>squared</w:t>
            </w:r>
          </w:p>
          <w:p w14:paraId="5F07AA6C" w14:textId="43F94DF9" w:rsidR="00786EAF" w:rsidRPr="00F77865" w:rsidRDefault="00786EAF" w:rsidP="00F77865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SIDVI=1-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PLOV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</w:tr>
    </w:tbl>
    <w:p w14:paraId="1B240FAA" w14:textId="3402DC83" w:rsidR="00AD2642" w:rsidRPr="007639CD" w:rsidRDefault="00AD2642" w:rsidP="007639CD">
      <w:pPr>
        <w:spacing w:after="120" w:line="240" w:lineRule="auto"/>
        <w:rPr>
          <w:rFonts w:ascii="Times New Roman" w:hAnsi="Times New Roman" w:cs="Times New Roman"/>
        </w:rPr>
      </w:pPr>
    </w:p>
    <w:p w14:paraId="47EDAB35" w14:textId="4FC5E2EA" w:rsidR="00AD2642" w:rsidRPr="00786EAF" w:rsidRDefault="00AD2642" w:rsidP="00786EAF">
      <w:pPr>
        <w:spacing w:after="120" w:line="24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786EAF">
        <w:rPr>
          <w:rFonts w:ascii="Times New Roman" w:eastAsiaTheme="minorEastAsia" w:hAnsi="Times New Roman" w:cs="Times New Roman"/>
          <w:b/>
          <w:sz w:val="28"/>
        </w:rPr>
        <w:t>Shape Metrics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786EAF" w14:paraId="3DEEBC76" w14:textId="77777777" w:rsidTr="003835F5">
        <w:tc>
          <w:tcPr>
            <w:tcW w:w="2515" w:type="dxa"/>
          </w:tcPr>
          <w:p w14:paraId="7F65E910" w14:textId="77777777" w:rsidR="00555863" w:rsidRDefault="00786EAF" w:rsidP="00555863">
            <w:pPr>
              <w:rPr>
                <w:rFonts w:ascii="Times New Roman" w:eastAsiaTheme="minorEastAsia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 xml:space="preserve">Surface Area to Volume Ratio </w:t>
            </w:r>
          </w:p>
          <w:p w14:paraId="71899EFE" w14:textId="1CB5A41F" w:rsidR="00786EAF" w:rsidRPr="00786EAF" w:rsidRDefault="00786EAF" w:rsidP="00555863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>(SAVR)</w:t>
            </w:r>
          </w:p>
        </w:tc>
        <w:tc>
          <w:tcPr>
            <w:tcW w:w="6930" w:type="dxa"/>
          </w:tcPr>
          <w:p w14:paraId="3DBF0146" w14:textId="2CD1C718" w:rsidR="00786EAF" w:rsidRPr="007639CD" w:rsidRDefault="009B10CC" w:rsidP="00786EAF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>he ratio of 3D object surface area (m</w:t>
            </w:r>
            <w:r w:rsidR="00786EAF" w:rsidRPr="007639CD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>) to volume (m</w:t>
            </w:r>
            <w:r w:rsidR="00786EAF" w:rsidRPr="007639CD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="00555863">
              <w:rPr>
                <w:rFonts w:ascii="Times New Roman" w:eastAsiaTheme="minorEastAsia" w:hAnsi="Times New Roman" w:cs="Times New Roman"/>
              </w:rPr>
              <w:t xml:space="preserve">) 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is an unstandardized measure of shape that varies with object size.  </w:t>
            </w:r>
            <w:r w:rsidR="00786EAF" w:rsidRPr="007639CD">
              <w:rPr>
                <w:rFonts w:ascii="Times New Roman" w:eastAsiaTheme="minorEastAsia" w:hAnsi="Times New Roman" w:cs="Times New Roman"/>
                <w:i/>
              </w:rPr>
              <w:t xml:space="preserve">SAVR </w:t>
            </w:r>
            <w:r w:rsidR="00555863">
              <w:rPr>
                <w:rFonts w:ascii="Times New Roman" w:eastAsiaTheme="minorEastAsia" w:hAnsi="Times New Roman" w:cs="Times New Roman"/>
              </w:rPr>
              <w:t xml:space="preserve">of an 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object </w:t>
            </w:r>
            <w:proofErr w:type="spellStart"/>
            <w:r w:rsidR="00786EAF" w:rsidRPr="007639CD">
              <w:rPr>
                <w:rFonts w:ascii="Times New Roman" w:eastAsiaTheme="minorEastAsia" w:hAnsi="Times New Roman" w:cs="Times New Roman"/>
                <w:i/>
              </w:rPr>
              <w:t>i</w:t>
            </w:r>
            <w:proofErr w:type="spellEnd"/>
            <w:r w:rsidR="00786EAF" w:rsidRPr="007639CD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786EAF" w:rsidRPr="007639CD">
              <w:rPr>
                <w:rFonts w:ascii="Times New Roman" w:eastAsiaTheme="minorEastAsia" w:hAnsi="Times New Roman" w:cs="Times New Roman"/>
              </w:rPr>
              <w:t xml:space="preserve">is calculated as, </w:t>
            </w:r>
          </w:p>
          <w:p w14:paraId="2E779DD5" w14:textId="7CFD3064" w:rsidR="00786EAF" w:rsidRPr="00786EAF" w:rsidRDefault="006E0AB1" w:rsidP="00555863">
            <w:pPr>
              <w:spacing w:after="12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SAVR=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VOL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786EAF" w14:paraId="6E460E05" w14:textId="77777777" w:rsidTr="003835F5">
        <w:tc>
          <w:tcPr>
            <w:tcW w:w="2515" w:type="dxa"/>
          </w:tcPr>
          <w:p w14:paraId="0AC0CAAB" w14:textId="2DE6ADE6" w:rsidR="00786EAF" w:rsidRPr="00786EAF" w:rsidRDefault="00786EAF" w:rsidP="00555863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Three Dimensional Shape (3DSHAPE)</w:t>
            </w:r>
          </w:p>
        </w:tc>
        <w:tc>
          <w:tcPr>
            <w:tcW w:w="6930" w:type="dxa"/>
          </w:tcPr>
          <w:p w14:paraId="4EE7B398" w14:textId="327C50D0" w:rsidR="00786EAF" w:rsidRPr="007639CD" w:rsidRDefault="00786EAF" w:rsidP="00786EAF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7639CD">
              <w:rPr>
                <w:rFonts w:ascii="Times New Roman" w:eastAsia="Calibri" w:hAnsi="Times New Roman" w:cs="Times New Roman"/>
                <w:i/>
              </w:rPr>
              <w:t>3DSHAPE</w:t>
            </w:r>
            <w:r w:rsidRPr="007639CD">
              <w:rPr>
                <w:rFonts w:ascii="Times New Roman" w:eastAsia="Calibri" w:hAnsi="Times New Roman" w:cs="Times New Roman"/>
              </w:rPr>
              <w:t xml:space="preserve"> </w:t>
            </w:r>
            <w:r w:rsidR="00555863">
              <w:rPr>
                <w:rFonts w:ascii="Times New Roman" w:eastAsia="Calibri" w:hAnsi="Times New Roman" w:cs="Times New Roman"/>
              </w:rPr>
              <w:t>equal</w:t>
            </w:r>
            <w:r w:rsidR="003F7A04">
              <w:rPr>
                <w:rFonts w:ascii="Times New Roman" w:eastAsia="Calibri" w:hAnsi="Times New Roman" w:cs="Times New Roman"/>
              </w:rPr>
              <w:t>s</w:t>
            </w:r>
            <w:r w:rsidR="00555863">
              <w:rPr>
                <w:rFonts w:ascii="Times New Roman" w:eastAsia="Calibri" w:hAnsi="Times New Roman" w:cs="Times New Roman"/>
              </w:rPr>
              <w:t xml:space="preserve"> the </w:t>
            </w:r>
            <w:r w:rsidR="00555863" w:rsidRPr="007639CD">
              <w:rPr>
                <w:rFonts w:ascii="Times New Roman" w:eastAsia="Calibri" w:hAnsi="Times New Roman" w:cs="Times New Roman"/>
              </w:rPr>
              <w:t xml:space="preserve">surface area </w:t>
            </w:r>
            <w:r w:rsidR="00555863">
              <w:rPr>
                <w:rFonts w:ascii="Times New Roman" w:eastAsia="Calibri" w:hAnsi="Times New Roman" w:cs="Times New Roman"/>
              </w:rPr>
              <w:t xml:space="preserve">of an object </w:t>
            </w:r>
            <w:proofErr w:type="spellStart"/>
            <w:r w:rsidR="00555863">
              <w:rPr>
                <w:rFonts w:ascii="Times New Roman" w:eastAsia="Calibri" w:hAnsi="Times New Roman" w:cs="Times New Roman"/>
                <w:i/>
              </w:rPr>
              <w:t>i</w:t>
            </w:r>
            <w:proofErr w:type="spellEnd"/>
            <w:r w:rsidR="00555863">
              <w:rPr>
                <w:rFonts w:ascii="Times New Roman" w:eastAsia="Calibri" w:hAnsi="Times New Roman" w:cs="Times New Roman"/>
                <w:i/>
              </w:rPr>
              <w:t xml:space="preserve"> </w:t>
            </w:r>
            <w:r w:rsidR="00555863" w:rsidRPr="007639CD">
              <w:rPr>
                <w:rFonts w:ascii="Times New Roman" w:eastAsia="Calibri" w:hAnsi="Times New Roman" w:cs="Times New Roman"/>
              </w:rPr>
              <w:t xml:space="preserve">divided by the minimum surface area of a maximally compact cubic object of </w:t>
            </w:r>
            <w:r w:rsidR="00762A99">
              <w:rPr>
                <w:rFonts w:ascii="Times New Roman" w:eastAsia="Calibri" w:hAnsi="Times New Roman" w:cs="Times New Roman"/>
              </w:rPr>
              <w:t>a</w:t>
            </w:r>
            <w:r w:rsidR="00555863" w:rsidRPr="007639CD">
              <w:rPr>
                <w:rFonts w:ascii="Times New Roman" w:eastAsia="Calibri" w:hAnsi="Times New Roman" w:cs="Times New Roman"/>
              </w:rPr>
              <w:t xml:space="preserve"> volume</w:t>
            </w:r>
            <w:r w:rsidR="00762A99">
              <w:rPr>
                <w:rFonts w:ascii="Times New Roman" w:eastAsia="Calibri" w:hAnsi="Times New Roman" w:cs="Times New Roman"/>
              </w:rPr>
              <w:t xml:space="preserve"> equal to the object </w:t>
            </w:r>
            <w:proofErr w:type="spellStart"/>
            <w:r w:rsidR="00762A99">
              <w:rPr>
                <w:rFonts w:ascii="Times New Roman" w:eastAsia="Calibri" w:hAnsi="Times New Roman" w:cs="Times New Roman"/>
                <w:i/>
              </w:rPr>
              <w:t>i</w:t>
            </w:r>
            <w:proofErr w:type="spellEnd"/>
            <w:r w:rsidR="00555863">
              <w:rPr>
                <w:rFonts w:ascii="Times New Roman" w:eastAsia="Calibri" w:hAnsi="Times New Roman" w:cs="Times New Roman"/>
              </w:rPr>
              <w:t>.</w:t>
            </w:r>
            <w:r w:rsidR="00555863" w:rsidRPr="007639CD">
              <w:rPr>
                <w:rFonts w:ascii="Times New Roman" w:eastAsia="Calibri" w:hAnsi="Times New Roman" w:cs="Times New Roman"/>
              </w:rPr>
              <w:t xml:space="preserve"> </w:t>
            </w:r>
            <w:r w:rsidR="00555863">
              <w:rPr>
                <w:rFonts w:ascii="Times New Roman" w:eastAsia="Calibri" w:hAnsi="Times New Roman" w:cs="Times New Roman"/>
              </w:rPr>
              <w:t xml:space="preserve">This metric </w:t>
            </w:r>
            <w:r w:rsidRPr="007639CD">
              <w:rPr>
                <w:rFonts w:ascii="Times New Roman" w:eastAsia="Calibri" w:hAnsi="Times New Roman" w:cs="Times New Roman"/>
              </w:rPr>
              <w:t xml:space="preserve">provides a standardized measure of 3D object complexity by referencing any object to a cube.  We use a reference cube, but other reference objects are possible (e.g., a reference sphere for tree canopy shape).  The </w:t>
            </w:r>
            <w:r w:rsidRPr="007639CD">
              <w:rPr>
                <w:rFonts w:ascii="Times New Roman" w:eastAsia="Calibri" w:hAnsi="Times New Roman" w:cs="Times New Roman"/>
                <w:i/>
              </w:rPr>
              <w:t>3DSHAPE</w:t>
            </w:r>
            <w:r w:rsidRPr="007639CD">
              <w:rPr>
                <w:rFonts w:ascii="Times New Roman" w:eastAsia="Calibri" w:hAnsi="Times New Roman" w:cs="Times New Roman"/>
              </w:rPr>
              <w:t xml:space="preserve"> of an object </w:t>
            </w:r>
            <w:proofErr w:type="spellStart"/>
            <w:r w:rsidRPr="007639CD">
              <w:rPr>
                <w:rFonts w:ascii="Times New Roman" w:eastAsia="Calibri" w:hAnsi="Times New Roman" w:cs="Times New Roman"/>
                <w:i/>
              </w:rPr>
              <w:t>i</w:t>
            </w:r>
            <w:proofErr w:type="spellEnd"/>
            <w:r w:rsidRPr="007639CD">
              <w:rPr>
                <w:rFonts w:ascii="Times New Roman" w:eastAsia="Calibri" w:hAnsi="Times New Roman" w:cs="Times New Roman"/>
              </w:rPr>
              <w:t xml:space="preserve"> is computed as, </w:t>
            </w:r>
          </w:p>
          <w:p w14:paraId="29E19AA6" w14:textId="5374764A" w:rsidR="00786EAF" w:rsidRPr="007639CD" w:rsidRDefault="006E0AB1" w:rsidP="00786EAF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3DSHAPE=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VOL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sup>
                    </m:sSubSup>
                  </m:den>
                </m:f>
              </m:oMath>
            </m:oMathPara>
          </w:p>
          <w:p w14:paraId="455BCFF7" w14:textId="1DF4537E" w:rsidR="00786EAF" w:rsidRPr="00786EAF" w:rsidRDefault="00786EAF" w:rsidP="003835F5">
            <w:pPr>
              <w:spacing w:after="12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3D968D9E" w14:textId="4EF69045" w:rsidR="00AD2642" w:rsidRPr="007639CD" w:rsidRDefault="00AD2642" w:rsidP="007639CD">
      <w:pPr>
        <w:spacing w:after="120" w:line="240" w:lineRule="auto"/>
        <w:rPr>
          <w:rFonts w:ascii="Times New Roman" w:eastAsiaTheme="minorEastAsia" w:hAnsi="Times New Roman" w:cs="Times New Roman"/>
          <w:b/>
          <w:u w:val="single"/>
        </w:rPr>
      </w:pPr>
    </w:p>
    <w:p w14:paraId="713B6459" w14:textId="22FC664F" w:rsidR="00AD2642" w:rsidRPr="00786EAF" w:rsidRDefault="00AD2642" w:rsidP="00786EAF">
      <w:pPr>
        <w:spacing w:after="120" w:line="24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786EAF">
        <w:rPr>
          <w:rFonts w:ascii="Times New Roman" w:eastAsiaTheme="minorEastAsia" w:hAnsi="Times New Roman" w:cs="Times New Roman"/>
          <w:b/>
          <w:sz w:val="28"/>
        </w:rPr>
        <w:t>Distribution Statistics</w:t>
      </w:r>
    </w:p>
    <w:p w14:paraId="0E858F30" w14:textId="4E3CE81E" w:rsidR="00AD2642" w:rsidRPr="007639CD" w:rsidRDefault="00AD2642" w:rsidP="007639CD">
      <w:pPr>
        <w:spacing w:after="120" w:line="240" w:lineRule="auto"/>
        <w:rPr>
          <w:rFonts w:ascii="Times New Roman" w:eastAsiaTheme="minorEastAsia" w:hAnsi="Times New Roman" w:cs="Times New Roman"/>
        </w:rPr>
      </w:pPr>
      <w:r w:rsidRPr="007639CD">
        <w:rPr>
          <w:rFonts w:ascii="Times New Roman" w:eastAsiaTheme="minorEastAsia" w:hAnsi="Times New Roman" w:cs="Times New Roman"/>
        </w:rPr>
        <w:t xml:space="preserve">Distributional statistics summarize the attributes </w:t>
      </w:r>
      <w:r w:rsidR="00A05A2F">
        <w:rPr>
          <w:rFonts w:ascii="Times New Roman" w:eastAsiaTheme="minorEastAsia" w:hAnsi="Times New Roman" w:cs="Times New Roman"/>
        </w:rPr>
        <w:t>of the fundamental metrics, volume (VOL) and surface area (SA)</w:t>
      </w:r>
      <w:r w:rsidRPr="007639CD">
        <w:rPr>
          <w:rFonts w:ascii="Times New Roman" w:eastAsiaTheme="minorEastAsia" w:hAnsi="Times New Roman" w:cs="Times New Roman"/>
        </w:rPr>
        <w:t xml:space="preserve"> of sets of 3D objects </w:t>
      </w:r>
      <w:r w:rsidR="003F7A04">
        <w:rPr>
          <w:rFonts w:ascii="Times New Roman" w:eastAsiaTheme="minorEastAsia" w:hAnsi="Times New Roman" w:cs="Times New Roman"/>
        </w:rPr>
        <w:t xml:space="preserve">and </w:t>
      </w:r>
      <w:r w:rsidRPr="007639CD">
        <w:rPr>
          <w:rFonts w:ascii="Times New Roman" w:eastAsiaTheme="minorEastAsia" w:hAnsi="Times New Roman" w:cs="Times New Roman"/>
        </w:rPr>
        <w:t xml:space="preserve">can be computed at the class and landscape levels.  When objects are differentiated into classes based on some attribute (e.g., height, type), class-level metrics measure the distribution of object attributes within each class. Landscape-level metrics measure the aggregate properties of object attributes when all classes are analyzed together.  </w:t>
      </w:r>
    </w:p>
    <w:p w14:paraId="34D2EACC" w14:textId="5C3525B8" w:rsidR="00AD2642" w:rsidRDefault="00AD2642" w:rsidP="007639CD">
      <w:pPr>
        <w:spacing w:after="120" w:line="240" w:lineRule="auto"/>
        <w:rPr>
          <w:rFonts w:ascii="Times New Roman" w:eastAsiaTheme="minorEastAsia" w:hAnsi="Times New Roman" w:cs="Times New Roman"/>
        </w:rPr>
      </w:pPr>
      <w:r w:rsidRPr="007639CD">
        <w:rPr>
          <w:rFonts w:ascii="Times New Roman" w:eastAsiaTheme="minorEastAsia" w:hAnsi="Times New Roman" w:cs="Times New Roman"/>
        </w:rPr>
        <w:lastRenderedPageBreak/>
        <w:t>Desc</w:t>
      </w:r>
      <w:r w:rsidR="00E47294">
        <w:rPr>
          <w:rFonts w:ascii="Times New Roman" w:eastAsiaTheme="minorEastAsia" w:hAnsi="Times New Roman" w:cs="Times New Roman"/>
        </w:rPr>
        <w:t>riptive statistics of</w:t>
      </w:r>
      <w:r w:rsidRPr="007639CD">
        <w:rPr>
          <w:rFonts w:ascii="Times New Roman" w:eastAsiaTheme="minorEastAsia" w:hAnsi="Times New Roman" w:cs="Times New Roman"/>
        </w:rPr>
        <w:t xml:space="preserve"> mean (_</w:t>
      </w:r>
      <w:r w:rsidRPr="007639CD">
        <w:rPr>
          <w:rFonts w:ascii="Times New Roman" w:eastAsiaTheme="minorEastAsia" w:hAnsi="Times New Roman" w:cs="Times New Roman"/>
          <w:i/>
        </w:rPr>
        <w:t>MN</w:t>
      </w:r>
      <w:r w:rsidRPr="007639CD">
        <w:rPr>
          <w:rFonts w:ascii="Times New Roman" w:eastAsiaTheme="minorEastAsia" w:hAnsi="Times New Roman" w:cs="Times New Roman"/>
        </w:rPr>
        <w:t xml:space="preserve">), </w:t>
      </w:r>
      <w:r w:rsidR="00E47294">
        <w:rPr>
          <w:rFonts w:ascii="Times New Roman" w:eastAsiaTheme="minorEastAsia" w:hAnsi="Times New Roman" w:cs="Times New Roman"/>
        </w:rPr>
        <w:t xml:space="preserve">median (_MD), </w:t>
      </w:r>
      <w:r w:rsidRPr="007639CD">
        <w:rPr>
          <w:rFonts w:ascii="Times New Roman" w:eastAsiaTheme="minorEastAsia" w:hAnsi="Times New Roman" w:cs="Times New Roman"/>
        </w:rPr>
        <w:t>range (_</w:t>
      </w:r>
      <w:r w:rsidRPr="007639CD">
        <w:rPr>
          <w:rFonts w:ascii="Times New Roman" w:eastAsiaTheme="minorEastAsia" w:hAnsi="Times New Roman" w:cs="Times New Roman"/>
          <w:i/>
        </w:rPr>
        <w:t>RA</w:t>
      </w:r>
      <w:r w:rsidRPr="007639CD">
        <w:rPr>
          <w:rFonts w:ascii="Times New Roman" w:eastAsiaTheme="minorEastAsia" w:hAnsi="Times New Roman" w:cs="Times New Roman"/>
        </w:rPr>
        <w:t xml:space="preserve">), </w:t>
      </w:r>
      <w:r w:rsidR="000C5214" w:rsidRPr="007639CD">
        <w:rPr>
          <w:rFonts w:ascii="Times New Roman" w:eastAsiaTheme="minorEastAsia" w:hAnsi="Times New Roman" w:cs="Times New Roman"/>
        </w:rPr>
        <w:t>standard deviation (_</w:t>
      </w:r>
      <w:r w:rsidR="000C5214" w:rsidRPr="007639CD">
        <w:rPr>
          <w:rFonts w:ascii="Times New Roman" w:eastAsiaTheme="minorEastAsia" w:hAnsi="Times New Roman" w:cs="Times New Roman"/>
          <w:i/>
        </w:rPr>
        <w:t>SD</w:t>
      </w:r>
      <w:r w:rsidR="000C5214" w:rsidRPr="007639CD">
        <w:rPr>
          <w:rFonts w:ascii="Times New Roman" w:eastAsiaTheme="minorEastAsia" w:hAnsi="Times New Roman" w:cs="Times New Roman"/>
        </w:rPr>
        <w:t xml:space="preserve">), </w:t>
      </w:r>
      <w:r w:rsidRPr="007639CD">
        <w:rPr>
          <w:rFonts w:ascii="Times New Roman" w:eastAsiaTheme="minorEastAsia" w:hAnsi="Times New Roman" w:cs="Times New Roman"/>
        </w:rPr>
        <w:t>and coefficient of variation (_</w:t>
      </w:r>
      <w:r w:rsidRPr="007639CD">
        <w:rPr>
          <w:rFonts w:ascii="Times New Roman" w:eastAsiaTheme="minorEastAsia" w:hAnsi="Times New Roman" w:cs="Times New Roman"/>
          <w:i/>
        </w:rPr>
        <w:t>CV</w:t>
      </w:r>
      <w:r w:rsidRPr="007639CD">
        <w:rPr>
          <w:rFonts w:ascii="Times New Roman" w:eastAsiaTheme="minorEastAsia" w:hAnsi="Times New Roman" w:cs="Times New Roman"/>
        </w:rPr>
        <w:t xml:space="preserve">) are all calculated following standard statistical procedures with individual 3D objects acting as observations.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A0433" w14:paraId="2585CAD6" w14:textId="77777777" w:rsidTr="00FD730A">
        <w:tc>
          <w:tcPr>
            <w:tcW w:w="2538" w:type="dxa"/>
          </w:tcPr>
          <w:p w14:paraId="436FFA3A" w14:textId="39DF6501" w:rsidR="004A0433" w:rsidRDefault="00B91C6C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Mean</w:t>
            </w:r>
          </w:p>
          <w:p w14:paraId="7FC14150" w14:textId="4A329A59" w:rsidR="00B91C6C" w:rsidRDefault="00B91C6C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(_MN)</w:t>
            </w:r>
          </w:p>
        </w:tc>
        <w:tc>
          <w:tcPr>
            <w:tcW w:w="7038" w:type="dxa"/>
          </w:tcPr>
          <w:p w14:paraId="24CC537E" w14:textId="22138CB7" w:rsidR="004A0433" w:rsidRDefault="00B91C6C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Mean is the sum of the metric value</w:t>
            </w:r>
            <w:r w:rsidR="00612FEB">
              <w:rPr>
                <w:rFonts w:ascii="Times New Roman" w:eastAsiaTheme="minorEastAsia" w:hAnsi="Times New Roman" w:cs="Times New Roman"/>
              </w:rPr>
              <w:t xml:space="preserve">, </w:t>
            </w:r>
            <w:r w:rsidR="00612FEB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(e.g., VOL) across all objects of class </w:t>
            </w:r>
            <w:r>
              <w:rPr>
                <w:rFonts w:ascii="Times New Roman" w:eastAsiaTheme="minorEastAsia" w:hAnsi="Times New Roman" w:cs="Times New Roman"/>
                <w:i/>
              </w:rPr>
              <w:t>j</w:t>
            </w:r>
            <w:r>
              <w:rPr>
                <w:rFonts w:ascii="Times New Roman" w:eastAsiaTheme="minorEastAsia" w:hAnsi="Times New Roman" w:cs="Times New Roman"/>
              </w:rPr>
              <w:t>, divided by the number of objects of the same type,</w:t>
            </w:r>
          </w:p>
          <w:p w14:paraId="33F3A821" w14:textId="595AFF12" w:rsidR="00B91C6C" w:rsidRPr="00B91C6C" w:rsidRDefault="00612FEB" w:rsidP="00C63C78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_MN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A0433" w14:paraId="1B3E6669" w14:textId="77777777" w:rsidTr="00FD730A">
        <w:tc>
          <w:tcPr>
            <w:tcW w:w="2538" w:type="dxa"/>
          </w:tcPr>
          <w:p w14:paraId="71A790E7" w14:textId="446EEE45" w:rsidR="004A0433" w:rsidRDefault="00B91C6C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Median</w:t>
            </w:r>
          </w:p>
          <w:p w14:paraId="18C34D36" w14:textId="176B19DE" w:rsidR="00B91C6C" w:rsidRDefault="00B91C6C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(_MD)</w:t>
            </w:r>
          </w:p>
        </w:tc>
        <w:tc>
          <w:tcPr>
            <w:tcW w:w="7038" w:type="dxa"/>
          </w:tcPr>
          <w:p w14:paraId="7E6C88E2" w14:textId="1191CCF5" w:rsidR="004A0433" w:rsidRDefault="00B91C6C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Median equals the metric value</w:t>
            </w:r>
            <w:r w:rsidR="00612FEB">
              <w:rPr>
                <w:rFonts w:ascii="Times New Roman" w:eastAsiaTheme="minorEastAsia" w:hAnsi="Times New Roman" w:cs="Times New Roman"/>
              </w:rPr>
              <w:t xml:space="preserve">, </w:t>
            </w:r>
            <w:r w:rsidR="00612FEB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of the object metric at the midpoint of the rank order distribution of metric values of objects of class </w:t>
            </w:r>
            <w:r>
              <w:rPr>
                <w:rFonts w:ascii="Times New Roman" w:eastAsiaTheme="minorEastAsia" w:hAnsi="Times New Roman" w:cs="Times New Roman"/>
                <w:i/>
              </w:rPr>
              <w:t>j</w:t>
            </w:r>
          </w:p>
          <w:p w14:paraId="1775BF73" w14:textId="701541F7" w:rsidR="00B91C6C" w:rsidRPr="00B91C6C" w:rsidRDefault="00612FEB" w:rsidP="00612FEB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_MD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50%</m:t>
                    </m:r>
                  </m:sub>
                </m:sSub>
              </m:oMath>
            </m:oMathPara>
          </w:p>
        </w:tc>
      </w:tr>
      <w:tr w:rsidR="004A0433" w14:paraId="5D6AE56A" w14:textId="77777777" w:rsidTr="00FD730A">
        <w:tc>
          <w:tcPr>
            <w:tcW w:w="2538" w:type="dxa"/>
          </w:tcPr>
          <w:p w14:paraId="0F98226E" w14:textId="5A6D8158" w:rsidR="000C5214" w:rsidRDefault="000C5214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Range</w:t>
            </w:r>
          </w:p>
          <w:p w14:paraId="43EB967F" w14:textId="3607ED54" w:rsidR="000C5214" w:rsidRDefault="000C5214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(_RA)</w:t>
            </w:r>
          </w:p>
        </w:tc>
        <w:tc>
          <w:tcPr>
            <w:tcW w:w="7038" w:type="dxa"/>
          </w:tcPr>
          <w:p w14:paraId="0F7B1314" w14:textId="21707C4B" w:rsidR="004A0433" w:rsidRDefault="007721F0" w:rsidP="007721F0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The range is the largest metric value</w:t>
            </w:r>
            <w:r w:rsidR="00612FEB">
              <w:rPr>
                <w:rFonts w:ascii="Times New Roman" w:eastAsiaTheme="minorEastAsia" w:hAnsi="Times New Roman" w:cs="Times New Roman"/>
              </w:rPr>
              <w:t xml:space="preserve">, </w:t>
            </w:r>
            <w:r w:rsidR="00612FEB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observed minus the smallest metric value observed for objects of class </w:t>
            </w:r>
            <w:r>
              <w:rPr>
                <w:rFonts w:ascii="Times New Roman" w:eastAsiaTheme="minorEastAsia" w:hAnsi="Times New Roman" w:cs="Times New Roman"/>
                <w:i/>
              </w:rPr>
              <w:t>j</w:t>
            </w:r>
            <w:r>
              <w:rPr>
                <w:rFonts w:ascii="Times New Roman" w:eastAsiaTheme="minorEastAsia" w:hAnsi="Times New Roman" w:cs="Times New Roman"/>
              </w:rPr>
              <w:t xml:space="preserve">, </w:t>
            </w:r>
          </w:p>
          <w:p w14:paraId="3FF9637F" w14:textId="188568D3" w:rsidR="006D1CC2" w:rsidRPr="00612FEB" w:rsidRDefault="00612FEB" w:rsidP="00612FEB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_RA = </m:t>
                </m:r>
                <m:r>
                  <w:rPr>
                    <w:rFonts w:ascii="Cambria Math" w:hAnsi="Cambria Math" w:cs="Times New Roman"/>
                  </w:rPr>
                  <m:t>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-min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⁡(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4A0433" w:rsidRPr="006D1CC2" w14:paraId="5450CA24" w14:textId="77777777" w:rsidTr="00FD730A">
        <w:tc>
          <w:tcPr>
            <w:tcW w:w="2538" w:type="dxa"/>
          </w:tcPr>
          <w:p w14:paraId="60E8A459" w14:textId="77777777" w:rsidR="000C5214" w:rsidRDefault="000C5214" w:rsidP="000C5214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</w:t>
            </w:r>
          </w:p>
          <w:p w14:paraId="68EFEB06" w14:textId="57F5E67D" w:rsidR="004A0433" w:rsidRDefault="000C5214" w:rsidP="000C5214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(_SD)</w:t>
            </w:r>
          </w:p>
        </w:tc>
        <w:tc>
          <w:tcPr>
            <w:tcW w:w="7038" w:type="dxa"/>
          </w:tcPr>
          <w:p w14:paraId="6DA8F8C1" w14:textId="735CFFF1" w:rsidR="004A0433" w:rsidRPr="006D1CC2" w:rsidRDefault="006D1CC2" w:rsidP="006D1CC2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Standard deviation is </w:t>
            </w:r>
            <w:r w:rsidRPr="006D1CC2">
              <w:rPr>
                <w:rFonts w:ascii="Times New Roman" w:eastAsia="Times New Roman" w:hAnsi="Times New Roman" w:cs="Times New Roman"/>
              </w:rPr>
              <w:t>equal to</w:t>
            </w:r>
            <w:r w:rsidR="007721F0" w:rsidRPr="006D1CC2">
              <w:rPr>
                <w:rFonts w:ascii="Times New Roman" w:eastAsia="Times New Roman" w:hAnsi="Times New Roman" w:cs="Times New Roman"/>
              </w:rPr>
              <w:t xml:space="preserve"> the square root of the sum of the squared deviations of each </w:t>
            </w:r>
            <w:r>
              <w:rPr>
                <w:rFonts w:ascii="Times New Roman" w:eastAsia="Times New Roman" w:hAnsi="Times New Roman" w:cs="Times New Roman"/>
              </w:rPr>
              <w:t>object</w:t>
            </w:r>
            <w:r w:rsidR="007721F0" w:rsidRPr="006D1CC2">
              <w:rPr>
                <w:rFonts w:ascii="Times New Roman" w:eastAsia="Times New Roman" w:hAnsi="Times New Roman" w:cs="Times New Roman"/>
              </w:rPr>
              <w:t xml:space="preserve"> metric value</w:t>
            </w:r>
            <w:r w:rsidR="00612FEB">
              <w:rPr>
                <w:rFonts w:ascii="Times New Roman" w:eastAsiaTheme="minorEastAsia" w:hAnsi="Times New Roman" w:cs="Times New Roman"/>
              </w:rPr>
              <w:t xml:space="preserve">, </w:t>
            </w:r>
            <w:r w:rsidR="00612FEB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7721F0" w:rsidRPr="006D1CC2">
              <w:rPr>
                <w:rFonts w:ascii="Times New Roman" w:eastAsia="Times New Roman" w:hAnsi="Times New Roman" w:cs="Times New Roman"/>
              </w:rPr>
              <w:t xml:space="preserve"> from the mean metric value of the corresponding </w:t>
            </w:r>
            <w:r>
              <w:rPr>
                <w:rFonts w:ascii="Times New Roman" w:eastAsia="Times New Roman" w:hAnsi="Times New Roman" w:cs="Times New Roman"/>
              </w:rPr>
              <w:t>object class</w:t>
            </w:r>
            <w:r w:rsidR="007721F0" w:rsidRPr="006D1CC2">
              <w:rPr>
                <w:rFonts w:ascii="Times New Roman" w:eastAsia="Times New Roman" w:hAnsi="Times New Roman" w:cs="Times New Roman"/>
              </w:rPr>
              <w:t xml:space="preserve">, divided by the number of </w:t>
            </w:r>
            <w:r>
              <w:rPr>
                <w:rFonts w:ascii="Times New Roman" w:eastAsia="Times New Roman" w:hAnsi="Times New Roman" w:cs="Times New Roman"/>
              </w:rPr>
              <w:t>objects</w:t>
            </w:r>
            <w:r w:rsidR="007721F0" w:rsidRPr="006D1CC2">
              <w:rPr>
                <w:rFonts w:ascii="Times New Roman" w:eastAsia="Times New Roman" w:hAnsi="Times New Roman" w:cs="Times New Roman"/>
              </w:rPr>
              <w:t xml:space="preserve"> of the same </w:t>
            </w:r>
            <w:r w:rsidRPr="006D1CC2">
              <w:rPr>
                <w:rFonts w:ascii="Times New Roman" w:eastAsia="Times New Roman" w:hAnsi="Times New Roman" w:cs="Times New Roman"/>
              </w:rPr>
              <w:t>class,</w:t>
            </w:r>
          </w:p>
          <w:p w14:paraId="57182503" w14:textId="1232BDEA" w:rsidR="006D1CC2" w:rsidRPr="006D1CC2" w:rsidRDefault="00B0099B" w:rsidP="00B0099B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_SD 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4A0433" w14:paraId="5CE3F24C" w14:textId="77777777" w:rsidTr="00FD730A">
        <w:tc>
          <w:tcPr>
            <w:tcW w:w="2538" w:type="dxa"/>
          </w:tcPr>
          <w:p w14:paraId="49A3C1B2" w14:textId="065BEC0B" w:rsidR="004A0433" w:rsidRDefault="000C5214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Coefficient of Variation</w:t>
            </w:r>
          </w:p>
          <w:p w14:paraId="3A67B00E" w14:textId="0DDC6D1D" w:rsidR="000C5214" w:rsidRDefault="000C5214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(_CV)</w:t>
            </w:r>
          </w:p>
        </w:tc>
        <w:tc>
          <w:tcPr>
            <w:tcW w:w="7038" w:type="dxa"/>
          </w:tcPr>
          <w:p w14:paraId="11EC1C9C" w14:textId="77777777" w:rsidR="004A0433" w:rsidRDefault="006D1CC2" w:rsidP="007639CD">
            <w:pPr>
              <w:spacing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Coefficient of variation is the standard deviation of an object class, </w:t>
            </w:r>
            <w:r>
              <w:rPr>
                <w:rFonts w:ascii="Times New Roman" w:eastAsiaTheme="minorEastAsia" w:hAnsi="Times New Roman" w:cs="Times New Roman"/>
                <w:i/>
              </w:rPr>
              <w:t>j</w:t>
            </w:r>
            <w:r>
              <w:rPr>
                <w:rFonts w:ascii="Times New Roman" w:eastAsiaTheme="minorEastAsia" w:hAnsi="Times New Roman" w:cs="Times New Roman"/>
              </w:rPr>
              <w:t>, divided by the mean of the object class.  That value is multiplied by 100 to convert it to a percentage,</w:t>
            </w:r>
          </w:p>
          <w:p w14:paraId="36D9CEEC" w14:textId="4FAC2E15" w:rsidR="006D1CC2" w:rsidRDefault="00B3552C" w:rsidP="00B3552C">
            <w:pPr>
              <w:spacing w:after="12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_CV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MN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*(100)</m:t>
                </m:r>
              </m:oMath>
            </m:oMathPara>
          </w:p>
        </w:tc>
      </w:tr>
    </w:tbl>
    <w:p w14:paraId="5355996A" w14:textId="77777777" w:rsidR="004A0433" w:rsidRPr="007639CD" w:rsidRDefault="004A0433" w:rsidP="007639CD">
      <w:pPr>
        <w:spacing w:after="120" w:line="240" w:lineRule="auto"/>
        <w:rPr>
          <w:rFonts w:ascii="Times New Roman" w:eastAsiaTheme="minorEastAsia" w:hAnsi="Times New Roman" w:cs="Times New Roman"/>
        </w:rPr>
      </w:pPr>
    </w:p>
    <w:p w14:paraId="1A865D18" w14:textId="000AE35D" w:rsidR="00AD2642" w:rsidRDefault="00AD2642" w:rsidP="007639CD">
      <w:pPr>
        <w:spacing w:after="120" w:line="240" w:lineRule="auto"/>
        <w:rPr>
          <w:rFonts w:ascii="Times New Roman" w:eastAsiaTheme="minorEastAsia" w:hAnsi="Times New Roman" w:cs="Times New Roman"/>
        </w:rPr>
      </w:pPr>
      <w:r w:rsidRPr="007639CD">
        <w:rPr>
          <w:rFonts w:ascii="Times New Roman" w:eastAsiaTheme="minorEastAsia" w:hAnsi="Times New Roman" w:cs="Times New Roman"/>
        </w:rPr>
        <w:t>In addition to the standard distributional statistics, we present volume-weighted mean (</w:t>
      </w:r>
      <w:r w:rsidRPr="007639CD">
        <w:rPr>
          <w:rFonts w:ascii="Times New Roman" w:eastAsiaTheme="minorEastAsia" w:hAnsi="Times New Roman" w:cs="Times New Roman"/>
          <w:i/>
        </w:rPr>
        <w:t>_</w:t>
      </w:r>
      <w:r w:rsidR="00786EAF">
        <w:rPr>
          <w:rFonts w:ascii="Times New Roman" w:eastAsiaTheme="minorEastAsia" w:hAnsi="Times New Roman" w:cs="Times New Roman"/>
          <w:i/>
        </w:rPr>
        <w:t>V</w:t>
      </w:r>
      <w:r w:rsidRPr="007639CD">
        <w:rPr>
          <w:rFonts w:ascii="Times New Roman" w:eastAsiaTheme="minorEastAsia" w:hAnsi="Times New Roman" w:cs="Times New Roman"/>
          <w:i/>
        </w:rPr>
        <w:t>M</w:t>
      </w:r>
      <w:r w:rsidRPr="007639CD">
        <w:rPr>
          <w:rFonts w:ascii="Times New Roman" w:eastAsiaTheme="minorEastAsia" w:hAnsi="Times New Roman" w:cs="Times New Roman"/>
        </w:rPr>
        <w:t>) and surface area-weighted mean (</w:t>
      </w:r>
      <w:r w:rsidR="00786EAF">
        <w:rPr>
          <w:rFonts w:ascii="Times New Roman" w:eastAsiaTheme="minorEastAsia" w:hAnsi="Times New Roman" w:cs="Times New Roman"/>
          <w:i/>
        </w:rPr>
        <w:t>_SAM</w:t>
      </w:r>
      <w:r w:rsidRPr="007639CD">
        <w:rPr>
          <w:rFonts w:ascii="Times New Roman" w:eastAsiaTheme="minorEastAsia" w:hAnsi="Times New Roman" w:cs="Times New Roman"/>
        </w:rPr>
        <w:t xml:space="preserve">) metrics that weight the calculation of the mean by the proportional volume and surface area of each patch. 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786EAF" w14:paraId="6A96D79B" w14:textId="77777777" w:rsidTr="003835F5">
        <w:tc>
          <w:tcPr>
            <w:tcW w:w="2515" w:type="dxa"/>
          </w:tcPr>
          <w:p w14:paraId="7F43E678" w14:textId="77777777" w:rsidR="00E47294" w:rsidRDefault="00786EAF" w:rsidP="00E47294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 xml:space="preserve">Surface area-weighted mean </w:t>
            </w:r>
          </w:p>
          <w:p w14:paraId="5630787D" w14:textId="051E8794" w:rsidR="00786EAF" w:rsidRPr="00786EAF" w:rsidRDefault="00786EAF" w:rsidP="00E47294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hAnsi="Times New Roman" w:cs="Times New Roman"/>
              </w:rPr>
              <w:t>(_SAM)</w:t>
            </w:r>
          </w:p>
        </w:tc>
        <w:tc>
          <w:tcPr>
            <w:tcW w:w="6930" w:type="dxa"/>
          </w:tcPr>
          <w:p w14:paraId="53D3831A" w14:textId="22ED347D" w:rsidR="00786EAF" w:rsidRPr="007639CD" w:rsidRDefault="00E47294" w:rsidP="00786EA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area weighted mean w</w:t>
            </w:r>
            <w:r w:rsidR="00786EAF" w:rsidRPr="007639CD">
              <w:rPr>
                <w:rFonts w:ascii="Times New Roman" w:hAnsi="Times New Roman" w:cs="Times New Roman"/>
              </w:rPr>
              <w:t xml:space="preserve">eights each </w:t>
            </w:r>
            <w:r>
              <w:rPr>
                <w:rFonts w:ascii="Times New Roman" w:hAnsi="Times New Roman" w:cs="Times New Roman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="00786EAF" w:rsidRPr="007639CD">
              <w:rPr>
                <w:rFonts w:ascii="Times New Roman" w:hAnsi="Times New Roman" w:cs="Times New Roman"/>
              </w:rPr>
              <w:t xml:space="preserve"> by its surface area relative to the surface area of all objects in tha</w:t>
            </w:r>
            <w:r w:rsidR="00786EAF">
              <w:rPr>
                <w:rFonts w:ascii="Times New Roman" w:hAnsi="Times New Roman" w:cs="Times New Roman"/>
              </w:rPr>
              <w:t>t class</w:t>
            </w:r>
            <w:r>
              <w:rPr>
                <w:rFonts w:ascii="Times New Roman" w:hAnsi="Times New Roman" w:cs="Times New Roman"/>
                <w:i/>
              </w:rPr>
              <w:t>,</w:t>
            </w:r>
          </w:p>
          <w:p w14:paraId="2295DEF3" w14:textId="3237DEDE" w:rsidR="00786EAF" w:rsidRPr="00786EAF" w:rsidRDefault="00786EAF" w:rsidP="00E47294">
            <w:pPr>
              <w:spacing w:after="12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_SAM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786EAF" w14:paraId="42BA2CE4" w14:textId="77777777" w:rsidTr="003835F5">
        <w:tc>
          <w:tcPr>
            <w:tcW w:w="2515" w:type="dxa"/>
          </w:tcPr>
          <w:p w14:paraId="37DA5284" w14:textId="3E2A806E" w:rsidR="00786EAF" w:rsidRPr="00786EAF" w:rsidRDefault="00786EAF" w:rsidP="00E47294">
            <w:pPr>
              <w:rPr>
                <w:rFonts w:ascii="Times New Roman" w:hAnsi="Times New Roman" w:cs="Times New Roman"/>
              </w:rPr>
            </w:pPr>
            <w:r w:rsidRPr="00786EAF">
              <w:rPr>
                <w:rFonts w:ascii="Times New Roman" w:eastAsiaTheme="minorEastAsia" w:hAnsi="Times New Roman" w:cs="Times New Roman"/>
              </w:rPr>
              <w:t>Volume-weighted mean (_VM)</w:t>
            </w:r>
          </w:p>
        </w:tc>
        <w:tc>
          <w:tcPr>
            <w:tcW w:w="6930" w:type="dxa"/>
          </w:tcPr>
          <w:p w14:paraId="2C6D73A5" w14:textId="3E869F68" w:rsidR="009C2AC1" w:rsidRPr="007639CD" w:rsidRDefault="009C2AC1" w:rsidP="009C2AC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 weighted mean w</w:t>
            </w:r>
            <w:r w:rsidRPr="007639CD">
              <w:rPr>
                <w:rFonts w:ascii="Times New Roman" w:hAnsi="Times New Roman" w:cs="Times New Roman"/>
              </w:rPr>
              <w:t xml:space="preserve">eights each </w:t>
            </w:r>
            <w:r>
              <w:rPr>
                <w:rFonts w:ascii="Times New Roman" w:hAnsi="Times New Roman" w:cs="Times New Roman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7639CD">
              <w:rPr>
                <w:rFonts w:ascii="Times New Roman" w:hAnsi="Times New Roman" w:cs="Times New Roman"/>
              </w:rPr>
              <w:t xml:space="preserve"> by its </w:t>
            </w:r>
            <w:r>
              <w:rPr>
                <w:rFonts w:ascii="Times New Roman" w:hAnsi="Times New Roman" w:cs="Times New Roman"/>
              </w:rPr>
              <w:t>volume</w:t>
            </w:r>
            <w:r w:rsidRPr="007639CD">
              <w:rPr>
                <w:rFonts w:ascii="Times New Roman" w:hAnsi="Times New Roman" w:cs="Times New Roman"/>
              </w:rPr>
              <w:t xml:space="preserve"> relative to the </w:t>
            </w:r>
            <w:r>
              <w:rPr>
                <w:rFonts w:ascii="Times New Roman" w:hAnsi="Times New Roman" w:cs="Times New Roman"/>
              </w:rPr>
              <w:t>volume</w:t>
            </w:r>
            <w:r w:rsidRPr="007639CD">
              <w:rPr>
                <w:rFonts w:ascii="Times New Roman" w:hAnsi="Times New Roman" w:cs="Times New Roman"/>
              </w:rPr>
              <w:t xml:space="preserve"> of all objects in tha</w:t>
            </w:r>
            <w:r>
              <w:rPr>
                <w:rFonts w:ascii="Times New Roman" w:hAnsi="Times New Roman" w:cs="Times New Roman"/>
              </w:rPr>
              <w:t>t class</w:t>
            </w:r>
            <w:r>
              <w:rPr>
                <w:rFonts w:ascii="Times New Roman" w:hAnsi="Times New Roman" w:cs="Times New Roman"/>
                <w:i/>
              </w:rPr>
              <w:t>,</w:t>
            </w:r>
          </w:p>
          <w:p w14:paraId="1B4BB70D" w14:textId="77F8EB4B" w:rsidR="00786EAF" w:rsidRPr="00786EAF" w:rsidRDefault="009C2AC1" w:rsidP="009C2AC1">
            <w:pPr>
              <w:spacing w:after="12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_VM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VOL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VOL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VOL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</m:e>
                </m:nary>
              </m:oMath>
            </m:oMathPara>
          </w:p>
        </w:tc>
      </w:tr>
    </w:tbl>
    <w:p w14:paraId="344FB765" w14:textId="12DA8DED" w:rsidR="00AD2642" w:rsidRPr="007639CD" w:rsidRDefault="00AD2642" w:rsidP="00786EAF">
      <w:pPr>
        <w:spacing w:after="120" w:line="240" w:lineRule="auto"/>
        <w:rPr>
          <w:rFonts w:ascii="Times New Roman" w:eastAsiaTheme="minorEastAsia" w:hAnsi="Times New Roman" w:cs="Times New Roman"/>
        </w:rPr>
      </w:pPr>
    </w:p>
    <w:sectPr w:rsidR="00AD2642" w:rsidRPr="0076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5E7"/>
    <w:multiLevelType w:val="hybridMultilevel"/>
    <w:tmpl w:val="0D14F6C4"/>
    <w:lvl w:ilvl="0" w:tplc="739A4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2C40"/>
    <w:multiLevelType w:val="hybridMultilevel"/>
    <w:tmpl w:val="0FAA4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26"/>
    <w:rsid w:val="00015537"/>
    <w:rsid w:val="000315EB"/>
    <w:rsid w:val="00041EE3"/>
    <w:rsid w:val="000547F6"/>
    <w:rsid w:val="00082E6A"/>
    <w:rsid w:val="000C5214"/>
    <w:rsid w:val="000C5E23"/>
    <w:rsid w:val="000D62DB"/>
    <w:rsid w:val="000F74F6"/>
    <w:rsid w:val="00115069"/>
    <w:rsid w:val="001243DF"/>
    <w:rsid w:val="00171B93"/>
    <w:rsid w:val="001722B6"/>
    <w:rsid w:val="001740C8"/>
    <w:rsid w:val="00182C94"/>
    <w:rsid w:val="001B5D5F"/>
    <w:rsid w:val="001F54B4"/>
    <w:rsid w:val="0020331D"/>
    <w:rsid w:val="00210218"/>
    <w:rsid w:val="002646BD"/>
    <w:rsid w:val="00294F01"/>
    <w:rsid w:val="002A6322"/>
    <w:rsid w:val="002C6BC6"/>
    <w:rsid w:val="002D7026"/>
    <w:rsid w:val="002F42FC"/>
    <w:rsid w:val="003055B1"/>
    <w:rsid w:val="00310586"/>
    <w:rsid w:val="003336A6"/>
    <w:rsid w:val="0033534C"/>
    <w:rsid w:val="00362C2D"/>
    <w:rsid w:val="00377616"/>
    <w:rsid w:val="003835F5"/>
    <w:rsid w:val="003A7CE7"/>
    <w:rsid w:val="003B4B26"/>
    <w:rsid w:val="003C5917"/>
    <w:rsid w:val="003D432D"/>
    <w:rsid w:val="003F7A04"/>
    <w:rsid w:val="004126F9"/>
    <w:rsid w:val="00424E40"/>
    <w:rsid w:val="00475E41"/>
    <w:rsid w:val="00476240"/>
    <w:rsid w:val="00483A0E"/>
    <w:rsid w:val="004A0433"/>
    <w:rsid w:val="004C1457"/>
    <w:rsid w:val="004C212E"/>
    <w:rsid w:val="004C6F96"/>
    <w:rsid w:val="004C7911"/>
    <w:rsid w:val="004D3D90"/>
    <w:rsid w:val="004D52DB"/>
    <w:rsid w:val="004F3A1F"/>
    <w:rsid w:val="00500443"/>
    <w:rsid w:val="005057D9"/>
    <w:rsid w:val="00514407"/>
    <w:rsid w:val="005238E1"/>
    <w:rsid w:val="00530B8D"/>
    <w:rsid w:val="00531CFB"/>
    <w:rsid w:val="00532D6B"/>
    <w:rsid w:val="00541B26"/>
    <w:rsid w:val="00543A9B"/>
    <w:rsid w:val="005551A1"/>
    <w:rsid w:val="00555863"/>
    <w:rsid w:val="00571F77"/>
    <w:rsid w:val="005A35CB"/>
    <w:rsid w:val="005B2224"/>
    <w:rsid w:val="005B79CD"/>
    <w:rsid w:val="005C6146"/>
    <w:rsid w:val="005C6CD0"/>
    <w:rsid w:val="00603151"/>
    <w:rsid w:val="0061118B"/>
    <w:rsid w:val="0061167E"/>
    <w:rsid w:val="00612FEB"/>
    <w:rsid w:val="006136B8"/>
    <w:rsid w:val="006366CC"/>
    <w:rsid w:val="00677216"/>
    <w:rsid w:val="00684AEE"/>
    <w:rsid w:val="00690615"/>
    <w:rsid w:val="006924A9"/>
    <w:rsid w:val="006A3640"/>
    <w:rsid w:val="006A7733"/>
    <w:rsid w:val="006B5A8F"/>
    <w:rsid w:val="006B7BC2"/>
    <w:rsid w:val="006D1CC2"/>
    <w:rsid w:val="006D2E56"/>
    <w:rsid w:val="006E0AB1"/>
    <w:rsid w:val="0073105A"/>
    <w:rsid w:val="00762A99"/>
    <w:rsid w:val="007639CD"/>
    <w:rsid w:val="007721F0"/>
    <w:rsid w:val="00773A30"/>
    <w:rsid w:val="00786EAF"/>
    <w:rsid w:val="007A2F59"/>
    <w:rsid w:val="007C25E7"/>
    <w:rsid w:val="007E0511"/>
    <w:rsid w:val="0080765A"/>
    <w:rsid w:val="00807B2D"/>
    <w:rsid w:val="00821F52"/>
    <w:rsid w:val="0084312B"/>
    <w:rsid w:val="00864BDB"/>
    <w:rsid w:val="008A3750"/>
    <w:rsid w:val="008A42C3"/>
    <w:rsid w:val="008B102A"/>
    <w:rsid w:val="008E593F"/>
    <w:rsid w:val="00944341"/>
    <w:rsid w:val="009501C9"/>
    <w:rsid w:val="009B10CC"/>
    <w:rsid w:val="009C2AC1"/>
    <w:rsid w:val="009E713A"/>
    <w:rsid w:val="009E784D"/>
    <w:rsid w:val="00A05A2F"/>
    <w:rsid w:val="00A1026F"/>
    <w:rsid w:val="00A2500B"/>
    <w:rsid w:val="00A37105"/>
    <w:rsid w:val="00A53E09"/>
    <w:rsid w:val="00A924CF"/>
    <w:rsid w:val="00AA26CE"/>
    <w:rsid w:val="00AC46BD"/>
    <w:rsid w:val="00AC774A"/>
    <w:rsid w:val="00AD2519"/>
    <w:rsid w:val="00AD2642"/>
    <w:rsid w:val="00AD5EDB"/>
    <w:rsid w:val="00B0099B"/>
    <w:rsid w:val="00B03ED8"/>
    <w:rsid w:val="00B07362"/>
    <w:rsid w:val="00B3552C"/>
    <w:rsid w:val="00B50868"/>
    <w:rsid w:val="00B54EC6"/>
    <w:rsid w:val="00B65CD6"/>
    <w:rsid w:val="00B842EB"/>
    <w:rsid w:val="00B91C6C"/>
    <w:rsid w:val="00BA43BD"/>
    <w:rsid w:val="00BB21F0"/>
    <w:rsid w:val="00C63C78"/>
    <w:rsid w:val="00C67750"/>
    <w:rsid w:val="00C778DE"/>
    <w:rsid w:val="00C86F15"/>
    <w:rsid w:val="00C87C04"/>
    <w:rsid w:val="00CA7738"/>
    <w:rsid w:val="00CB4B3F"/>
    <w:rsid w:val="00CB5E7A"/>
    <w:rsid w:val="00CD2D26"/>
    <w:rsid w:val="00CD6E52"/>
    <w:rsid w:val="00CF0AAF"/>
    <w:rsid w:val="00D21A06"/>
    <w:rsid w:val="00D26555"/>
    <w:rsid w:val="00D75458"/>
    <w:rsid w:val="00DB54F9"/>
    <w:rsid w:val="00DC2C20"/>
    <w:rsid w:val="00DE2568"/>
    <w:rsid w:val="00E368A7"/>
    <w:rsid w:val="00E41E6D"/>
    <w:rsid w:val="00E47294"/>
    <w:rsid w:val="00E75C47"/>
    <w:rsid w:val="00E83203"/>
    <w:rsid w:val="00E84CEB"/>
    <w:rsid w:val="00E86758"/>
    <w:rsid w:val="00E93281"/>
    <w:rsid w:val="00E96094"/>
    <w:rsid w:val="00EA692F"/>
    <w:rsid w:val="00EB0833"/>
    <w:rsid w:val="00EB479E"/>
    <w:rsid w:val="00F26C62"/>
    <w:rsid w:val="00F45D79"/>
    <w:rsid w:val="00F63F50"/>
    <w:rsid w:val="00F77865"/>
    <w:rsid w:val="00FA6FAB"/>
    <w:rsid w:val="00FD730A"/>
    <w:rsid w:val="00FE3E5E"/>
    <w:rsid w:val="00F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D63C9"/>
  <w15:docId w15:val="{8FD22986-A9CB-46D8-BAC2-BA4E4A58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D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53E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E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E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E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E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39CD"/>
    <w:pPr>
      <w:ind w:left="720"/>
      <w:contextualSpacing/>
    </w:pPr>
  </w:style>
  <w:style w:type="table" w:styleId="TableGrid">
    <w:name w:val="Table Grid"/>
    <w:basedOn w:val="TableNormal"/>
    <w:uiPriority w:val="39"/>
    <w:rsid w:val="00424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A4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Kedron</dc:creator>
  <cp:keywords/>
  <dc:description/>
  <cp:lastModifiedBy>Peter Kedron</cp:lastModifiedBy>
  <cp:revision>2</cp:revision>
  <dcterms:created xsi:type="dcterms:W3CDTF">2019-10-01T21:24:00Z</dcterms:created>
  <dcterms:modified xsi:type="dcterms:W3CDTF">2019-10-01T21:24:00Z</dcterms:modified>
</cp:coreProperties>
</file>