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2.png" ContentType="image/png"/>
  <Override PartName="/word/media/rId35.png" ContentType="image/png"/>
  <Override PartName="/word/media/rId39.png" ContentType="image/png"/>
  <Override PartName="/word/media/rId42.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w:t>
      </w:r>
      <w:r>
        <w:t xml:space="preserve"> </w:t>
      </w:r>
      <w:r>
        <w:t xml:space="preserve">Mechanisms</w:t>
      </w:r>
      <w:r>
        <w:t xml:space="preserve"> </w:t>
      </w:r>
      <w:r>
        <w:t xml:space="preserve">for</w:t>
      </w:r>
      <w:r>
        <w:t xml:space="preserve"> </w:t>
      </w:r>
      <w:r>
        <w:t xml:space="preserve">Human</w:t>
      </w:r>
      <w:r>
        <w:t xml:space="preserve"> </w:t>
      </w:r>
      <w:r>
        <w:t xml:space="preserve">Diseases:</w:t>
      </w:r>
      <w:r>
        <w:t xml:space="preserve"> </w:t>
      </w:r>
      <w:r>
        <w:t xml:space="preserve">Lab</w:t>
      </w:r>
      <w:r>
        <w:t xml:space="preserve"> </w:t>
      </w:r>
      <w:r>
        <w:t xml:space="preserve">1</w:t>
      </w:r>
    </w:p>
    <w:p>
      <w:pPr>
        <w:pStyle w:val="Subtitle"/>
      </w:pPr>
      <w:r>
        <w:t xml:space="preserve">Bacteria’s</w:t>
      </w:r>
      <w:r>
        <w:t xml:space="preserve"> </w:t>
      </w:r>
      <w:r>
        <w:t xml:space="preserve">Brain</w:t>
      </w:r>
      <w:r>
        <w:t xml:space="preserve"> </w:t>
      </w:r>
      <w:r>
        <w:t xml:space="preserve">–</w:t>
      </w:r>
      <w:r>
        <w:t xml:space="preserve"> </w:t>
      </w:r>
      <w:r>
        <w:t xml:space="preserve">Part</w:t>
      </w:r>
      <w:r>
        <w:t xml:space="preserve"> </w:t>
      </w:r>
      <w:r>
        <w:t xml:space="preserve">A</w:t>
      </w:r>
    </w:p>
    <w:p>
      <w:pPr>
        <w:pStyle w:val="Author"/>
      </w:pPr>
      <w:r>
        <w:t xml:space="preserve">Peter</w:t>
      </w:r>
      <w:r>
        <w:t xml:space="preserve"> </w:t>
      </w:r>
      <w:r>
        <w:t xml:space="preserve">Yibo</w:t>
      </w:r>
      <w:r>
        <w:t xml:space="preserve"> </w:t>
      </w:r>
      <w:r>
        <w:t xml:space="preserve">Pan,</w:t>
      </w:r>
      <w:r>
        <w:t xml:space="preserve"> </w:t>
      </w:r>
      <w:r>
        <w:t xml:space="preserve">collaborators:</w:t>
      </w:r>
    </w:p>
    <w:p>
      <w:pPr>
        <w:pStyle w:val="Date"/>
      </w:pPr>
      <w:r>
        <w:t xml:space="preserve">(2023-02-07)</w:t>
      </w:r>
    </w:p>
    <w:bookmarkStart w:id="20" w:name="abstract"/>
    <w:p>
      <w:pPr>
        <w:pStyle w:val="Heading2"/>
      </w:pPr>
      <w:r>
        <w:t xml:space="preserve">Abstract</w:t>
      </w:r>
    </w:p>
    <w:bookmarkEnd w:id="20"/>
    <w:bookmarkStart w:id="23" w:name="experiment"/>
    <w:p>
      <w:pPr>
        <w:pStyle w:val="Heading2"/>
      </w:pPr>
      <w:r>
        <w:t xml:space="preserve">Experiment</w:t>
      </w:r>
    </w:p>
    <w:bookmarkStart w:id="21" w:name="method"/>
    <w:p>
      <w:pPr>
        <w:pStyle w:val="Heading3"/>
      </w:pPr>
      <w:r>
        <w:t xml:space="preserve">Method</w:t>
      </w:r>
    </w:p>
    <w:bookmarkEnd w:id="21"/>
    <w:bookmarkStart w:id="22" w:name="setup"/>
    <w:p>
      <w:pPr>
        <w:pStyle w:val="Heading3"/>
      </w:pPr>
      <w:r>
        <w:t xml:space="preserve">Setup</w:t>
      </w:r>
    </w:p>
    <w:bookmarkEnd w:id="22"/>
    <w:bookmarkEnd w:id="23"/>
    <w:bookmarkStart w:id="28" w:name="results"/>
    <w:p>
      <w:pPr>
        <w:pStyle w:val="Heading2"/>
      </w:pPr>
      <w:r>
        <w:t xml:space="preserve">Results:</w:t>
      </w:r>
    </w:p>
    <w:p>
      <w:pPr>
        <w:pStyle w:val="FirstParagraph"/>
      </w:pPr>
      <w:r>
        <w:t xml:space="preserve">The complete resulting data can be seen in tables 1 and 2 in the appendix, and as shown in table 1a and 1b:</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t</w:t>
            </w:r>
          </w:p>
        </w:tc>
        <w:tc>
          <w:tcPr/>
          <w:p>
            <w:pPr>
              <w:pStyle w:val="Compact"/>
              <w:jc w:val="right"/>
            </w:pPr>
            <w:r>
              <w:t xml:space="preserve">concentration</w:t>
            </w:r>
          </w:p>
        </w:tc>
      </w:tr>
      <w:tr>
        <w:tc>
          <w:tcPr/>
          <w:p>
            <w:pPr>
              <w:pStyle w:val="Compact"/>
              <w:jc w:val="right"/>
            </w:pPr>
            <w:r>
              <w:t xml:space="preserve">2.38</w:t>
            </w:r>
          </w:p>
        </w:tc>
        <w:tc>
          <w:tcPr/>
          <w:p>
            <w:pPr>
              <w:pStyle w:val="Compact"/>
              <w:jc w:val="right"/>
            </w:pPr>
            <w:r>
              <w:t xml:space="preserve">0.01090</w:t>
            </w:r>
          </w:p>
        </w:tc>
      </w:tr>
      <w:tr>
        <w:tc>
          <w:tcPr/>
          <w:p>
            <w:pPr>
              <w:pStyle w:val="Compact"/>
              <w:jc w:val="right"/>
            </w:pPr>
            <w:r>
              <w:t xml:space="preserve">2.72</w:t>
            </w:r>
          </w:p>
        </w:tc>
        <w:tc>
          <w:tcPr/>
          <w:p>
            <w:pPr>
              <w:pStyle w:val="Compact"/>
              <w:jc w:val="right"/>
            </w:pPr>
            <w:r>
              <w:t xml:space="preserve">0.00934</w:t>
            </w:r>
          </w:p>
        </w:tc>
      </w:tr>
      <w:tr>
        <w:tc>
          <w:tcPr/>
          <w:p>
            <w:pPr>
              <w:pStyle w:val="Compact"/>
              <w:jc w:val="right"/>
            </w:pPr>
            <w:r>
              <w:t xml:space="preserve">3.04</w:t>
            </w:r>
          </w:p>
        </w:tc>
        <w:tc>
          <w:tcPr/>
          <w:p>
            <w:pPr>
              <w:pStyle w:val="Compact"/>
              <w:jc w:val="right"/>
            </w:pPr>
            <w:r>
              <w:t xml:space="preserve">0.01460</w:t>
            </w:r>
          </w:p>
        </w:tc>
      </w:tr>
      <w:tr>
        <w:tc>
          <w:tcPr/>
          <w:p>
            <w:pPr>
              <w:pStyle w:val="Compact"/>
              <w:jc w:val="right"/>
            </w:pPr>
            <w:r>
              <w:t xml:space="preserve">3.52</w:t>
            </w:r>
          </w:p>
        </w:tc>
        <w:tc>
          <w:tcPr/>
          <w:p>
            <w:pPr>
              <w:pStyle w:val="Compact"/>
              <w:jc w:val="right"/>
            </w:pPr>
            <w:r>
              <w:t xml:space="preserve">0.01450</w:t>
            </w:r>
          </w:p>
        </w:tc>
      </w:tr>
      <w:tr>
        <w:tc>
          <w:tcPr/>
          <w:p>
            <w:pPr>
              <w:pStyle w:val="Compact"/>
              <w:jc w:val="right"/>
            </w:pPr>
            <w:r>
              <w:t xml:space="preserve">4.00</w:t>
            </w:r>
          </w:p>
        </w:tc>
        <w:tc>
          <w:tcPr/>
          <w:p>
            <w:pPr>
              <w:pStyle w:val="Compact"/>
              <w:jc w:val="right"/>
            </w:pPr>
            <w:r>
              <w:t xml:space="preserve">0.02420</w:t>
            </w:r>
          </w:p>
        </w:tc>
      </w:tr>
      <w:tr>
        <w:tc>
          <w:tcPr/>
          <w:p>
            <w:pPr>
              <w:pStyle w:val="Compact"/>
              <w:jc w:val="right"/>
            </w:pPr>
            <w:r>
              <w:t xml:space="preserve">4.57</w:t>
            </w:r>
          </w:p>
        </w:tc>
        <w:tc>
          <w:tcPr/>
          <w:p>
            <w:pPr>
              <w:pStyle w:val="Compact"/>
              <w:jc w:val="right"/>
            </w:pPr>
            <w:r>
              <w:t xml:space="preserve">0.02860</w:t>
            </w:r>
          </w:p>
        </w:tc>
      </w:tr>
      <w:tr>
        <w:tc>
          <w:tcPr/>
          <w:p>
            <w:pPr>
              <w:pStyle w:val="Compact"/>
              <w:jc w:val="right"/>
            </w:pPr>
            <w:r>
              <w:t xml:space="preserve">5.05</w:t>
            </w:r>
          </w:p>
        </w:tc>
        <w:tc>
          <w:tcPr/>
          <w:p>
            <w:pPr>
              <w:pStyle w:val="Compact"/>
              <w:jc w:val="right"/>
            </w:pPr>
            <w:r>
              <w:t xml:space="preserve">0.03760</w:t>
            </w:r>
          </w:p>
        </w:tc>
      </w:tr>
      <w:tr>
        <w:tc>
          <w:tcPr/>
          <w:p>
            <w:pPr>
              <w:pStyle w:val="Compact"/>
              <w:jc w:val="right"/>
            </w:pPr>
            <w:r>
              <w:t xml:space="preserve">5.54</w:t>
            </w:r>
          </w:p>
        </w:tc>
        <w:tc>
          <w:tcPr/>
          <w:p>
            <w:pPr>
              <w:pStyle w:val="Compact"/>
              <w:jc w:val="right"/>
            </w:pPr>
            <w:r>
              <w:t xml:space="preserve">0.04350</w:t>
            </w:r>
          </w:p>
        </w:tc>
      </w:tr>
      <w:tr>
        <w:tc>
          <w:tcPr/>
          <w:p>
            <w:pPr>
              <w:pStyle w:val="Compact"/>
              <w:jc w:val="right"/>
            </w:pPr>
            <w:r>
              <w:t xml:space="preserve">6.45</w:t>
            </w:r>
          </w:p>
        </w:tc>
        <w:tc>
          <w:tcPr/>
          <w:p>
            <w:pPr>
              <w:pStyle w:val="Compact"/>
              <w:jc w:val="right"/>
            </w:pPr>
            <w:r>
              <w:t xml:space="preserve">0.05920</w:t>
            </w:r>
          </w:p>
        </w:tc>
      </w:tr>
      <w:tr>
        <w:tc>
          <w:tcPr/>
          <w:p>
            <w:pPr>
              <w:pStyle w:val="Compact"/>
              <w:jc w:val="right"/>
            </w:pPr>
            <w:r>
              <w:t xml:space="preserve">7.53</w:t>
            </w:r>
          </w:p>
        </w:tc>
        <w:tc>
          <w:tcPr/>
          <w:p>
            <w:pPr>
              <w:pStyle w:val="Compact"/>
              <w:jc w:val="right"/>
            </w:pPr>
            <w:r>
              <w:t xml:space="preserve">0.07640</w:t>
            </w:r>
          </w:p>
        </w:tc>
      </w:tr>
      <w:tr>
        <w:tc>
          <w:tcPr/>
          <w:p>
            <w:pPr>
              <w:pStyle w:val="Compact"/>
              <w:jc w:val="right"/>
            </w:pPr>
            <w:r>
              <w:t xml:space="preserve">8.58</w:t>
            </w:r>
          </w:p>
        </w:tc>
        <w:tc>
          <w:tcPr/>
          <w:p>
            <w:pPr>
              <w:pStyle w:val="Compact"/>
              <w:jc w:val="right"/>
            </w:pPr>
            <w:r>
              <w:t xml:space="preserve">0.10700</w:t>
            </w:r>
          </w:p>
        </w:tc>
      </w:tr>
      <w:tr>
        <w:tc>
          <w:tcPr/>
          <w:p>
            <w:pPr>
              <w:pStyle w:val="Compact"/>
              <w:jc w:val="right"/>
            </w:pPr>
            <w:r>
              <w:t xml:space="preserve">9.63</w:t>
            </w:r>
          </w:p>
        </w:tc>
        <w:tc>
          <w:tcPr/>
          <w:p>
            <w:pPr>
              <w:pStyle w:val="Compact"/>
              <w:jc w:val="right"/>
            </w:pPr>
            <w:r>
              <w:t xml:space="preserve">0.11800</w:t>
            </w:r>
          </w:p>
        </w:tc>
      </w:tr>
      <w:tr>
        <w:tc>
          <w:tcPr/>
          <w:p>
            <w:pPr>
              <w:pStyle w:val="Compact"/>
              <w:jc w:val="right"/>
            </w:pPr>
            <w:r>
              <w:t xml:space="preserve">10.80</w:t>
            </w:r>
          </w:p>
        </w:tc>
        <w:tc>
          <w:tcPr/>
          <w:p>
            <w:pPr>
              <w:pStyle w:val="Compact"/>
              <w:jc w:val="right"/>
            </w:pPr>
            <w:r>
              <w:t xml:space="preserve">0.12800</w:t>
            </w:r>
          </w:p>
        </w:tc>
      </w:tr>
      <w:tr>
        <w:tc>
          <w:tcPr/>
          <w:p>
            <w:pPr>
              <w:pStyle w:val="Compact"/>
              <w:jc w:val="right"/>
            </w:pPr>
            <w:r>
              <w:t xml:space="preserve">12.00</w:t>
            </w:r>
          </w:p>
        </w:tc>
        <w:tc>
          <w:tcPr/>
          <w:p>
            <w:pPr>
              <w:pStyle w:val="Compact"/>
              <w:jc w:val="right"/>
            </w:pPr>
            <w:r>
              <w:t xml:space="preserve">0.16000</w:t>
            </w:r>
          </w:p>
        </w:tc>
      </w:tr>
      <w:tr>
        <w:tc>
          <w:tcPr/>
          <w:p>
            <w:pPr>
              <w:pStyle w:val="Compact"/>
              <w:jc w:val="right"/>
            </w:pPr>
            <w:r>
              <w:t xml:space="preserve">13.20</w:t>
            </w:r>
          </w:p>
        </w:tc>
        <w:tc>
          <w:tcPr/>
          <w:p>
            <w:pPr>
              <w:pStyle w:val="Compact"/>
              <w:jc w:val="right"/>
            </w:pPr>
            <w:r>
              <w:t xml:space="preserve">0.18800</w:t>
            </w:r>
          </w:p>
        </w:tc>
      </w:tr>
      <w:tr>
        <w:tc>
          <w:tcPr/>
          <w:p>
            <w:pPr>
              <w:pStyle w:val="Compact"/>
              <w:jc w:val="right"/>
            </w:pPr>
            <w:r>
              <w:t xml:space="preserve">14.30</w:t>
            </w:r>
          </w:p>
        </w:tc>
        <w:tc>
          <w:tcPr/>
          <w:p>
            <w:pPr>
              <w:pStyle w:val="Compact"/>
              <w:jc w:val="right"/>
            </w:pPr>
            <w:r>
              <w:t xml:space="preserve">0.19900</w:t>
            </w:r>
          </w:p>
        </w:tc>
      </w:tr>
      <w:tr>
        <w:tc>
          <w:tcPr/>
          <w:p>
            <w:pPr>
              <w:pStyle w:val="Compact"/>
              <w:jc w:val="right"/>
            </w:pPr>
            <w:r>
              <w:t xml:space="preserve">22.70</w:t>
            </w:r>
          </w:p>
        </w:tc>
        <w:tc>
          <w:tcPr/>
          <w:p>
            <w:pPr>
              <w:pStyle w:val="Compact"/>
              <w:jc w:val="right"/>
            </w:pPr>
            <w:r>
              <w:t xml:space="preserve">0.31700</w:t>
            </w:r>
          </w:p>
        </w:tc>
      </w:tr>
      <w:tr>
        <w:tc>
          <w:tcPr/>
          <w:p>
            <w:pPr>
              <w:pStyle w:val="Compact"/>
              <w:jc w:val="right"/>
            </w:pPr>
            <w:r>
              <w:t xml:space="preserve">24.90</w:t>
            </w:r>
          </w:p>
        </w:tc>
        <w:tc>
          <w:tcPr/>
          <w:p>
            <w:pPr>
              <w:pStyle w:val="Compact"/>
              <w:jc w:val="right"/>
            </w:pPr>
            <w:r>
              <w:t xml:space="preserve">0.34900</w:t>
            </w:r>
          </w:p>
        </w:tc>
      </w:tr>
      <w:tr>
        <w:tc>
          <w:tcPr/>
          <w:p>
            <w:pPr>
              <w:pStyle w:val="Compact"/>
              <w:jc w:val="right"/>
            </w:pPr>
            <w:r>
              <w:t xml:space="preserve">26.80</w:t>
            </w:r>
          </w:p>
        </w:tc>
        <w:tc>
          <w:tcPr/>
          <w:p>
            <w:pPr>
              <w:pStyle w:val="Compact"/>
              <w:jc w:val="right"/>
            </w:pPr>
            <w:r>
              <w:t xml:space="preserve">0.37800</w:t>
            </w:r>
          </w:p>
        </w:tc>
      </w:tr>
      <w:tr>
        <w:tc>
          <w:tcPr/>
          <w:p>
            <w:pPr>
              <w:pStyle w:val="Compact"/>
              <w:jc w:val="right"/>
            </w:pPr>
            <w:r>
              <w:t xml:space="preserve">28.90</w:t>
            </w:r>
          </w:p>
        </w:tc>
        <w:tc>
          <w:tcPr/>
          <w:p>
            <w:pPr>
              <w:pStyle w:val="Compact"/>
              <w:jc w:val="right"/>
            </w:pPr>
            <w:r>
              <w:t xml:space="preserve">0.40800</w:t>
            </w:r>
          </w:p>
        </w:tc>
      </w:tr>
    </w:tbl>
    <w:bookmarkStart w:id="27" w:name="visualization-of-data-set-a-and-b"/>
    <w:p>
      <w:pPr>
        <w:pStyle w:val="Heading3"/>
      </w:pPr>
      <w:r>
        <w:t xml:space="preserve">Visualization of Data set A and B</w:t>
      </w:r>
    </w:p>
    <w:p>
      <w:pPr>
        <w:pStyle w:val="FirstParagraph"/>
      </w:pPr>
      <w:r>
        <w:drawing>
          <wp:inline>
            <wp:extent cx="4620126" cy="3696101"/>
            <wp:effectExtent b="0" l="0" r="0" t="0"/>
            <wp:docPr descr="" title="" id="25" name="Picture"/>
            <a:graphic>
              <a:graphicData uri="http://schemas.openxmlformats.org/drawingml/2006/picture">
                <pic:pic>
                  <pic:nvPicPr>
                    <pic:cNvPr descr="bacterias_brain_files/figure-docx/a_Q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End w:id="28"/>
    <w:bookmarkStart w:id="49" w:name="analysis"/>
    <w:p>
      <w:pPr>
        <w:pStyle w:val="Heading2"/>
      </w:pPr>
      <w:r>
        <w:t xml:space="preserve">Analysis:</w:t>
      </w:r>
    </w:p>
    <w:bookmarkStart w:id="31" w:name="Xfa75b4ef831907ebab32d7b477b891879b29f92"/>
    <w:p>
      <w:pPr>
        <w:pStyle w:val="Heading3"/>
      </w:pPr>
      <w:r>
        <w:t xml:space="preserve">Derivation of Functions used for fitting both datasets:</w:t>
      </w:r>
    </w:p>
    <w:p>
      <w:pPr>
        <w:pStyle w:val="FirstParagraph"/>
      </w:pPr>
      <w:r>
        <w:t xml:space="preserve">I will first define the different terms that will be used.</w:t>
      </w:r>
    </w:p>
    <w:p>
      <w:pPr>
        <w:pStyle w:val="BodyText"/>
      </w:pPr>
      <m:oMath>
        <m:r>
          <m:t>N</m:t>
        </m:r>
      </m:oMath>
      <w:r>
        <w:t xml:space="preserve"> </w:t>
      </w:r>
      <w:r>
        <w:t xml:space="preserve">is the number of individual E.coli bacteria in the chemostat, which is maintained at a constant value.</w:t>
      </w:r>
    </w:p>
    <w:p>
      <w:pPr>
        <w:pStyle w:val="BodyText"/>
      </w:pPr>
      <m:oMath>
        <m:r>
          <m:t>Q</m:t>
        </m:r>
      </m:oMath>
      <w:r>
        <w:t xml:space="preserve"> </w:t>
      </w:r>
      <w:r>
        <w:t xml:space="preserve">is the flow rate both in- and outward from the chemostat, which is kept at a constant value so that</w:t>
      </w:r>
      <w:r>
        <w:t xml:space="preserve"> </w:t>
      </w:r>
      <m:oMath>
        <m:r>
          <m:t>N</m:t>
        </m:r>
      </m:oMath>
      <w:r>
        <w:t xml:space="preserve"> </w:t>
      </w:r>
      <w:r>
        <w:t xml:space="preserve">can be kept constant.</w:t>
      </w:r>
    </w:p>
    <w:p>
      <w:pPr>
        <w:pStyle w:val="BodyText"/>
      </w:pPr>
      <m:oMath>
        <m:r>
          <m:t>V</m:t>
        </m:r>
      </m:oMath>
      <w:r>
        <w:t xml:space="preserve"> </w:t>
      </w:r>
      <w:r>
        <w:t xml:space="preserve">is the volume of the chemostat</w:t>
      </w:r>
    </w:p>
    <w:p>
      <w:pPr>
        <w:pStyle w:val="BodyText"/>
      </w:pPr>
      <m:oMath>
        <m:r>
          <m:t>S</m:t>
        </m:r>
      </m:oMath>
      <w:r>
        <w:t xml:space="preserve"> </w:t>
      </w:r>
      <w:r>
        <w:t xml:space="preserve">we define as the average rate of production by any individual bacterium at a given time. Note this is not the rate of production by individual bacterium but the mean of the population. Hence this value would change based on how many bacterium are</w:t>
      </w:r>
      <w:r>
        <w:t xml:space="preserve"> </w:t>
      </w:r>
      <w:r>
        <w:t xml:space="preserve">“</w:t>
      </w:r>
      <w:r>
        <w:t xml:space="preserve">activated</w:t>
      </w:r>
      <w:r>
        <w:t xml:space="preserve">”</w:t>
      </w:r>
      <w:r>
        <w:t xml:space="preserve"> </w:t>
      </w:r>
      <w:r>
        <w:t xml:space="preserve">within the population.</w:t>
      </w:r>
    </w:p>
    <w:p>
      <w:pPr>
        <w:pStyle w:val="BodyText"/>
      </w:pPr>
      <m:oMath>
        <m:r>
          <m:t>z</m:t>
        </m:r>
      </m:oMath>
      <w:r>
        <w:t xml:space="preserve"> </w:t>
      </w:r>
      <w:r>
        <w:t xml:space="preserve">is defined as the concentration of</w:t>
      </w:r>
      <w:r>
        <w:t xml:space="preserve"> </w:t>
      </w:r>
      <w:r>
        <w:t xml:space="preserve">-gal within the system at any moment. With these terms defined, we observe that at any moment, the growth of</w:t>
      </w:r>
      <w:r>
        <w:t xml:space="preserve"> </w:t>
      </w:r>
      <w:r>
        <w:t xml:space="preserve">-gal is</w:t>
      </w:r>
      <w:r>
        <w:t xml:space="preserve"> </w:t>
      </w:r>
      <m:oMath>
        <m:f>
          <m:fPr>
            <m:type m:val="bar"/>
          </m:fPr>
          <m:num>
            <m:r>
              <m:t>d</m:t>
            </m:r>
            <m:r>
              <m:t>z</m:t>
            </m:r>
          </m:num>
          <m:den>
            <m:r>
              <m:t>d</m:t>
            </m:r>
            <m:r>
              <m:t>t</m:t>
            </m:r>
          </m:den>
        </m:f>
      </m:oMath>
      <w:r>
        <w:t xml:space="preserve">, which equates two terms: the rate of production by the bacteria and the rate of loss due to flow rate. Hence we get the equation:</w:t>
      </w:r>
    </w:p>
    <w:p>
      <w:pPr>
        <w:pStyle w:val="BodyText"/>
      </w:pPr>
      <m:oMathPara>
        <m:oMathParaPr>
          <m:jc m:val="center"/>
        </m:oMathParaPr>
        <m:oMath>
          <m:f>
            <m:fPr>
              <m:type m:val="bar"/>
            </m:fPr>
            <m:num>
              <m:r>
                <m:t>d</m:t>
              </m:r>
              <m:r>
                <m:t>z</m:t>
              </m:r>
            </m:num>
            <m:den>
              <m:r>
                <m:t>d</m:t>
              </m:r>
              <m:r>
                <m:t>t</m:t>
              </m:r>
            </m:den>
          </m:f>
          <m:r>
            <m:rPr>
              <m:sty m:val="p"/>
            </m:rPr>
            <m:t>=</m:t>
          </m:r>
          <m:r>
            <m:t>N</m:t>
          </m:r>
          <m:r>
            <m:t>s</m:t>
          </m:r>
          <m:r>
            <m:rPr>
              <m:sty m:val="p"/>
            </m:rPr>
            <m:t>−</m:t>
          </m:r>
          <m:f>
            <m:fPr>
              <m:type m:val="bar"/>
            </m:fPr>
            <m:num>
              <m:r>
                <m:t>Q</m:t>
              </m:r>
            </m:num>
            <m:den>
              <m:r>
                <m:t>V</m:t>
              </m:r>
            </m:den>
          </m:f>
          <m:r>
            <m:t>z</m:t>
          </m:r>
        </m:oMath>
      </m:oMathPara>
    </w:p>
    <w:bookmarkStart w:id="29" w:name="a-high-concentration-of-inducers"/>
    <w:p>
      <w:pPr>
        <w:pStyle w:val="Heading4"/>
      </w:pPr>
      <w:r>
        <w:t xml:space="preserve">A: High Concentration of Inducers</w:t>
      </w:r>
    </w:p>
    <w:p>
      <w:pPr>
        <w:pStyle w:val="FirstParagraph"/>
      </w:pPr>
      <w:r>
        <w:t xml:space="preserve">For data set A, when the inducers are introduced at high concentration, we assume that</w:t>
      </w:r>
      <w:r>
        <w:t xml:space="preserve"> </w:t>
      </w:r>
      <m:oMath>
        <m:r>
          <m:t>S</m:t>
        </m:r>
      </m:oMath>
      <w:r>
        <w:t xml:space="preserve"> </w:t>
      </w:r>
      <w:r>
        <w:t xml:space="preserve">is constant as all bacteria rapidly</w:t>
      </w:r>
      <w:r>
        <w:t xml:space="preserve"> </w:t>
      </w:r>
      <w:r>
        <w:t xml:space="preserve">“</w:t>
      </w:r>
      <w:r>
        <w:t xml:space="preserve">switches on</w:t>
      </w:r>
      <w:r>
        <w:t xml:space="preserve">”</w:t>
      </w:r>
      <w:r>
        <w:t xml:space="preserve"> </w:t>
      </w:r>
      <w:r>
        <w:t xml:space="preserve">and generates enzyme at its maximal rate. We can then express</w:t>
      </w:r>
      <w:r>
        <w:t xml:space="preserve"> </w:t>
      </w:r>
      <m:oMath>
        <m:r>
          <m:t>t</m:t>
        </m:r>
      </m:oMath>
      <w:r>
        <w:t xml:space="preserve"> </w:t>
      </w:r>
      <w:r>
        <w:t xml:space="preserve">as a dimensionless variable as</w:t>
      </w:r>
      <w:r>
        <w:t xml:space="preserve"> </w:t>
      </w:r>
      <m:oMath>
        <m:acc>
          <m:accPr>
            <m:chr m:val="̃"/>
          </m:accPr>
          <m:e>
            <m:r>
              <m:t>t</m:t>
            </m:r>
          </m:e>
        </m:acc>
        <m:f>
          <m:fPr>
            <m:type m:val="bar"/>
          </m:fPr>
          <m:num>
            <m:r>
              <m:t>V</m:t>
            </m:r>
          </m:num>
          <m:den>
            <m:r>
              <m:t>Q</m:t>
            </m:r>
          </m:den>
        </m:f>
      </m:oMath>
      <w:r>
        <w:t xml:space="preserve">, hence:</w:t>
      </w:r>
    </w:p>
    <w:p>
      <w:pPr>
        <w:pStyle w:val="BodyText"/>
      </w:pPr>
      <m:oMathPara>
        <m:oMathParaPr>
          <m:jc m:val="center"/>
        </m:oMathParaPr>
        <m:oMath>
          <m:f>
            <m:fPr>
              <m:type m:val="bar"/>
            </m:fPr>
            <m:num>
              <m:r>
                <m:t>d</m:t>
              </m:r>
              <m:r>
                <m:t>z</m:t>
              </m:r>
            </m:num>
            <m:den>
              <m:r>
                <m:t>d</m:t>
              </m:r>
              <m:acc>
                <m:accPr>
                  <m:chr m:val="̃"/>
                </m:accPr>
                <m:e>
                  <m:r>
                    <m:t>t</m:t>
                  </m:r>
                </m:e>
              </m:acc>
            </m:den>
          </m:f>
          <m:r>
            <m:rPr>
              <m:sty m:val="p"/>
            </m:rPr>
            <m:t>=</m:t>
          </m:r>
          <m:f>
            <m:fPr>
              <m:type m:val="bar"/>
            </m:fPr>
            <m:num>
              <m:r>
                <m:t>V</m:t>
              </m:r>
              <m:r>
                <m:t>N</m:t>
              </m:r>
              <m:r>
                <m:t>S</m:t>
              </m:r>
            </m:num>
            <m:den>
              <m:r>
                <m:t>Q</m:t>
              </m:r>
            </m:den>
          </m:f>
          <m:r>
            <m:rPr>
              <m:sty m:val="p"/>
            </m:rPr>
            <m:t>−</m:t>
          </m:r>
          <m:r>
            <m:t>z</m:t>
          </m:r>
        </m:oMath>
      </m:oMathPara>
    </w:p>
    <w:p>
      <w:pPr>
        <w:pStyle w:val="FirstParagraph"/>
      </w:pPr>
      <w:r>
        <w:t xml:space="preserve">We can prepare the function for integration by substituting</w:t>
      </w:r>
      <w:r>
        <w:t xml:space="preserve"> </w:t>
      </w:r>
      <m:oMath>
        <m:f>
          <m:fPr>
            <m:type m:val="bar"/>
          </m:fPr>
          <m:num>
            <m:r>
              <m:t>N</m:t>
            </m:r>
            <m:r>
              <m:t>S</m:t>
            </m:r>
            <m:r>
              <m:t>V</m:t>
            </m:r>
          </m:num>
          <m:den>
            <m:r>
              <m:t>Q</m:t>
            </m:r>
          </m:den>
        </m:f>
        <m:r>
          <m:rPr>
            <m:sty m:val="p"/>
          </m:rPr>
          <m:t>=</m:t>
        </m:r>
        <m:r>
          <m:t>A</m:t>
        </m:r>
      </m:oMath>
      <w:r>
        <w:t xml:space="preserve">:</w:t>
      </w:r>
    </w:p>
    <w:p>
      <w:pPr>
        <w:pStyle w:val="BodyText"/>
      </w:pPr>
      <m:oMathPara>
        <m:oMathParaPr>
          <m:jc m:val="center"/>
        </m:oMathParaPr>
        <m:oMath>
          <m:f>
            <m:fPr>
              <m:type m:val="bar"/>
            </m:fPr>
            <m:num>
              <m:r>
                <m:t>1</m:t>
              </m:r>
            </m:num>
            <m:den>
              <m:r>
                <m:t>A</m:t>
              </m:r>
              <m:r>
                <m:rPr>
                  <m:sty m:val="p"/>
                </m:rPr>
                <m:t>−</m:t>
              </m:r>
              <m:r>
                <m:t>z</m:t>
              </m:r>
            </m:den>
          </m:f>
          <m:r>
            <m:t>d</m:t>
          </m:r>
          <m:r>
            <m:t>z</m:t>
          </m:r>
          <m:r>
            <m:rPr>
              <m:sty m:val="p"/>
            </m:rPr>
            <m:t>=</m:t>
          </m:r>
          <m:r>
            <m:t>d</m:t>
          </m:r>
          <m:acc>
            <m:accPr>
              <m:chr m:val="̃"/>
            </m:accPr>
            <m:e>
              <m:r>
                <m:t>t</m:t>
              </m:r>
            </m:e>
          </m:acc>
        </m:oMath>
      </m:oMathPara>
    </w:p>
    <w:p>
      <w:pPr>
        <w:pStyle w:val="FirstParagraph"/>
      </w:pPr>
      <w:r>
        <w:t xml:space="preserve">We then integrate both sides:</w:t>
      </w:r>
    </w:p>
    <w:p>
      <w:pPr>
        <w:pStyle w:val="BodyText"/>
      </w:pPr>
      <m:oMathPara>
        <m:oMathParaPr>
          <m:jc m:val="center"/>
        </m:oMathParaPr>
        <m:oMath>
          <m:r>
            <m:rPr>
              <m:sty m:val="p"/>
            </m:rPr>
            <m:t>∫</m:t>
          </m:r>
          <m:f>
            <m:fPr>
              <m:type m:val="bar"/>
            </m:fPr>
            <m:num>
              <m:r>
                <m:t>1</m:t>
              </m:r>
            </m:num>
            <m:den>
              <m:r>
                <m:t>A</m:t>
              </m:r>
              <m:r>
                <m:rPr>
                  <m:sty m:val="p"/>
                </m:rPr>
                <m:t>−</m:t>
              </m:r>
              <m:r>
                <m:t>z</m:t>
              </m:r>
            </m:den>
          </m:f>
          <m:r>
            <m:t>d</m:t>
          </m:r>
          <m:r>
            <m:t>z</m:t>
          </m:r>
          <m:r>
            <m:rPr>
              <m:sty m:val="p"/>
            </m:rPr>
            <m:t>=</m:t>
          </m:r>
          <m:r>
            <m:rPr>
              <m:sty m:val="p"/>
            </m:rPr>
            <m:t>∫</m:t>
          </m:r>
          <m:r>
            <m:t>d</m:t>
          </m:r>
          <m:acc>
            <m:accPr>
              <m:chr m:val="̃"/>
            </m:accPr>
            <m:e>
              <m:r>
                <m:t>t</m:t>
              </m:r>
            </m:e>
          </m:acc>
        </m:oMath>
      </m:oMathPara>
    </w:p>
    <w:p>
      <w:pPr>
        <w:pStyle w:val="FirstParagraph"/>
      </w:pPr>
      <m:oMathPara>
        <m:oMathParaPr>
          <m:jc m:val="center"/>
        </m:oMathParaPr>
        <m:oMath>
          <m:r>
            <m:rPr>
              <m:sty m:val="p"/>
            </m:rPr>
            <m:t>−</m:t>
          </m:r>
          <m:r>
            <m:rPr>
              <m:sty m:val="p"/>
            </m:rPr>
            <m:t>ln</m:t>
          </m:r>
          <m:d>
            <m:dPr>
              <m:begChr m:val="|"/>
              <m:endChr m:val="|"/>
              <m:sepChr m:val=""/>
              <m:grow/>
            </m:dPr>
            <m:e>
              <m:r>
                <m:t>A</m:t>
              </m:r>
              <m:r>
                <m:rPr>
                  <m:sty m:val="p"/>
                </m:rPr>
                <m:t>−</m:t>
              </m:r>
              <m:r>
                <m:t>z</m:t>
              </m:r>
            </m:e>
          </m:d>
          <m:r>
            <m:rPr>
              <m:sty m:val="p"/>
            </m:rPr>
            <m:t>=</m:t>
          </m:r>
          <m:acc>
            <m:accPr>
              <m:chr m:val="̃"/>
            </m:accPr>
            <m:e>
              <m:r>
                <m:t>t</m:t>
              </m:r>
            </m:e>
          </m:acc>
          <m:r>
            <m:rPr>
              <m:sty m:val="p"/>
            </m:rPr>
            <m:t>+</m:t>
          </m:r>
          <m:r>
            <m:t>C</m:t>
          </m:r>
        </m:oMath>
      </m:oMathPara>
    </w:p>
    <w:p>
      <w:pPr>
        <w:pStyle w:val="FirstParagraph"/>
      </w:pPr>
      <m:oMathPara>
        <m:oMathParaPr>
          <m:jc m:val="center"/>
        </m:oMathParaPr>
        <m:oMath>
          <m:r>
            <m:t>A</m:t>
          </m:r>
          <m:r>
            <m:rPr>
              <m:sty m:val="p"/>
            </m:rPr>
            <m:t>−</m:t>
          </m:r>
          <m:r>
            <m:t>z</m:t>
          </m:r>
          <m:r>
            <m:rPr>
              <m:sty m:val="p"/>
            </m:rPr>
            <m:t>=</m:t>
          </m:r>
          <m:sSup>
            <m:e>
              <m:r>
                <m:t>e</m:t>
              </m:r>
            </m:e>
            <m:sup>
              <m:r>
                <m:rPr>
                  <m:sty m:val="p"/>
                </m:rPr>
                <m:t>−</m:t>
              </m:r>
              <m:acc>
                <m:accPr>
                  <m:chr m:val="̃"/>
                </m:accPr>
                <m:e>
                  <m:r>
                    <m:t>t</m:t>
                  </m:r>
                </m:e>
              </m:acc>
              <m:r>
                <m:rPr>
                  <m:sty m:val="p"/>
                </m:rPr>
                <m:t>−</m:t>
              </m:r>
              <m:r>
                <m:t>C</m:t>
              </m:r>
            </m:sup>
          </m:sSup>
        </m:oMath>
      </m:oMathPara>
    </w:p>
    <w:p>
      <w:pPr>
        <w:pStyle w:val="FirstParagraph"/>
      </w:pPr>
      <m:oMathPara>
        <m:oMathParaPr>
          <m:jc m:val="center"/>
        </m:oMathParaPr>
        <m:oMath>
          <m:r>
            <m:t>z</m:t>
          </m:r>
          <m:r>
            <m:rPr>
              <m:sty m:val="p"/>
            </m:rPr>
            <m:t>=</m:t>
          </m:r>
          <m:r>
            <m:t>A</m:t>
          </m:r>
          <m:r>
            <m:rPr>
              <m:sty m:val="p"/>
            </m:rPr>
            <m:t>−</m:t>
          </m:r>
          <m:sSup>
            <m:e>
              <m:r>
                <m:t>e</m:t>
              </m:r>
            </m:e>
            <m:sup>
              <m:r>
                <m:rPr>
                  <m:sty m:val="p"/>
                </m:rPr>
                <m:t>−</m:t>
              </m:r>
              <m:acc>
                <m:accPr>
                  <m:chr m:val="̃"/>
                </m:accPr>
                <m:e>
                  <m:r>
                    <m:t>t</m:t>
                  </m:r>
                </m:e>
              </m:acc>
            </m:sup>
          </m:sSup>
          <m:sSup>
            <m:e>
              <m:r>
                <m:t>e</m:t>
              </m:r>
            </m:e>
            <m:sup>
              <m:r>
                <m:t>C</m:t>
              </m:r>
            </m:sup>
          </m:sSup>
        </m:oMath>
      </m:oMathPara>
    </w:p>
    <w:p>
      <w:pPr>
        <w:pStyle w:val="FirstParagraph"/>
      </w:pPr>
      <w:r>
        <w:t xml:space="preserve">Considering the fact that</w:t>
      </w:r>
      <w:r>
        <w:t xml:space="preserve"> </w:t>
      </w:r>
      <m:oMath>
        <m:r>
          <m:t>z</m:t>
        </m:r>
        <m:d>
          <m:dPr>
            <m:begChr m:val="("/>
            <m:endChr m:val=")"/>
            <m:sepChr m:val=""/>
            <m:grow/>
          </m:dPr>
          <m:e>
            <m:r>
              <m:t>0</m:t>
            </m:r>
          </m:e>
        </m:d>
        <m:r>
          <m:rPr>
            <m:sty m:val="p"/>
          </m:rPr>
          <m:t>=</m:t>
        </m:r>
        <m:r>
          <m:t>0</m:t>
        </m:r>
      </m:oMath>
      <w:r>
        <w:t xml:space="preserve">, we conclude that</w:t>
      </w:r>
      <w:r>
        <w:t xml:space="preserve"> </w:t>
      </w:r>
      <m:oMath>
        <m:sSup>
          <m:e>
            <m:r>
              <m:t>e</m:t>
            </m:r>
          </m:e>
          <m:sup>
            <m:r>
              <m:t>C</m:t>
            </m:r>
          </m:sup>
        </m:sSup>
        <m:r>
          <m:rPr>
            <m:sty m:val="p"/>
          </m:rPr>
          <m:t>=</m:t>
        </m:r>
        <m:r>
          <m:t>A</m:t>
        </m:r>
      </m:oMath>
      <w:r>
        <w:t xml:space="preserve"> </w:t>
      </w:r>
      <w:r>
        <w:t xml:space="preserve">Hence:</w:t>
      </w:r>
    </w:p>
    <w:p>
      <w:pPr>
        <w:pStyle w:val="BodyText"/>
      </w:pPr>
      <m:oMathPara>
        <m:oMathParaPr>
          <m:jc m:val="center"/>
        </m:oMathParaPr>
        <m:oMath>
          <m:r>
            <m:t>z</m:t>
          </m:r>
          <m:r>
            <m:rPr>
              <m:sty m:val="p"/>
            </m:rPr>
            <m:t>=</m:t>
          </m:r>
          <m:r>
            <m:t>A</m:t>
          </m:r>
          <m:d>
            <m:dPr>
              <m:begChr m:val="("/>
              <m:endChr m:val=")"/>
              <m:sepChr m:val=""/>
              <m:grow/>
            </m:dPr>
            <m:e>
              <m:r>
                <m:t>1</m:t>
              </m:r>
              <m:r>
                <m:rPr>
                  <m:sty m:val="p"/>
                </m:rPr>
                <m:t>−</m:t>
              </m:r>
              <m:sSup>
                <m:e>
                  <m:r>
                    <m:t>e</m:t>
                  </m:r>
                </m:e>
                <m:sup>
                  <m:r>
                    <m:rPr>
                      <m:sty m:val="p"/>
                    </m:rPr>
                    <m:t>−</m:t>
                  </m:r>
                  <m:acc>
                    <m:accPr>
                      <m:chr m:val="̃"/>
                    </m:accPr>
                    <m:e>
                      <m:r>
                        <m:t>t</m:t>
                      </m:r>
                    </m:e>
                  </m:acc>
                </m:sup>
              </m:sSup>
            </m:e>
          </m:d>
        </m:oMath>
      </m:oMathPara>
    </w:p>
    <w:p>
      <w:pPr>
        <w:pStyle w:val="FirstParagraph"/>
      </w:pPr>
      <w:r>
        <w:t xml:space="preserve">Or:</w:t>
      </w:r>
    </w:p>
    <w:p>
      <w:pPr>
        <w:pStyle w:val="BodyText"/>
      </w:pPr>
      <m:oMathPara>
        <m:oMathParaPr>
          <m:jc m:val="center"/>
        </m:oMathParaPr>
        <m:oMath>
          <m:r>
            <m:t>z</m:t>
          </m:r>
          <m:r>
            <m:rPr>
              <m:sty m:val="p"/>
            </m:rPr>
            <m:t>=</m:t>
          </m:r>
          <m:f>
            <m:fPr>
              <m:type m:val="bar"/>
            </m:fPr>
            <m:num>
              <m:r>
                <m:t>N</m:t>
              </m:r>
              <m:r>
                <m:t>S</m:t>
              </m:r>
              <m:r>
                <m:t>V</m:t>
              </m:r>
            </m:num>
            <m:den>
              <m:r>
                <m:t>Q</m:t>
              </m:r>
            </m:den>
          </m:f>
          <m:d>
            <m:dPr>
              <m:begChr m:val="("/>
              <m:endChr m:val=")"/>
              <m:sepChr m:val=""/>
              <m:grow/>
            </m:dPr>
            <m:e>
              <m:r>
                <m:t>1</m:t>
              </m:r>
              <m:r>
                <m:rPr>
                  <m:sty m:val="p"/>
                </m:rPr>
                <m:t>−</m:t>
              </m:r>
              <m:sSup>
                <m:e>
                  <m:r>
                    <m:t>e</m:t>
                  </m:r>
                </m:e>
                <m:sup>
                  <m:r>
                    <m:rPr>
                      <m:sty m:val="p"/>
                    </m:rPr>
                    <m:t>−</m:t>
                  </m:r>
                  <m:f>
                    <m:fPr>
                      <m:type m:val="bar"/>
                    </m:fPr>
                    <m:num>
                      <m:r>
                        <m:t>Q</m:t>
                      </m:r>
                    </m:num>
                    <m:den>
                      <m:r>
                        <m:t>V</m:t>
                      </m:r>
                    </m:den>
                  </m:f>
                  <m:r>
                    <m:t>t</m:t>
                  </m:r>
                </m:sup>
              </m:sSup>
            </m:e>
          </m:d>
        </m:oMath>
      </m:oMathPara>
    </w:p>
    <w:p>
      <w:pPr>
        <w:pStyle w:val="FirstParagraph"/>
      </w:pPr>
      <w:r>
        <w:t xml:space="preserve">Which fit the form:</w:t>
      </w:r>
    </w:p>
    <w:p>
      <w:pPr>
        <w:pStyle w:val="BodyText"/>
      </w:pPr>
      <m:oMathPara>
        <m:oMathParaPr>
          <m:jc m:val="center"/>
        </m:oMathParaPr>
        <m:oMath>
          <m:r>
            <m:t>z</m:t>
          </m:r>
          <m:r>
            <m:rPr>
              <m:sty m:val="p"/>
            </m:rPr>
            <m:t>=</m:t>
          </m:r>
          <m:r>
            <m:t>A</m:t>
          </m:r>
          <m:d>
            <m:dPr>
              <m:begChr m:val="("/>
              <m:endChr m:val=")"/>
              <m:sepChr m:val=""/>
              <m:grow/>
            </m:dPr>
            <m:e>
              <m:r>
                <m:t>1</m:t>
              </m:r>
              <m:r>
                <m:rPr>
                  <m:sty m:val="p"/>
                </m:rPr>
                <m:t>−</m:t>
              </m:r>
              <m:sSup>
                <m:e>
                  <m:r>
                    <m:t>e</m:t>
                  </m:r>
                </m:e>
                <m:sup>
                  <m:r>
                    <m:rPr>
                      <m:sty m:val="p"/>
                    </m:rPr>
                    <m:t>−</m:t>
                  </m:r>
                  <m:f>
                    <m:fPr>
                      <m:type m:val="bar"/>
                    </m:fPr>
                    <m:num>
                      <m:r>
                        <m:t>t</m:t>
                      </m:r>
                    </m:num>
                    <m:den>
                      <m:r>
                        <m:t>τ</m:t>
                      </m:r>
                    </m:den>
                  </m:f>
                </m:sup>
              </m:sSup>
            </m:e>
          </m:d>
        </m:oMath>
      </m:oMathPara>
    </w:p>
    <w:p>
      <w:pPr>
        <w:pStyle w:val="FirstParagraph"/>
      </w:pPr>
      <w:r>
        <w:t xml:space="preserve">with</w:t>
      </w:r>
      <w:r>
        <w:t xml:space="preserve"> </w:t>
      </w:r>
      <m:oMath>
        <m:r>
          <m:t>A</m:t>
        </m:r>
        <m:r>
          <m:rPr>
            <m:sty m:val="p"/>
          </m:rPr>
          <m:t>=</m:t>
        </m:r>
        <m:f>
          <m:fPr>
            <m:type m:val="bar"/>
          </m:fPr>
          <m:num>
            <m:r>
              <m:t>N</m:t>
            </m:r>
            <m:r>
              <m:t>S</m:t>
            </m:r>
            <m:r>
              <m:t>V</m:t>
            </m:r>
          </m:num>
          <m:den>
            <m:r>
              <m:t>Q</m:t>
            </m:r>
          </m:den>
        </m:f>
      </m:oMath>
      <w:r>
        <w:t xml:space="preserve"> </w:t>
      </w:r>
      <w:r>
        <w:t xml:space="preserve">and</w:t>
      </w:r>
      <w:r>
        <w:t xml:space="preserve"> </w:t>
      </w:r>
      <m:oMath>
        <m:r>
          <m:t>τ</m:t>
        </m:r>
        <m:r>
          <m:rPr>
            <m:sty m:val="p"/>
          </m:rPr>
          <m:t>=</m:t>
        </m:r>
        <m:f>
          <m:fPr>
            <m:type m:val="bar"/>
          </m:fPr>
          <m:num>
            <m:r>
              <m:t>V</m:t>
            </m:r>
          </m:num>
          <m:den>
            <m:r>
              <m:t>Q</m:t>
            </m:r>
          </m:den>
        </m:f>
      </m:oMath>
      <w:r>
        <w:t xml:space="preserve">.</w:t>
      </w:r>
    </w:p>
    <w:bookmarkEnd w:id="29"/>
    <w:bookmarkStart w:id="30" w:name="b-low-concentration-of-inducers"/>
    <w:p>
      <w:pPr>
        <w:pStyle w:val="Heading4"/>
      </w:pPr>
      <w:r>
        <w:t xml:space="preserve">B: Low concentration of Inducers</w:t>
      </w:r>
    </w:p>
    <w:p>
      <w:pPr>
        <w:pStyle w:val="FirstParagraph"/>
      </w:pPr>
      <w:r>
        <w:t xml:space="preserve">For data set B, when the inducers are introduced at low concentration, only a fraction of bacteria is activated, with this fraction slowly growing. Hence we assume that</w:t>
      </w:r>
      <w:r>
        <w:t xml:space="preserve"> </w:t>
      </w:r>
      <m:oMath>
        <m:r>
          <m:t>S</m:t>
        </m:r>
      </m:oMath>
      <w:r>
        <w:t xml:space="preserve"> </w:t>
      </w:r>
      <w:r>
        <w:t xml:space="preserve">is a linear function of</w:t>
      </w:r>
      <w:r>
        <w:t xml:space="preserve"> </w:t>
      </w:r>
      <m:oMath>
        <m:acc>
          <m:accPr>
            <m:chr m:val="̃"/>
          </m:accPr>
          <m:e>
            <m:r>
              <m:t>t</m:t>
            </m:r>
          </m:e>
        </m:acc>
      </m:oMath>
      <w:r>
        <w:t xml:space="preserve"> </w:t>
      </w:r>
      <w:r>
        <w:t xml:space="preserve">with</w:t>
      </w:r>
      <w:r>
        <w:t xml:space="preserve"> </w:t>
      </w:r>
      <m:oMath>
        <m:r>
          <m:t>S</m:t>
        </m:r>
        <m:d>
          <m:dPr>
            <m:begChr m:val="("/>
            <m:endChr m:val=")"/>
            <m:sepChr m:val=""/>
            <m:grow/>
          </m:dPr>
          <m:e>
            <m:acc>
              <m:accPr>
                <m:chr m:val="̃"/>
              </m:accPr>
              <m:e>
                <m:r>
                  <m:t>t</m:t>
                </m:r>
              </m:e>
            </m:acc>
          </m:e>
        </m:d>
        <m:r>
          <m:rPr>
            <m:sty m:val="p"/>
          </m:rPr>
          <m:t>=</m:t>
        </m:r>
        <m:r>
          <m:t>α</m:t>
        </m:r>
        <m:acc>
          <m:accPr>
            <m:chr m:val="̃"/>
          </m:accPr>
          <m:e>
            <m:r>
              <m:t>t</m:t>
            </m:r>
          </m:e>
        </m:acc>
      </m:oMath>
      <w:r>
        <w:t xml:space="preserve"> </w:t>
      </w:r>
      <w:r>
        <w:t xml:space="preserve">and</w:t>
      </w:r>
      <w:r>
        <w:t xml:space="preserve"> </w:t>
      </w:r>
      <w:r>
        <w:t xml:space="preserve">being the rate at which activation</w:t>
      </w:r>
      <w:r>
        <w:t xml:space="preserve"> </w:t>
      </w:r>
      <w:r>
        <w:t xml:space="preserve">“</w:t>
      </w:r>
      <w:r>
        <w:t xml:space="preserve">spreads</w:t>
      </w:r>
      <w:r>
        <w:t xml:space="preserve">”</w:t>
      </w:r>
      <w:r>
        <w:t xml:space="preserve"> </w:t>
      </w:r>
      <w:r>
        <w:t xml:space="preserve">through the population.</w:t>
      </w:r>
      <w:r>
        <w:t xml:space="preserve"> </w:t>
      </w:r>
      <w:r>
        <w:t xml:space="preserve">Hence we again start with the equation:</w:t>
      </w:r>
    </w:p>
    <w:p>
      <w:pPr>
        <w:pStyle w:val="BodyText"/>
      </w:pPr>
      <m:oMathPara>
        <m:oMathParaPr>
          <m:jc m:val="center"/>
        </m:oMathParaPr>
        <m:oMath>
          <m:f>
            <m:fPr>
              <m:type m:val="bar"/>
            </m:fPr>
            <m:num>
              <m:r>
                <m:t>d</m:t>
              </m:r>
              <m:r>
                <m:t>z</m:t>
              </m:r>
            </m:num>
            <m:den>
              <m:r>
                <m:t>d</m:t>
              </m:r>
              <m:acc>
                <m:accPr>
                  <m:chr m:val="̃"/>
                </m:accPr>
                <m:e>
                  <m:r>
                    <m:t>t</m:t>
                  </m:r>
                </m:e>
              </m:acc>
            </m:den>
          </m:f>
          <m:r>
            <m:rPr>
              <m:sty m:val="p"/>
            </m:rPr>
            <m:t>=</m:t>
          </m:r>
          <m:f>
            <m:fPr>
              <m:type m:val="bar"/>
            </m:fPr>
            <m:num>
              <m:r>
                <m:t>V</m:t>
              </m:r>
              <m:r>
                <m:t>N</m:t>
              </m:r>
              <m:r>
                <m:t>S</m:t>
              </m:r>
            </m:num>
            <m:den>
              <m:r>
                <m:t>Q</m:t>
              </m:r>
            </m:den>
          </m:f>
          <m:r>
            <m:rPr>
              <m:sty m:val="p"/>
            </m:rPr>
            <m:t>−</m:t>
          </m:r>
          <m:r>
            <m:t>z</m:t>
          </m:r>
        </m:oMath>
      </m:oMathPara>
    </w:p>
    <w:p>
      <w:pPr>
        <w:pStyle w:val="FirstParagraph"/>
      </w:pPr>
      <w:r>
        <w:t xml:space="preserve">However, we substitute</w:t>
      </w:r>
      <w:r>
        <w:t xml:space="preserve"> </w:t>
      </w:r>
      <m:oMath>
        <m:r>
          <m:t>S</m:t>
        </m:r>
      </m:oMath>
      <w:r>
        <w:t xml:space="preserve"> </w:t>
      </w:r>
      <w:r>
        <w:t xml:space="preserve">as a function of t</w:t>
      </w:r>
    </w:p>
    <w:p>
      <w:pPr>
        <w:pStyle w:val="BodyText"/>
      </w:pPr>
      <m:oMathPara>
        <m:oMathParaPr>
          <m:jc m:val="center"/>
        </m:oMathParaPr>
        <m:oMath>
          <m:f>
            <m:fPr>
              <m:type m:val="bar"/>
            </m:fPr>
            <m:num>
              <m:r>
                <m:t>d</m:t>
              </m:r>
              <m:r>
                <m:t>z</m:t>
              </m:r>
            </m:num>
            <m:den>
              <m:r>
                <m:t>d</m:t>
              </m:r>
              <m:acc>
                <m:accPr>
                  <m:chr m:val="̃"/>
                </m:accPr>
                <m:e>
                  <m:r>
                    <m:t>t</m:t>
                  </m:r>
                </m:e>
              </m:acc>
            </m:den>
          </m:f>
          <m:r>
            <m:rPr>
              <m:sty m:val="p"/>
            </m:rPr>
            <m:t>=</m:t>
          </m:r>
          <m:f>
            <m:fPr>
              <m:type m:val="bar"/>
            </m:fPr>
            <m:num>
              <m:r>
                <m:t>V</m:t>
              </m:r>
              <m:r>
                <m:t>N</m:t>
              </m:r>
              <m:r>
                <m:t>α</m:t>
              </m:r>
            </m:num>
            <m:den>
              <m:r>
                <m:t>Q</m:t>
              </m:r>
            </m:den>
          </m:f>
          <m:acc>
            <m:accPr>
              <m:chr m:val="̃"/>
            </m:accPr>
            <m:e>
              <m:r>
                <m:t>t</m:t>
              </m:r>
            </m:e>
          </m:acc>
          <m:r>
            <m:rPr>
              <m:sty m:val="p"/>
            </m:rPr>
            <m:t>−</m:t>
          </m:r>
          <m:r>
            <m:t>z</m:t>
          </m:r>
        </m:oMath>
      </m:oMathPara>
    </w:p>
    <w:p>
      <w:pPr>
        <w:pStyle w:val="FirstParagraph"/>
      </w:pPr>
      <w:r>
        <w:t xml:space="preserve">Again using a dimensionless substitution, this time for</w:t>
      </w:r>
      <w:r>
        <w:t xml:space="preserve"> </w:t>
      </w:r>
      <m:oMath>
        <m:r>
          <m:t>z</m:t>
        </m:r>
      </m:oMath>
      <w:r>
        <w:t xml:space="preserve"> </w:t>
      </w:r>
      <w:r>
        <w:t xml:space="preserve">as $z =</w:t>
      </w:r>
      <w:r>
        <w:t xml:space="preserve"> </w:t>
      </w:r>
      <w:r>
        <w:t xml:space="preserve"> </w:t>
      </w:r>
      <w:r>
        <w:t xml:space="preserve"> </w:t>
      </w:r>
      <w:r>
        <w:t xml:space="preserve">$</w:t>
      </w:r>
      <w:r>
        <w:t xml:space="preserve"> </w:t>
      </w:r>
      <w:r>
        <w:t xml:space="preserve">We arrive at</w:t>
      </w:r>
    </w:p>
    <w:p>
      <w:pPr>
        <w:pStyle w:val="BodyText"/>
      </w:pPr>
      <m:oMathPara>
        <m:oMathParaPr>
          <m:jc m:val="center"/>
        </m:oMathParaPr>
        <m:oMath>
          <m:f>
            <m:fPr>
              <m:type m:val="bar"/>
            </m:fPr>
            <m:num>
              <m:r>
                <m:t>d</m:t>
              </m:r>
              <m:acc>
                <m:accPr>
                  <m:chr m:val="̃"/>
                </m:accPr>
                <m:e>
                  <m:r>
                    <m:t>z</m:t>
                  </m:r>
                </m:e>
              </m:acc>
            </m:num>
            <m:den>
              <m:r>
                <m:t>d</m:t>
              </m:r>
              <m:acc>
                <m:accPr>
                  <m:chr m:val="̃"/>
                </m:accPr>
                <m:e>
                  <m:r>
                    <m:t>t</m:t>
                  </m:r>
                </m:e>
              </m:acc>
            </m:den>
          </m:f>
          <m:r>
            <m:rPr>
              <m:sty m:val="p"/>
            </m:rPr>
            <m:t>=</m:t>
          </m:r>
          <m:acc>
            <m:accPr>
              <m:chr m:val="̃"/>
            </m:accPr>
            <m:e>
              <m:r>
                <m:t>t</m:t>
              </m:r>
            </m:e>
          </m:acc>
          <m:r>
            <m:rPr>
              <m:sty m:val="p"/>
            </m:rPr>
            <m:t>−</m:t>
          </m:r>
          <m:acc>
            <m:accPr>
              <m:chr m:val="̃"/>
            </m:accPr>
            <m:e>
              <m:r>
                <m:t>z</m:t>
              </m:r>
            </m:e>
          </m:acc>
        </m:oMath>
      </m:oMathPara>
    </w:p>
    <w:p>
      <w:pPr>
        <w:pStyle w:val="FirstParagraph"/>
      </w:pPr>
      <w:r>
        <w:t xml:space="preserve">Which we can rearrange in the form of</w:t>
      </w:r>
    </w:p>
    <w:p>
      <w:pPr>
        <w:pStyle w:val="BodyText"/>
      </w:pPr>
      <m:oMathPara>
        <m:oMathParaPr>
          <m:jc m:val="center"/>
        </m:oMathParaPr>
        <m:oMath>
          <m:acc>
            <m:accPr>
              <m:chr m:val="̃"/>
            </m:accPr>
            <m:e>
              <m:r>
                <m:t>z</m:t>
              </m:r>
            </m:e>
          </m:acc>
          <m:r>
            <m:rPr>
              <m:sty m:val="p"/>
            </m:rPr>
            <m:t>′</m:t>
          </m:r>
          <m:r>
            <m:rPr>
              <m:sty m:val="p"/>
            </m:rPr>
            <m:t>+</m:t>
          </m:r>
          <m:acc>
            <m:accPr>
              <m:chr m:val="̃"/>
            </m:accPr>
            <m:e>
              <m:r>
                <m:t>z</m:t>
              </m:r>
            </m:e>
          </m:acc>
          <m:r>
            <m:rPr>
              <m:sty m:val="p"/>
            </m:rPr>
            <m:t>=</m:t>
          </m:r>
          <m:acc>
            <m:accPr>
              <m:chr m:val="̃"/>
            </m:accPr>
            <m:e>
              <m:r>
                <m:t>t</m:t>
              </m:r>
            </m:e>
          </m:acc>
        </m:oMath>
      </m:oMathPara>
    </w:p>
    <w:p>
      <w:pPr>
        <w:pStyle w:val="FirstParagraph"/>
      </w:pPr>
      <w:r>
        <w:t xml:space="preserve">Which we can use an integration factor of</w:t>
      </w:r>
      <w:r>
        <w:t xml:space="preserve"> </w:t>
      </w:r>
      <m:oMath>
        <m:r>
          <m:t>r</m:t>
        </m:r>
        <m:d>
          <m:dPr>
            <m:begChr m:val="("/>
            <m:endChr m:val=")"/>
            <m:sepChr m:val=""/>
            <m:grow/>
          </m:dPr>
          <m:e>
            <m:r>
              <m:t>t</m:t>
            </m:r>
          </m:e>
        </m:d>
        <m:r>
          <m:rPr>
            <m:sty m:val="p"/>
          </m:rPr>
          <m:t>=</m:t>
        </m:r>
        <m:sSup>
          <m:e>
            <m:r>
              <m:t>e</m:t>
            </m:r>
          </m:e>
          <m:sup>
            <m:r>
              <m:rPr>
                <m:sty m:val="p"/>
              </m:rPr>
              <m:t>∫</m:t>
            </m:r>
            <m:r>
              <m:t>d</m:t>
            </m:r>
            <m:r>
              <m:t>t</m:t>
            </m:r>
          </m:sup>
        </m:sSup>
        <m:r>
          <m:rPr>
            <m:sty m:val="p"/>
          </m:rPr>
          <m:t>=</m:t>
        </m:r>
        <m:sSup>
          <m:e>
            <m:r>
              <m:t>e</m:t>
            </m:r>
          </m:e>
          <m:sup>
            <m:acc>
              <m:accPr>
                <m:chr m:val="̃"/>
              </m:accPr>
              <m:e>
                <m:r>
                  <m:t>t</m:t>
                </m:r>
              </m:e>
            </m:acc>
          </m:sup>
        </m:sSup>
      </m:oMath>
      <w:r>
        <w:t xml:space="preserve"> </w:t>
      </w:r>
      <w:r>
        <w:t xml:space="preserve">which we can multiply both sides of the equation and integrate:</w:t>
      </w:r>
    </w:p>
    <w:p>
      <w:pPr>
        <w:pStyle w:val="BodyText"/>
      </w:pPr>
      <m:oMathPara>
        <m:oMathParaPr>
          <m:jc m:val="center"/>
        </m:oMathParaPr>
        <m:oMath>
          <m:sSup>
            <m:e>
              <m:r>
                <m:t>e</m:t>
              </m:r>
            </m:e>
            <m:sup>
              <m:r>
                <m:rPr>
                  <m:sty m:val="p"/>
                </m:rPr>
                <m:t>∫</m:t>
              </m:r>
              <m:r>
                <m:t>d</m:t>
              </m:r>
              <m:r>
                <m:t>t</m:t>
              </m:r>
            </m:sup>
          </m:sSup>
          <m:acc>
            <m:accPr>
              <m:chr m:val="̃"/>
            </m:accPr>
            <m:e>
              <m:r>
                <m:t>z</m:t>
              </m:r>
            </m:e>
          </m:acc>
          <m:r>
            <m:rPr>
              <m:sty m:val="p"/>
            </m:rPr>
            <m:t>′</m:t>
          </m:r>
          <m:r>
            <m:rPr>
              <m:sty m:val="p"/>
            </m:rPr>
            <m:t>+</m:t>
          </m:r>
          <m:sSup>
            <m:e>
              <m:r>
                <m:t>e</m:t>
              </m:r>
            </m:e>
            <m:sup>
              <m:r>
                <m:rPr>
                  <m:sty m:val="p"/>
                </m:rPr>
                <m:t>∫</m:t>
              </m:r>
              <m:r>
                <m:t>d</m:t>
              </m:r>
              <m:r>
                <m:t>t</m:t>
              </m:r>
            </m:sup>
          </m:sSup>
          <m:acc>
            <m:accPr>
              <m:chr m:val="̃"/>
            </m:accPr>
            <m:e>
              <m:r>
                <m:t>z</m:t>
              </m:r>
            </m:e>
          </m:acc>
          <m:r>
            <m:rPr>
              <m:sty m:val="p"/>
            </m:rPr>
            <m:t>=</m:t>
          </m:r>
          <m:sSup>
            <m:e>
              <m:r>
                <m:t>e</m:t>
              </m:r>
            </m:e>
            <m:sup>
              <m:r>
                <m:rPr>
                  <m:sty m:val="p"/>
                </m:rPr>
                <m:t>∫</m:t>
              </m:r>
              <m:r>
                <m:t>d</m:t>
              </m:r>
              <m:r>
                <m:t>t</m:t>
              </m:r>
            </m:sup>
          </m:sSup>
          <m:acc>
            <m:accPr>
              <m:chr m:val="̃"/>
            </m:accPr>
            <m:e>
              <m:r>
                <m:t>t</m:t>
              </m:r>
            </m:e>
          </m:acc>
        </m:oMath>
      </m:oMathPara>
    </w:p>
    <w:p>
      <w:pPr>
        <w:pStyle w:val="FirstParagraph"/>
      </w:pPr>
      <m:oMathPara>
        <m:oMathParaPr>
          <m:jc m:val="center"/>
        </m:oMathParaPr>
        <m:oMath>
          <m:f>
            <m:fPr>
              <m:type m:val="bar"/>
            </m:fPr>
            <m:num>
              <m:r>
                <m:t>d</m:t>
              </m:r>
            </m:num>
            <m:den>
              <m:r>
                <m:t>d</m:t>
              </m:r>
              <m:r>
                <m:t>t</m:t>
              </m:r>
            </m:den>
          </m:f>
          <m:d>
            <m:dPr>
              <m:begChr m:val="["/>
              <m:endChr m:val="]"/>
              <m:sepChr m:val=""/>
              <m:grow/>
            </m:dPr>
            <m:e>
              <m:sSup>
                <m:e>
                  <m:r>
                    <m:t>e</m:t>
                  </m:r>
                </m:e>
                <m:sup>
                  <m:r>
                    <m:rPr>
                      <m:sty m:val="p"/>
                    </m:rPr>
                    <m:t>∫</m:t>
                  </m:r>
                  <m:r>
                    <m:t>d</m:t>
                  </m:r>
                  <m:r>
                    <m:t>t</m:t>
                  </m:r>
                </m:sup>
              </m:sSup>
              <m:acc>
                <m:accPr>
                  <m:chr m:val="̃"/>
                </m:accPr>
                <m:e>
                  <m:r>
                    <m:t>z</m:t>
                  </m:r>
                </m:e>
              </m:acc>
            </m:e>
          </m:d>
          <m:r>
            <m:rPr>
              <m:sty m:val="p"/>
            </m:rPr>
            <m:t>=</m:t>
          </m:r>
          <m:sSup>
            <m:e>
              <m:r>
                <m:t>e</m:t>
              </m:r>
            </m:e>
            <m:sup>
              <m:r>
                <m:rPr>
                  <m:sty m:val="p"/>
                </m:rPr>
                <m:t>∫</m:t>
              </m:r>
              <m:r>
                <m:t>d</m:t>
              </m:r>
              <m:r>
                <m:t>t</m:t>
              </m:r>
            </m:sup>
          </m:sSup>
          <m:acc>
            <m:accPr>
              <m:chr m:val="̃"/>
            </m:accPr>
            <m:e>
              <m:r>
                <m:t>t</m:t>
              </m:r>
            </m:e>
          </m:acc>
        </m:oMath>
      </m:oMathPara>
    </w:p>
    <w:p>
      <w:pPr>
        <w:pStyle w:val="FirstParagraph"/>
      </w:pPr>
      <m:oMathPara>
        <m:oMathParaPr>
          <m:jc m:val="center"/>
        </m:oMathParaPr>
        <m:oMath>
          <m:sSup>
            <m:e>
              <m:r>
                <m:t>e</m:t>
              </m:r>
            </m:e>
            <m:sup>
              <m:r>
                <m:rPr>
                  <m:sty m:val="p"/>
                </m:rPr>
                <m:t>∫</m:t>
              </m:r>
              <m:r>
                <m:t>d</m:t>
              </m:r>
              <m:r>
                <m:t>t</m:t>
              </m:r>
            </m:sup>
          </m:sSup>
          <m:acc>
            <m:accPr>
              <m:chr m:val="̃"/>
            </m:accPr>
            <m:e>
              <m:r>
                <m:t>z</m:t>
              </m:r>
            </m:e>
          </m:acc>
          <m:r>
            <m:rPr>
              <m:sty m:val="p"/>
            </m:rPr>
            <m:t>=</m:t>
          </m:r>
          <m:r>
            <m:rPr>
              <m:sty m:val="p"/>
            </m:rPr>
            <m:t>∫</m:t>
          </m:r>
          <m:sSup>
            <m:e>
              <m:r>
                <m:t>e</m:t>
              </m:r>
            </m:e>
            <m:sup>
              <m:r>
                <m:rPr>
                  <m:sty m:val="p"/>
                </m:rPr>
                <m:t>∫</m:t>
              </m:r>
              <m:r>
                <m:t>d</m:t>
              </m:r>
              <m:r>
                <m:t>t</m:t>
              </m:r>
            </m:sup>
          </m:sSup>
          <m:acc>
            <m:accPr>
              <m:chr m:val="̃"/>
            </m:accPr>
            <m:e>
              <m:r>
                <m:t>t</m:t>
              </m:r>
            </m:e>
          </m:acc>
          <m:r>
            <m:rPr>
              <m:sty m:val="p"/>
            </m:rPr>
            <m:t>+</m:t>
          </m:r>
          <m:r>
            <m:t>C</m:t>
          </m:r>
        </m:oMath>
      </m:oMathPara>
    </w:p>
    <w:p>
      <w:pPr>
        <w:pStyle w:val="FirstParagraph"/>
      </w:pPr>
      <m:oMathPara>
        <m:oMathParaPr>
          <m:jc m:val="center"/>
        </m:oMathParaPr>
        <m:oMath>
          <m:sSup>
            <m:e>
              <m:r>
                <m:t>e</m:t>
              </m:r>
            </m:e>
            <m:sup>
              <m:acc>
                <m:accPr>
                  <m:chr m:val="̃"/>
                </m:accPr>
                <m:e>
                  <m:r>
                    <m:t>t</m:t>
                  </m:r>
                </m:e>
              </m:acc>
            </m:sup>
          </m:sSup>
          <m:acc>
            <m:accPr>
              <m:chr m:val="̃"/>
            </m:accPr>
            <m:e>
              <m:r>
                <m:t>z</m:t>
              </m:r>
            </m:e>
          </m:acc>
          <m:r>
            <m:rPr>
              <m:sty m:val="p"/>
            </m:rPr>
            <m:t>=</m:t>
          </m:r>
          <m:sSup>
            <m:e>
              <m:r>
                <m:t>e</m:t>
              </m:r>
            </m:e>
            <m:sup>
              <m:acc>
                <m:accPr>
                  <m:chr m:val="̃"/>
                </m:accPr>
                <m:e>
                  <m:r>
                    <m:t>t</m:t>
                  </m:r>
                </m:e>
              </m:acc>
            </m:sup>
          </m:sSup>
          <m:d>
            <m:dPr>
              <m:begChr m:val="("/>
              <m:endChr m:val=")"/>
              <m:sepChr m:val=""/>
              <m:grow/>
            </m:dPr>
            <m:e>
              <m:acc>
                <m:accPr>
                  <m:chr m:val="̃"/>
                </m:accPr>
                <m:e>
                  <m:r>
                    <m:t>t</m:t>
                  </m:r>
                </m:e>
              </m:acc>
              <m:r>
                <m:rPr>
                  <m:sty m:val="p"/>
                </m:rPr>
                <m:t>−</m:t>
              </m:r>
              <m:r>
                <m:t>1</m:t>
              </m:r>
            </m:e>
          </m:d>
        </m:oMath>
      </m:oMathPara>
    </w:p>
    <w:p>
      <w:pPr>
        <w:pStyle w:val="FirstParagraph"/>
      </w:pPr>
      <m:oMathPara>
        <m:oMathParaPr>
          <m:jc m:val="center"/>
        </m:oMathParaPr>
        <m:oMath>
          <m:acc>
            <m:accPr>
              <m:chr m:val="̃"/>
            </m:accPr>
            <m:e>
              <m:r>
                <m:t>z</m:t>
              </m:r>
            </m:e>
          </m:acc>
          <m:r>
            <m:rPr>
              <m:sty m:val="p"/>
            </m:rPr>
            <m:t>=</m:t>
          </m:r>
          <m:acc>
            <m:accPr>
              <m:chr m:val="̃"/>
            </m:accPr>
            <m:e>
              <m:r>
                <m:t>t</m:t>
              </m:r>
            </m:e>
          </m:acc>
          <m:r>
            <m:rPr>
              <m:sty m:val="p"/>
            </m:rPr>
            <m:t>−</m:t>
          </m:r>
          <m:r>
            <m:t>1</m:t>
          </m:r>
        </m:oMath>
      </m:oMathPara>
    </w:p>
    <w:p>
      <w:pPr>
        <w:pStyle w:val="FirstParagraph"/>
      </w:pPr>
      <w:r>
        <w:t xml:space="preserve">We realize that this equation fits the form at large t, but does not fit the initial condition of</w:t>
      </w:r>
      <w:r>
        <w:t xml:space="preserve"> </w:t>
      </w:r>
      <m:oMath>
        <m:r>
          <m:t>z</m:t>
        </m:r>
        <m:d>
          <m:dPr>
            <m:begChr m:val="("/>
            <m:endChr m:val=")"/>
            <m:sepChr m:val=""/>
            <m:grow/>
          </m:dPr>
          <m:e>
            <m:r>
              <m:t>0</m:t>
            </m:r>
          </m:e>
        </m:d>
        <m:r>
          <m:rPr>
            <m:sty m:val="p"/>
          </m:rPr>
          <m:t>=</m:t>
        </m:r>
        <m:r>
          <m:t>0</m:t>
        </m:r>
      </m:oMath>
      <w:r>
        <w:t xml:space="preserve">, hence we adding the term $A e^{-</w:t>
      </w:r>
      <w:r>
        <w:t xml:space="preserve">} $ with</w:t>
      </w:r>
      <w:r>
        <w:t xml:space="preserve"> </w:t>
      </w:r>
      <m:oMath>
        <m:r>
          <m:t>A</m:t>
        </m:r>
      </m:oMath>
      <w:r>
        <w:t xml:space="preserve"> </w:t>
      </w:r>
      <w:r>
        <w:t xml:space="preserve">being a free constant (not to be confused with</w:t>
      </w:r>
      <w:r>
        <w:t xml:space="preserve"> </w:t>
      </w:r>
      <m:oMath>
        <m:r>
          <m:t>A</m:t>
        </m:r>
      </m:oMath>
      <w:r>
        <w:t xml:space="preserve"> </w:t>
      </w:r>
      <w:r>
        <w:t xml:space="preserve">from data set A), which we adjust to</w:t>
      </w:r>
      <w:r>
        <w:t xml:space="preserve"> </w:t>
      </w:r>
      <m:oMath>
        <m:r>
          <m:t>A</m:t>
        </m:r>
        <m:r>
          <m:rPr>
            <m:sty m:val="p"/>
          </m:rPr>
          <m:t>=</m:t>
        </m:r>
        <m:r>
          <m:t>1</m:t>
        </m:r>
      </m:oMath>
      <w:r>
        <w:t xml:space="preserve"> </w:t>
      </w:r>
      <w:r>
        <w:t xml:space="preserve">to satisfy this initial condition, resulting in:</w:t>
      </w:r>
    </w:p>
    <w:p>
      <w:pPr>
        <w:pStyle w:val="BodyText"/>
      </w:pPr>
      <m:oMathPara>
        <m:oMathParaPr>
          <m:jc m:val="center"/>
        </m:oMathParaPr>
        <m:oMath>
          <m:acc>
            <m:accPr>
              <m:chr m:val="̃"/>
            </m:accPr>
            <m:e>
              <m:r>
                <m:t>z</m:t>
              </m:r>
            </m:e>
          </m:acc>
          <m:r>
            <m:rPr>
              <m:sty m:val="p"/>
            </m:rPr>
            <m:t>=</m:t>
          </m:r>
          <m:r>
            <m:rPr>
              <m:sty m:val="p"/>
            </m:rPr>
            <m:t>−</m:t>
          </m:r>
          <m:r>
            <m:t>1</m:t>
          </m:r>
          <m:r>
            <m:rPr>
              <m:sty m:val="p"/>
            </m:rPr>
            <m:t>+</m:t>
          </m:r>
          <m:acc>
            <m:accPr>
              <m:chr m:val="̃"/>
            </m:accPr>
            <m:e>
              <m:r>
                <m:t>t</m:t>
              </m:r>
            </m:e>
          </m:acc>
          <m:r>
            <m:rPr>
              <m:sty m:val="p"/>
            </m:rPr>
            <m:t>+</m:t>
          </m:r>
          <m:sSup>
            <m:e>
              <m:r>
                <m:t>e</m:t>
              </m:r>
            </m:e>
            <m:sup>
              <m:acc>
                <m:accPr>
                  <m:chr m:val="̃"/>
                </m:accPr>
                <m:e>
                  <m:r>
                    <m:t>t</m:t>
                  </m:r>
                </m:e>
              </m:acc>
            </m:sup>
          </m:sSup>
        </m:oMath>
      </m:oMathPara>
    </w:p>
    <w:p>
      <w:pPr>
        <w:pStyle w:val="FirstParagraph"/>
      </w:pPr>
      <w:r>
        <w:t xml:space="preserve">Now we replace</w:t>
      </w:r>
      <w:r>
        <w:t xml:space="preserve"> </w:t>
      </w:r>
      <m:oMath>
        <m:acc>
          <m:accPr>
            <m:chr m:val="̃"/>
          </m:accPr>
          <m:e>
            <m:r>
              <m:t>t</m:t>
            </m:r>
          </m:e>
        </m:acc>
      </m:oMath>
      <w:r>
        <w:t xml:space="preserve"> </w:t>
      </w:r>
      <w:r>
        <w:t xml:space="preserve">and $</w:t>
      </w:r>
      <w:r>
        <w:t xml:space="preserve"> </w:t>
      </w:r>
      <w:r>
        <w:t xml:space="preserve">$ with their physical counterparts:</w:t>
      </w:r>
    </w:p>
    <w:p>
      <w:pPr>
        <w:pStyle w:val="BodyText"/>
      </w:pPr>
      <m:oMathPara>
        <m:oMathParaPr>
          <m:jc m:val="center"/>
        </m:oMathParaPr>
        <m:oMath>
          <m:r>
            <m:t>z</m:t>
          </m:r>
          <m:r>
            <m:rPr>
              <m:sty m:val="p"/>
            </m:rPr>
            <m:t>=</m:t>
          </m:r>
          <m:f>
            <m:fPr>
              <m:type m:val="bar"/>
            </m:fPr>
            <m:num>
              <m:r>
                <m:t>Q</m:t>
              </m:r>
            </m:num>
            <m:den>
              <m:r>
                <m:t>V</m:t>
              </m:r>
              <m:r>
                <m:t>N</m:t>
              </m:r>
              <m:r>
                <m:t>α</m:t>
              </m:r>
            </m:den>
          </m:f>
          <m:d>
            <m:dPr>
              <m:begChr m:val="("/>
              <m:endChr m:val=")"/>
              <m:sepChr m:val=""/>
              <m:grow/>
            </m:dPr>
            <m:e>
              <m:r>
                <m:rPr>
                  <m:sty m:val="p"/>
                </m:rPr>
                <m:t>−</m:t>
              </m:r>
              <m:r>
                <m:t>1</m:t>
              </m:r>
              <m:r>
                <m:rPr>
                  <m:sty m:val="p"/>
                </m:rPr>
                <m:t>+</m:t>
              </m:r>
              <m:f>
                <m:fPr>
                  <m:type m:val="bar"/>
                </m:fPr>
                <m:num>
                  <m:r>
                    <m:t>Q</m:t>
                  </m:r>
                </m:num>
                <m:den>
                  <m:r>
                    <m:t>V</m:t>
                  </m:r>
                </m:den>
              </m:f>
              <m:r>
                <m:t>t</m:t>
              </m:r>
              <m:r>
                <m:rPr>
                  <m:sty m:val="p"/>
                </m:rPr>
                <m:t>+</m:t>
              </m:r>
              <m:sSup>
                <m:e>
                  <m:r>
                    <m:t>e</m:t>
                  </m:r>
                </m:e>
                <m:sup>
                  <m:r>
                    <m:rPr>
                      <m:sty m:val="p"/>
                    </m:rPr>
                    <m:t>−</m:t>
                  </m:r>
                  <m:f>
                    <m:fPr>
                      <m:type m:val="bar"/>
                    </m:fPr>
                    <m:num>
                      <m:r>
                        <m:t>Q</m:t>
                      </m:r>
                    </m:num>
                    <m:den>
                      <m:r>
                        <m:t>V</m:t>
                      </m:r>
                    </m:den>
                  </m:f>
                  <m:r>
                    <m:t>t</m:t>
                  </m:r>
                </m:sup>
              </m:sSup>
            </m:e>
          </m:d>
        </m:oMath>
      </m:oMathPara>
    </w:p>
    <w:p>
      <w:pPr>
        <w:pStyle w:val="FirstParagraph"/>
      </w:pPr>
      <w:r>
        <w:t xml:space="preserve">Which fit the form $z = B(-1 +</w:t>
      </w:r>
      <w:r>
        <w:t xml:space="preserve"> </w:t>
      </w:r>
      <w:r>
        <w:t xml:space="preserve"> </w:t>
      </w:r>
      <w:r>
        <w:t xml:space="preserve">+ e^{-</w:t>
      </w:r>
      <w:r>
        <w:t xml:space="preserve">}) $ with</w:t>
      </w:r>
      <w:r>
        <w:t xml:space="preserve"> </w:t>
      </w:r>
      <m:oMath>
        <m:r>
          <m:t>B</m:t>
        </m:r>
        <m:r>
          <m:rPr>
            <m:sty m:val="p"/>
          </m:rPr>
          <m:t>=</m:t>
        </m:r>
        <m:f>
          <m:fPr>
            <m:type m:val="bar"/>
          </m:fPr>
          <m:num>
            <m:r>
              <m:t>Q</m:t>
            </m:r>
          </m:num>
          <m:den>
            <m:r>
              <m:t>V</m:t>
            </m:r>
            <m:r>
              <m:t>N</m:t>
            </m:r>
            <m:r>
              <m:t>α</m:t>
            </m:r>
          </m:den>
        </m:f>
      </m:oMath>
      <w:r>
        <w:t xml:space="preserve"> </w:t>
      </w:r>
      <w:r>
        <w:t xml:space="preserve">and</w:t>
      </w:r>
      <w:r>
        <w:t xml:space="preserve"> </w:t>
      </w:r>
      <m:oMath>
        <m:r>
          <m:t>τ</m:t>
        </m:r>
        <m:r>
          <m:rPr>
            <m:sty m:val="p"/>
          </m:rPr>
          <m:t>=</m:t>
        </m:r>
        <m:f>
          <m:fPr>
            <m:type m:val="bar"/>
          </m:fPr>
          <m:num>
            <m:r>
              <m:t>V</m:t>
            </m:r>
          </m:num>
          <m:den>
            <m:r>
              <m:t>Q</m:t>
            </m:r>
          </m:den>
        </m:f>
      </m:oMath>
      <w:r>
        <w:t xml:space="preserve">.</w:t>
      </w:r>
    </w:p>
    <w:bookmarkEnd w:id="30"/>
    <w:bookmarkEnd w:id="31"/>
    <w:bookmarkStart w:id="38" w:name="fitting-function-on-data-set-a"/>
    <w:p>
      <w:pPr>
        <w:pStyle w:val="Heading3"/>
      </w:pPr>
      <w:r>
        <w:t xml:space="preserve">Fitting function on Data set A</w:t>
      </w:r>
    </w:p>
    <w:p>
      <w:pPr>
        <w:pStyle w:val="FirstParagraph"/>
      </w:pPr>
      <w:r>
        <w:t xml:space="preserve">From the derived equation A:</w:t>
      </w:r>
      <w:r>
        <w:t xml:space="preserve"> </w:t>
      </w:r>
      <m:oMath>
        <m:r>
          <m:t>z</m:t>
        </m:r>
        <m:r>
          <m:rPr>
            <m:sty m:val="p"/>
          </m:rPr>
          <m:t>=</m:t>
        </m:r>
        <m:f>
          <m:fPr>
            <m:type m:val="bar"/>
          </m:fPr>
          <m:num>
            <m:r>
              <m:t>N</m:t>
            </m:r>
            <m:r>
              <m:t>S</m:t>
            </m:r>
            <m:r>
              <m:t>V</m:t>
            </m:r>
          </m:num>
          <m:den>
            <m:r>
              <m:t>Q</m:t>
            </m:r>
          </m:den>
        </m:f>
        <m:d>
          <m:dPr>
            <m:begChr m:val="("/>
            <m:endChr m:val=")"/>
            <m:sepChr m:val=""/>
            <m:grow/>
          </m:dPr>
          <m:e>
            <m:r>
              <m:t>1</m:t>
            </m:r>
            <m:r>
              <m:rPr>
                <m:sty m:val="p"/>
              </m:rPr>
              <m:t>−</m:t>
            </m:r>
            <m:sSup>
              <m:e>
                <m:r>
                  <m:t>e</m:t>
                </m:r>
              </m:e>
              <m:sup>
                <m:r>
                  <m:rPr>
                    <m:sty m:val="p"/>
                  </m:rPr>
                  <m:t>−</m:t>
                </m:r>
                <m:f>
                  <m:fPr>
                    <m:type m:val="bar"/>
                  </m:fPr>
                  <m:num>
                    <m:r>
                      <m:t>Q</m:t>
                    </m:r>
                  </m:num>
                  <m:den>
                    <m:r>
                      <m:t>V</m:t>
                    </m:r>
                  </m:den>
                </m:f>
                <m:r>
                  <m:t>t</m:t>
                </m:r>
              </m:sup>
            </m:sSup>
          </m:e>
        </m:d>
      </m:oMath>
      <w:r>
        <w:t xml:space="preserve">, we set the two parameters $A =</w:t>
      </w:r>
      <w:r>
        <w:t xml:space="preserve"> </w:t>
      </w:r>
      <w:r>
        <w:t xml:space="preserve"> </w:t>
      </w:r>
      <w:r>
        <w:t xml:space="preserve">$ and</w:t>
      </w:r>
      <w:r>
        <w:t xml:space="preserve"> </w:t>
      </w:r>
      <m:oMath>
        <m:r>
          <m:t>τ</m:t>
        </m:r>
        <m:r>
          <m:rPr>
            <m:sty m:val="p"/>
          </m:rPr>
          <m:t>=</m:t>
        </m:r>
        <m:f>
          <m:fPr>
            <m:type m:val="bar"/>
          </m:fPr>
          <m:num>
            <m:r>
              <m:t>V</m:t>
            </m:r>
          </m:num>
          <m:den>
            <m:r>
              <m:t>Q</m:t>
            </m:r>
          </m:den>
        </m:f>
      </m:oMath>
      <w:r>
        <w:t xml:space="preserve"> </w:t>
      </w:r>
      <w:r>
        <w:t xml:space="preserve">so the equation is of the form:</w:t>
      </w:r>
    </w:p>
    <w:p>
      <w:pPr>
        <w:pStyle w:val="BodyText"/>
      </w:pPr>
      <m:oMathPara>
        <m:oMathParaPr>
          <m:jc m:val="center"/>
        </m:oMathParaPr>
        <m:oMath>
          <m:r>
            <m:t>z</m:t>
          </m:r>
          <m:r>
            <m:rPr>
              <m:sty m:val="p"/>
            </m:rPr>
            <m:t>=</m:t>
          </m:r>
          <m:r>
            <m:t>A</m:t>
          </m:r>
          <m:d>
            <m:dPr>
              <m:begChr m:val="("/>
              <m:endChr m:val=")"/>
              <m:sepChr m:val=""/>
              <m:grow/>
            </m:dPr>
            <m:e>
              <m:r>
                <m:t>1</m:t>
              </m:r>
              <m:r>
                <m:rPr>
                  <m:sty m:val="p"/>
                </m:rPr>
                <m:t>−</m:t>
              </m:r>
              <m:sSup>
                <m:e>
                  <m:r>
                    <m:t>e</m:t>
                  </m:r>
                </m:e>
                <m:sup>
                  <m:r>
                    <m:rPr>
                      <m:sty m:val="p"/>
                    </m:rPr>
                    <m:t>−</m:t>
                  </m:r>
                  <m:f>
                    <m:fPr>
                      <m:type m:val="bar"/>
                    </m:fPr>
                    <m:num>
                      <m:r>
                        <m:t>t</m:t>
                      </m:r>
                    </m:num>
                    <m:den>
                      <m:r>
                        <m:t>τ</m:t>
                      </m:r>
                    </m:den>
                  </m:f>
                </m:sup>
              </m:sSup>
            </m:e>
          </m:d>
        </m:oMath>
      </m:oMathPara>
    </w:p>
    <w:p>
      <w:pPr>
        <w:pStyle w:val="FirstParagraph"/>
      </w:pPr>
      <w:r>
        <w:drawing>
          <wp:inline>
            <wp:extent cx="4620126" cy="3696101"/>
            <wp:effectExtent b="0" l="0" r="0" t="0"/>
            <wp:docPr descr="" title="" id="33" name="Picture"/>
            <a:graphic>
              <a:graphicData uri="http://schemas.openxmlformats.org/drawingml/2006/picture">
                <pic:pic>
                  <pic:nvPicPr>
                    <pic:cNvPr descr="bacterias_brain_files/figure-docx/a_q2-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data</w:t>
            </w:r>
          </w:p>
        </w:tc>
        <w:tc>
          <w:tcPr/>
          <w:p>
            <w:pPr>
              <w:pStyle w:val="Compact"/>
              <w:jc w:val="right"/>
            </w:pPr>
            <w:r>
              <w:t xml:space="preserve">values</w:t>
            </w:r>
          </w:p>
        </w:tc>
      </w:tr>
      <w:tr>
        <w:tc>
          <w:tcPr/>
          <w:p>
            <w:pPr>
              <w:pStyle w:val="Compact"/>
              <w:jc w:val="left"/>
            </w:pPr>
            <w:r>
              <w:t xml:space="preserve">ampl</w:t>
            </w:r>
          </w:p>
        </w:tc>
        <w:tc>
          <w:tcPr/>
          <w:p>
            <w:pPr>
              <w:pStyle w:val="Compact"/>
              <w:jc w:val="left"/>
            </w:pPr>
            <w:r>
              <w:t xml:space="preserve">dataset A</w:t>
            </w:r>
          </w:p>
        </w:tc>
        <w:tc>
          <w:tcPr/>
          <w:p>
            <w:pPr>
              <w:pStyle w:val="Compact"/>
              <w:jc w:val="right"/>
            </w:pPr>
            <w:r>
              <w:t xml:space="preserve">1.080</w:t>
            </w:r>
          </w:p>
        </w:tc>
      </w:tr>
      <w:tr>
        <w:tc>
          <w:tcPr/>
          <w:p>
            <w:pPr>
              <w:pStyle w:val="Compact"/>
              <w:jc w:val="left"/>
            </w:pPr>
            <w:r>
              <w:t xml:space="preserve">tau</w:t>
            </w:r>
          </w:p>
        </w:tc>
        <w:tc>
          <w:tcPr/>
          <w:p>
            <w:pPr>
              <w:pStyle w:val="Compact"/>
              <w:jc w:val="left"/>
            </w:pPr>
            <w:r>
              <w:t xml:space="preserve">dataset A</w:t>
            </w:r>
          </w:p>
        </w:tc>
        <w:tc>
          <w:tcPr/>
          <w:p>
            <w:pPr>
              <w:pStyle w:val="Compact"/>
              <w:jc w:val="right"/>
            </w:pPr>
            <w:r>
              <w:t xml:space="preserve">3.908</w:t>
            </w:r>
          </w:p>
        </w:tc>
      </w:tr>
    </w:tbl>
    <w:p>
      <w:pPr>
        <w:pStyle w:val="BodyText"/>
      </w:pPr>
      <w:r>
        <w:t xml:space="preserve">With the coefficients calculated, the nonlinear fitting of A results in the function:</w:t>
      </w:r>
    </w:p>
    <w:p>
      <w:pPr>
        <w:pStyle w:val="BodyText"/>
      </w:pPr>
      <m:oMathPara>
        <m:oMathParaPr>
          <m:jc m:val="center"/>
        </m:oMathParaPr>
        <m:oMath>
          <m:r>
            <m:t>z</m:t>
          </m:r>
          <m:d>
            <m:dPr>
              <m:begChr m:val="("/>
              <m:endChr m:val=")"/>
              <m:sepChr m:val=""/>
              <m:grow/>
            </m:dPr>
            <m:e>
              <m:r>
                <m:t>t</m:t>
              </m:r>
            </m:e>
          </m:d>
          <m:r>
            <m:rPr>
              <m:sty m:val="p"/>
            </m:rPr>
            <m:t>=</m:t>
          </m:r>
          <m:r>
            <m:t>A</m:t>
          </m:r>
          <m:d>
            <m:dPr>
              <m:begChr m:val="("/>
              <m:endChr m:val=")"/>
              <m:sepChr m:val=""/>
              <m:grow/>
            </m:dPr>
            <m:e>
              <m:r>
                <m:t>1</m:t>
              </m:r>
              <m:r>
                <m:rPr>
                  <m:sty m:val="p"/>
                </m:rPr>
                <m:t>−</m:t>
              </m:r>
              <m:sSup>
                <m:e>
                  <m:r>
                    <m:t>e</m:t>
                  </m:r>
                </m:e>
                <m:sup>
                  <m:r>
                    <m:rPr>
                      <m:sty m:val="p"/>
                    </m:rPr>
                    <m:t>−</m:t>
                  </m:r>
                  <m:f>
                    <m:fPr>
                      <m:type m:val="bar"/>
                    </m:fPr>
                    <m:num>
                      <m:r>
                        <m:t>t</m:t>
                      </m:r>
                    </m:num>
                    <m:den>
                      <m:r>
                        <m:t>τ</m:t>
                      </m:r>
                    </m:den>
                  </m:f>
                </m:sup>
              </m:sSup>
            </m:e>
          </m:d>
        </m:oMath>
      </m:oMathPara>
    </w:p>
    <w:p>
      <w:pPr>
        <w:pStyle w:val="FirstParagraph"/>
      </w:pPr>
      <w:r>
        <w:t xml:space="preserve">With A = 1.08 and</w:t>
      </w:r>
      <w:r>
        <w:t xml:space="preserve"> </w:t>
      </w:r>
      <w:r>
        <w:t xml:space="preserve">= 3.91 We observe that at</w:t>
      </w:r>
      <w:r>
        <w:t xml:space="preserve"> </w:t>
      </w:r>
      <m:oMath>
        <m:r>
          <m:t>t</m:t>
        </m:r>
        <m:r>
          <m:rPr>
            <m:sty m:val="p"/>
          </m:rPr>
          <m:t>=</m:t>
        </m:r>
        <m:r>
          <m:t>0</m:t>
        </m:r>
      </m:oMath>
      <w:r>
        <w:t xml:space="preserve">,</w:t>
      </w:r>
      <w:r>
        <w:t xml:space="preserve"> </w:t>
      </w:r>
      <m:oMath>
        <m:r>
          <m:t>z</m:t>
        </m:r>
        <m:d>
          <m:dPr>
            <m:begChr m:val="("/>
            <m:endChr m:val=")"/>
            <m:sepChr m:val=""/>
            <m:grow/>
          </m:dPr>
          <m:e>
            <m:r>
              <m:t>t</m:t>
            </m:r>
          </m:e>
        </m:d>
        <m:r>
          <m:rPr>
            <m:sty m:val="p"/>
          </m:rPr>
          <m:t>=</m:t>
        </m:r>
        <m:r>
          <m:t>0</m:t>
        </m:r>
      </m:oMath>
      <w:r>
        <w:t xml:space="preserve">, which is valid in its physical meaning, as there would be no</w:t>
      </w:r>
      <w:r>
        <w:t xml:space="preserve"> </w:t>
      </w:r>
      <w:r>
        <w:t xml:space="preserve">-gal before any inducers are introduced. Hence, the data point</w:t>
      </w:r>
      <w:r>
        <w:t xml:space="preserve"> </w:t>
      </w:r>
      <m:oMath>
        <m:d>
          <m:dPr>
            <m:begChr m:val="("/>
            <m:endChr m:val=")"/>
            <m:sepChr m:val=""/>
            <m:grow/>
          </m:dPr>
          <m:e>
            <m:r>
              <m:t>0</m:t>
            </m:r>
            <m:r>
              <m:rPr>
                <m:sty m:val="p"/>
              </m:rPr>
              <m:t>,</m:t>
            </m:r>
            <m:r>
              <m:t>0</m:t>
            </m:r>
          </m:e>
        </m:d>
      </m:oMath>
      <w:r>
        <w:t xml:space="preserve"> </w:t>
      </w:r>
      <w:r>
        <w:t xml:space="preserve">is included into the data and the same model is fitted again.</w:t>
      </w:r>
    </w:p>
    <w:p>
      <w:pPr>
        <w:pStyle w:val="BodyText"/>
      </w:pPr>
      <w:r>
        <w:drawing>
          <wp:inline>
            <wp:extent cx="4620126" cy="3696101"/>
            <wp:effectExtent b="0" l="0" r="0" t="0"/>
            <wp:docPr descr="" title="" id="36" name="Picture"/>
            <a:graphic>
              <a:graphicData uri="http://schemas.openxmlformats.org/drawingml/2006/picture">
                <pic:pic>
                  <pic:nvPicPr>
                    <pic:cNvPr descr="bacterias_brain_files/figure-docx/a_q3-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data</w:t>
            </w:r>
          </w:p>
        </w:tc>
        <w:tc>
          <w:tcPr/>
          <w:p>
            <w:pPr>
              <w:pStyle w:val="Compact"/>
              <w:jc w:val="right"/>
            </w:pPr>
            <w:r>
              <w:t xml:space="preserve">values</w:t>
            </w:r>
          </w:p>
        </w:tc>
      </w:tr>
      <w:tr>
        <w:tc>
          <w:tcPr/>
          <w:p>
            <w:pPr>
              <w:pStyle w:val="Compact"/>
              <w:jc w:val="left"/>
            </w:pPr>
            <w:r>
              <w:t xml:space="preserve">1</w:t>
            </w:r>
          </w:p>
        </w:tc>
        <w:tc>
          <w:tcPr/>
          <w:p>
            <w:pPr>
              <w:pStyle w:val="Compact"/>
              <w:jc w:val="left"/>
            </w:pPr>
            <w:r>
              <w:t xml:space="preserve">1.0797195971604</w:t>
            </w:r>
          </w:p>
        </w:tc>
        <w:tc>
          <w:tcPr/>
          <w:p>
            <w:pPr>
              <w:pStyle w:val="Compact"/>
              <w:jc w:val="right"/>
            </w:pPr>
            <w:r>
              <w:t xml:space="preserve">3.907721</w:t>
            </w:r>
          </w:p>
        </w:tc>
      </w:tr>
      <w:tr>
        <w:tc>
          <w:tcPr/>
          <w:p>
            <w:pPr>
              <w:pStyle w:val="Compact"/>
              <w:jc w:val="left"/>
            </w:pPr>
            <w:r>
              <w:t xml:space="preserve">ampl</w:t>
            </w:r>
          </w:p>
        </w:tc>
        <w:tc>
          <w:tcPr/>
          <w:p>
            <w:pPr>
              <w:pStyle w:val="Compact"/>
              <w:jc w:val="left"/>
            </w:pPr>
            <w:r>
              <w:t xml:space="preserve">with (0,0)</w:t>
            </w:r>
          </w:p>
        </w:tc>
        <w:tc>
          <w:tcPr/>
          <w:p>
            <w:pPr>
              <w:pStyle w:val="Compact"/>
              <w:jc w:val="right"/>
            </w:pPr>
            <w:r>
              <w:t xml:space="preserve">1.080000</w:t>
            </w:r>
          </w:p>
        </w:tc>
      </w:tr>
      <w:tr>
        <w:tc>
          <w:tcPr/>
          <w:p>
            <w:pPr>
              <w:pStyle w:val="Compact"/>
              <w:jc w:val="left"/>
            </w:pPr>
            <w:r>
              <w:t xml:space="preserve">tau</w:t>
            </w:r>
          </w:p>
        </w:tc>
        <w:tc>
          <w:tcPr/>
          <w:p>
            <w:pPr>
              <w:pStyle w:val="Compact"/>
              <w:jc w:val="left"/>
            </w:pPr>
            <w:r>
              <w:t xml:space="preserve">with (0,0)</w:t>
            </w:r>
          </w:p>
        </w:tc>
        <w:tc>
          <w:tcPr/>
          <w:p>
            <w:pPr>
              <w:pStyle w:val="Compact"/>
              <w:jc w:val="right"/>
            </w:pPr>
            <w:r>
              <w:t xml:space="preserve">3.908000</w:t>
            </w:r>
          </w:p>
        </w:tc>
      </w:tr>
    </w:tbl>
    <w:p>
      <w:pPr>
        <w:pStyle w:val="SourceCode"/>
      </w:pPr>
      <w:r>
        <w:rPr>
          <w:rStyle w:val="VerbatimChar"/>
        </w:rPr>
        <w:t xml:space="preserve">## </w:t>
      </w:r>
      <w:r>
        <w:br/>
      </w:r>
      <w:r>
        <w:rPr>
          <w:rStyle w:val="VerbatimChar"/>
        </w:rPr>
        <w:t xml:space="preserve">## Formula: a_q3_df$concentration ~ growth_a(t, ampl, tau)</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ampl  1.07972    0.03931   27.47 1.59e-15 ***</w:t>
      </w:r>
      <w:r>
        <w:br/>
      </w:r>
      <w:r>
        <w:rPr>
          <w:rStyle w:val="VerbatimChar"/>
        </w:rPr>
        <w:t xml:space="preserve">## tau   3.90772    0.24889   15.70 1.50e-11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0.02143 on 17 degrees of freedom</w:t>
      </w:r>
      <w:r>
        <w:br/>
      </w:r>
      <w:r>
        <w:rPr>
          <w:rStyle w:val="VerbatimChar"/>
        </w:rPr>
        <w:t xml:space="preserve">## </w:t>
      </w:r>
      <w:r>
        <w:br/>
      </w:r>
      <w:r>
        <w:rPr>
          <w:rStyle w:val="VerbatimChar"/>
        </w:rPr>
        <w:t xml:space="preserve">## Number of iterations to convergence: 5 </w:t>
      </w:r>
      <w:r>
        <w:br/>
      </w:r>
      <w:r>
        <w:rPr>
          <w:rStyle w:val="VerbatimChar"/>
        </w:rPr>
        <w:t xml:space="preserve">## Achieved convergence tolerance: 1.242e-06</w:t>
      </w:r>
    </w:p>
    <w:p>
      <w:pPr>
        <w:pStyle w:val="FirstParagraph"/>
      </w:pPr>
      <w:r>
        <w:t xml:space="preserve">We see that here the two fitting parameters are identical before and after</w:t>
      </w:r>
      <w:r>
        <w:t xml:space="preserve"> </w:t>
      </w:r>
      <m:oMath>
        <m:d>
          <m:dPr>
            <m:begChr m:val="("/>
            <m:endChr m:val=")"/>
            <m:sepChr m:val=""/>
            <m:grow/>
          </m:dPr>
          <m:e>
            <m:r>
              <m:t>0</m:t>
            </m:r>
            <m:r>
              <m:rPr>
                <m:sty m:val="p"/>
              </m:rPr>
              <m:t>,</m:t>
            </m:r>
            <m:r>
              <m:t>0</m:t>
            </m:r>
          </m:e>
        </m:d>
      </m:oMath>
      <w:r>
        <w:t xml:space="preserve"> </w:t>
      </w:r>
      <w:r>
        <w:t xml:space="preserve">is included. This is reasonable according to the theory since there would be no</w:t>
      </w:r>
      <w:r>
        <w:t xml:space="preserve"> </w:t>
      </w:r>
      <w:r>
        <w:t xml:space="preserve">-gal production before any inducer is introduced. Mathematically,</w:t>
      </w:r>
      <w:r>
        <w:t xml:space="preserve"> </w:t>
      </w:r>
      <m:oMath>
        <m:r>
          <m:t>z</m:t>
        </m:r>
        <m:d>
          <m:dPr>
            <m:begChr m:val="("/>
            <m:endChr m:val=")"/>
            <m:sepChr m:val=""/>
            <m:grow/>
          </m:dPr>
          <m:e>
            <m:r>
              <m:t>0</m:t>
            </m:r>
          </m:e>
        </m:d>
        <m:r>
          <m:rPr>
            <m:sty m:val="p"/>
          </m:rPr>
          <m:t>=</m:t>
        </m:r>
        <m:r>
          <m:t>0</m:t>
        </m:r>
      </m:oMath>
      <w:r>
        <w:t xml:space="preserve">. The fitting returns a residual standard error of RSE = 0.0214; the mean standard error returns as MSE = 4.11</w:t>
      </w:r>
      <w:r>
        <w:t xml:space="preserve">^{-4}. The two measures of error are both quite small, hence we conclude that the model is a good fit for the data.</w:t>
      </w:r>
    </w:p>
    <w:bookmarkEnd w:id="38"/>
    <w:bookmarkStart w:id="48" w:name="fitting-function-on-data-set-b"/>
    <w:p>
      <w:pPr>
        <w:pStyle w:val="Heading3"/>
      </w:pPr>
      <w:r>
        <w:t xml:space="preserve">Fitting function on Data set B</w:t>
      </w:r>
    </w:p>
    <w:p>
      <w:pPr>
        <w:pStyle w:val="FirstParagraph"/>
      </w:pPr>
      <w:r>
        <w:t xml:space="preserve">First we start by fitting a straight line over the range $10</w:t>
      </w:r>
      <w:r>
        <w:t xml:space="preserve"> </w:t>
      </w:r>
      <w:r>
        <w:t xml:space="preserve">t</w:t>
      </w:r>
      <w:r>
        <w:t xml:space="preserve"> </w:t>
      </w:r>
      <w:r>
        <w:t xml:space="preserve"> </w:t>
      </w:r>
      <w:r>
        <w:t xml:space="preserve">$</w:t>
      </w:r>
    </w:p>
    <w:p>
      <w:pPr>
        <w:pStyle w:val="SourceCode"/>
      </w:pPr>
      <w:r>
        <w:rPr>
          <w:rStyle w:val="VerbatimChar"/>
        </w:rPr>
        <w:t xml:space="preserve">## (Intercept)      b_q2$t </w:t>
      </w:r>
      <w:r>
        <w:br/>
      </w:r>
      <w:r>
        <w:rPr>
          <w:rStyle w:val="VerbatimChar"/>
        </w:rPr>
        <w:t xml:space="preserve">## -0.09474840  0.02094596</w:t>
      </w:r>
    </w:p>
    <w:p>
      <w:pPr>
        <w:pStyle w:val="FirstParagraph"/>
      </w:pPr>
      <w:r>
        <w:drawing>
          <wp:inline>
            <wp:extent cx="4620126" cy="3696101"/>
            <wp:effectExtent b="0" l="0" r="0" t="0"/>
            <wp:docPr descr="" title="" id="40" name="Picture"/>
            <a:graphic>
              <a:graphicData uri="http://schemas.openxmlformats.org/drawingml/2006/picture">
                <pic:pic>
                  <pic:nvPicPr>
                    <pic:cNvPr descr="bacterias_brain_files/figure-docx/b_q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b_q2$concentration ~ b_q2$t)</w:t>
      </w:r>
      <w:r>
        <w:br/>
      </w:r>
      <w:r>
        <w:rPr>
          <w:rStyle w:val="VerbatimChar"/>
        </w:rPr>
        <w:t xml:space="preserve">## </w:t>
      </w:r>
      <w:r>
        <w:br/>
      </w:r>
      <w:r>
        <w:rPr>
          <w:rStyle w:val="VerbatimChar"/>
        </w:rPr>
        <w:t xml:space="preserve">## Residuals:</w:t>
      </w:r>
      <w:r>
        <w:br/>
      </w:r>
      <w:r>
        <w:rPr>
          <w:rStyle w:val="VerbatimChar"/>
        </w:rPr>
        <w:t xml:space="preserve">##         1         2         3         4 </w:t>
      </w:r>
      <w:r>
        <w:br/>
      </w:r>
      <w:r>
        <w:rPr>
          <w:rStyle w:val="VerbatimChar"/>
        </w:rPr>
        <w:t xml:space="preserve">## -0.004175  0.002961  0.007005 -0.005791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-0.094748   0.036016  -2.631    0.119  </w:t>
      </w:r>
      <w:r>
        <w:br/>
      </w:r>
      <w:r>
        <w:rPr>
          <w:rStyle w:val="VerbatimChar"/>
        </w:rPr>
        <w:t xml:space="preserve">## b_q2$t       0.020946   0.002847   7.356    0.018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0.007376 on 2 degrees of freedom</w:t>
      </w:r>
      <w:r>
        <w:br/>
      </w:r>
      <w:r>
        <w:rPr>
          <w:rStyle w:val="VerbatimChar"/>
        </w:rPr>
        <w:t xml:space="preserve">## Multiple R-squared:  0.9644, Adjusted R-squared:  0.9465 </w:t>
      </w:r>
      <w:r>
        <w:br/>
      </w:r>
      <w:r>
        <w:rPr>
          <w:rStyle w:val="VerbatimChar"/>
        </w:rPr>
        <w:t xml:space="preserve">## F-statistic: 54.11 on 1 and 2 DF,  p-value: 0.01798</w:t>
      </w:r>
    </w:p>
    <w:p>
      <w:pPr>
        <w:pStyle w:val="SourceCode"/>
      </w:pPr>
      <w:r>
        <w:rPr>
          <w:rStyle w:val="VerbatimChar"/>
        </w:rPr>
        <w:t xml:space="preserve">## Warning: 'newdata' had 20 rows but variables found have 4 rows</w:t>
      </w:r>
    </w:p>
    <w:p>
      <w:pPr>
        <w:pStyle w:val="SourceCode"/>
      </w:pPr>
      <w:r>
        <w:rPr>
          <w:rStyle w:val="VerbatimChar"/>
        </w:rPr>
        <w:t xml:space="preserve">## # A tibble: 2 × 2</w:t>
      </w:r>
      <w:r>
        <w:br/>
      </w:r>
      <w:r>
        <w:rPr>
          <w:rStyle w:val="VerbatimChar"/>
        </w:rPr>
        <w:t xml:space="preserve">##         MSE data          </w:t>
      </w:r>
      <w:r>
        <w:br/>
      </w:r>
      <w:r>
        <w:rPr>
          <w:rStyle w:val="VerbatimChar"/>
        </w:rPr>
        <w:t xml:space="preserve">##       &lt;dbl&gt; &lt;chr&gt;         </w:t>
      </w:r>
      <w:r>
        <w:br/>
      </w:r>
      <w:r>
        <w:rPr>
          <w:rStyle w:val="VerbatimChar"/>
        </w:rPr>
        <w:t xml:space="preserve">## 1 0.0000272 10&lt;= t &lt;= 15  </w:t>
      </w:r>
      <w:r>
        <w:br/>
      </w:r>
      <w:r>
        <w:rPr>
          <w:rStyle w:val="VerbatimChar"/>
        </w:rPr>
        <w:t xml:space="preserve">## 2 0.0176    entire dataset</w:t>
      </w:r>
    </w:p>
    <w:p>
      <w:pPr>
        <w:pStyle w:val="FirstParagraph"/>
      </w:pPr>
      <w:r>
        <w:t xml:space="preserve">As shown in figure 4, the straight line (in red) is fitted over the data between 10 and 15 hours, over which the line fits quite well. the Mean Standard Error (MSE) for the model is much smaller within the range of 10&lt;= t &lt;= 15 with a MSE of 2.7199507</w:t>
      </w:r>
      <w:r>
        <w:t xml:space="preserve">^{-5}, but not well over the entire data set with a MSE of 0.0175584. Near the low end of t,</w:t>
      </w:r>
    </w:p>
    <w:p>
      <w:pPr>
        <w:pStyle w:val="BodyText"/>
      </w:pPr>
      <w:r>
        <w:drawing>
          <wp:inline>
            <wp:extent cx="4620126" cy="3696101"/>
            <wp:effectExtent b="0" l="0" r="0" t="0"/>
            <wp:docPr descr="" title="" id="43" name="Picture"/>
            <a:graphic>
              <a:graphicData uri="http://schemas.openxmlformats.org/drawingml/2006/picture">
                <pic:pic>
                  <pic:nvPicPr>
                    <pic:cNvPr descr="bacterias_brain_files/figure-docx/b_q3-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attempting to fit data set A’s function (</w:t>
      </w:r>
      <m:oMath>
        <m:r>
          <m:t>z</m:t>
        </m:r>
        <m:d>
          <m:dPr>
            <m:begChr m:val="("/>
            <m:endChr m:val=")"/>
            <m:sepChr m:val=""/>
            <m:grow/>
          </m:dPr>
          <m:e>
            <m:r>
              <m:t>t</m:t>
            </m:r>
          </m:e>
        </m:d>
        <m:r>
          <m:rPr>
            <m:sty m:val="p"/>
          </m:rPr>
          <m:t>=</m:t>
        </m:r>
        <m:r>
          <m:t>A</m:t>
        </m:r>
        <m:d>
          <m:dPr>
            <m:begChr m:val="("/>
            <m:endChr m:val=")"/>
            <m:sepChr m:val=""/>
            <m:grow/>
          </m:dPr>
          <m:e>
            <m:r>
              <m:t>1</m:t>
            </m:r>
            <m:r>
              <m:rPr>
                <m:sty m:val="p"/>
              </m:rPr>
              <m:t>−</m:t>
            </m:r>
            <m:sSup>
              <m:e>
                <m:r>
                  <m:t>e</m:t>
                </m:r>
              </m:e>
              <m:sup>
                <m:r>
                  <m:rPr>
                    <m:sty m:val="p"/>
                  </m:rPr>
                  <m:t>−</m:t>
                </m:r>
                <m:f>
                  <m:fPr>
                    <m:type m:val="bar"/>
                  </m:fPr>
                  <m:num>
                    <m:r>
                      <m:t>t</m:t>
                    </m:r>
                  </m:num>
                  <m:den>
                    <m:r>
                      <m:t>τ</m:t>
                    </m:r>
                  </m:den>
                </m:f>
              </m:sup>
            </m:sSup>
          </m:e>
        </m:d>
      </m:oMath>
      <w:r>
        <w:t xml:space="preserve">) over data set B, we realize that it is impossible to fit. If we were to fit the function around the range</w:t>
      </w:r>
      <w:r>
        <w:t xml:space="preserve"> </w:t>
      </w:r>
      <m:oMath>
        <m:r>
          <m:t>t</m:t>
        </m:r>
        <m:r>
          <m:rPr>
            <m:sty m:val="p"/>
          </m:rPr>
          <m:t>≤</m:t>
        </m:r>
        <m:r>
          <m:t>15</m:t>
        </m:r>
      </m:oMath>
      <w:r>
        <w:t xml:space="preserve">, the data point would inevitably exceed the value for</w:t>
      </w:r>
      <w:r>
        <w:t xml:space="preserve"> </w:t>
      </w:r>
      <m:oMath>
        <m:r>
          <m:t>A</m:t>
        </m:r>
      </m:oMath>
      <w:r>
        <w:t xml:space="preserve">, which is impossible since</w:t>
      </w:r>
      <w:r>
        <w:t xml:space="preserve"> </w:t>
      </w:r>
      <m:oMath>
        <m:r>
          <m:t>A</m:t>
        </m:r>
      </m:oMath>
      <w:r>
        <w:t xml:space="preserve"> </w:t>
      </w:r>
      <w:r>
        <w:t xml:space="preserve">defines the theoretical maximum amount of</w:t>
      </w:r>
      <w:r>
        <w:t xml:space="preserve"> </w:t>
      </w:r>
      <w:r>
        <w:t xml:space="preserve">-gal that can exist in the system, as it is defined as</w:t>
      </w:r>
      <w:r>
        <w:t xml:space="preserve"> </w:t>
      </w:r>
      <m:oMath>
        <m:f>
          <m:fPr>
            <m:type m:val="bar"/>
          </m:fPr>
          <m:num>
            <m:r>
              <m:t>N</m:t>
            </m:r>
            <m:r>
              <m:t>S</m:t>
            </m:r>
            <m:r>
              <m:t>V</m:t>
            </m:r>
          </m:num>
          <m:den>
            <m:r>
              <m:t>Q</m:t>
            </m:r>
          </m:den>
        </m:f>
      </m:oMath>
      <w:r>
        <w:t xml:space="preserve">. Hence the amount of</w:t>
      </w:r>
      <w:r>
        <w:t xml:space="preserve"> </w:t>
      </w:r>
      <w:r>
        <w:t xml:space="preserve">-gal should only asymptotically approach the value for</w:t>
      </w:r>
      <w:r>
        <w:t xml:space="preserve"> </w:t>
      </w:r>
      <m:oMath>
        <m:r>
          <m:t>A</m:t>
        </m:r>
      </m:oMath>
      <w:r>
        <w:t xml:space="preserve">. If we try to find a value for</w:t>
      </w:r>
      <w:r>
        <w:t xml:space="preserve"> </w:t>
      </w:r>
      <m:oMath>
        <m:r>
          <m:t>A</m:t>
        </m:r>
      </m:oMath>
      <w:r>
        <w:t xml:space="preserve">, the value would be unreasonably high to the point where the function is irrelevant to the data (See Figure 5).</w:t>
      </w:r>
      <w:r>
        <w:t xml:space="preserve"> </w:t>
      </w:r>
      <w:r>
        <w:t xml:space="preserve">Hence we need to use the different function derived earlier to fit data set B.</w:t>
      </w:r>
    </w:p>
    <w:p>
      <w:pPr>
        <w:pStyle w:val="BodyText"/>
      </w:pPr>
      <m:oMathPara>
        <m:oMathParaPr>
          <m:jc m:val="center"/>
        </m:oMathParaPr>
        <m:oMath>
          <m:r>
            <m:t>z</m:t>
          </m:r>
          <m:d>
            <m:dPr>
              <m:begChr m:val="("/>
              <m:endChr m:val=")"/>
              <m:sepChr m:val=""/>
              <m:grow/>
            </m:dPr>
            <m:e>
              <m:r>
                <m:t>t</m:t>
              </m:r>
            </m:e>
          </m:d>
          <m:r>
            <m:rPr>
              <m:sty m:val="p"/>
            </m:rPr>
            <m:t>=</m:t>
          </m:r>
          <m:r>
            <m:t>B</m:t>
          </m:r>
          <m:d>
            <m:dPr>
              <m:begChr m:val="("/>
              <m:endChr m:val=")"/>
              <m:sepChr m:val=""/>
              <m:grow/>
            </m:dPr>
            <m:e>
              <m:r>
                <m:rPr>
                  <m:sty m:val="p"/>
                </m:rPr>
                <m:t>−</m:t>
              </m:r>
              <m:r>
                <m:t>1</m:t>
              </m:r>
              <m:r>
                <m:rPr>
                  <m:sty m:val="p"/>
                </m:rPr>
                <m:t>+</m:t>
              </m:r>
              <m:f>
                <m:fPr>
                  <m:type m:val="bar"/>
                </m:fPr>
                <m:num>
                  <m:r>
                    <m:t>t</m:t>
                  </m:r>
                </m:num>
                <m:den>
                  <m:r>
                    <m:t>τ</m:t>
                  </m:r>
                </m:den>
              </m:f>
              <m:r>
                <m:rPr>
                  <m:sty m:val="p"/>
                </m:rPr>
                <m:t>+</m:t>
              </m:r>
              <m:sSup>
                <m:e>
                  <m:r>
                    <m:t>e</m:t>
                  </m:r>
                </m:e>
                <m:sup>
                  <m:r>
                    <m:rPr>
                      <m:sty m:val="p"/>
                    </m:rPr>
                    <m:t>−</m:t>
                  </m:r>
                  <m:f>
                    <m:fPr>
                      <m:type m:val="bar"/>
                    </m:fPr>
                    <m:num>
                      <m:r>
                        <m:t>t</m:t>
                      </m:r>
                    </m:num>
                    <m:den>
                      <m:r>
                        <m:t>τ</m:t>
                      </m:r>
                    </m:den>
                  </m:f>
                </m:sup>
              </m:sSup>
            </m:e>
          </m:d>
        </m:oMath>
      </m:oMathPara>
    </w:p>
    <w:p>
      <w:pPr>
        <w:pStyle w:val="FirstParagraph"/>
      </w:pPr>
      <w:r>
        <w:drawing>
          <wp:inline>
            <wp:extent cx="4620126" cy="3696101"/>
            <wp:effectExtent b="0" l="0" r="0" t="0"/>
            <wp:docPr descr="" title="" id="46" name="Picture"/>
            <a:graphic>
              <a:graphicData uri="http://schemas.openxmlformats.org/drawingml/2006/picture">
                <pic:pic>
                  <pic:nvPicPr>
                    <pic:cNvPr descr="bacterias_brain_files/figure-docx/b_q4-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Formula: b_q4_df$concentration ~ growth_b4(t, beta, tau)</w:t>
      </w:r>
      <w:r>
        <w:br/>
      </w:r>
      <w:r>
        <w:rPr>
          <w:rStyle w:val="VerbatimChar"/>
        </w:rPr>
        <w:t xml:space="preserve">## </w:t>
      </w:r>
      <w:r>
        <w:br/>
      </w:r>
      <w:r>
        <w:rPr>
          <w:rStyle w:val="VerbatimChar"/>
        </w:rPr>
        <w:t xml:space="preserve">## Parameters:</w:t>
      </w:r>
      <w:r>
        <w:br/>
      </w:r>
      <w:r>
        <w:rPr>
          <w:rStyle w:val="VerbatimChar"/>
        </w:rPr>
        <w:t xml:space="preserve">##      Estimate Std. Error t value Pr(&gt;|t|)    </w:t>
      </w:r>
      <w:r>
        <w:br/>
      </w:r>
      <w:r>
        <w:rPr>
          <w:rStyle w:val="VerbatimChar"/>
        </w:rPr>
        <w:t xml:space="preserve">## beta  0.11755    0.02959   3.973  0.00139 ** </w:t>
      </w:r>
      <w:r>
        <w:br/>
      </w:r>
      <w:r>
        <w:rPr>
          <w:rStyle w:val="VerbatimChar"/>
        </w:rPr>
        <w:t xml:space="preserve">## tau   5.34585    0.89590   5.967 3.44e-05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0.005333 on 14 degrees of freedom</w:t>
      </w:r>
      <w:r>
        <w:br/>
      </w:r>
      <w:r>
        <w:rPr>
          <w:rStyle w:val="VerbatimChar"/>
        </w:rPr>
        <w:t xml:space="preserve">## </w:t>
      </w:r>
      <w:r>
        <w:br/>
      </w:r>
      <w:r>
        <w:rPr>
          <w:rStyle w:val="VerbatimChar"/>
        </w:rPr>
        <w:t xml:space="preserve">## Number of iterations to convergence: 6 </w:t>
      </w:r>
      <w:r>
        <w:br/>
      </w:r>
      <w:r>
        <w:rPr>
          <w:rStyle w:val="VerbatimChar"/>
        </w:rPr>
        <w:t xml:space="preserve">## Achieved convergence tolerance: 2.284e-06</w:t>
      </w:r>
    </w:p>
    <w:p>
      <w:pPr>
        <w:pStyle w:val="FirstParagraph"/>
      </w:pPr>
      <w:r>
        <w:t xml:space="preserve">As shown in figure 6, the two fitted functions both perform well with respect to the data they are fitted to (i.e. </w:t>
      </w:r>
      <m:oMath>
        <m:r>
          <m:t>t</m:t>
        </m:r>
        <m:r>
          <m:rPr>
            <m:sty m:val="p"/>
          </m:rPr>
          <m:t>&lt;</m:t>
        </m:r>
        <m:r>
          <m:t>15</m:t>
        </m:r>
      </m:oMath>
      <w:r>
        <w:t xml:space="preserve"> </w:t>
      </w:r>
      <w:r>
        <w:t xml:space="preserve">for nonlinear function in green, and</w:t>
      </w:r>
      <w:r>
        <w:t xml:space="preserve"> </w:t>
      </w:r>
      <m:oMath>
        <m:r>
          <m:t>10</m:t>
        </m:r>
        <m:r>
          <m:rPr>
            <m:sty m:val="p"/>
          </m:rPr>
          <m:t>&lt;</m:t>
        </m:r>
        <m:r>
          <m:t>t</m:t>
        </m:r>
        <m:r>
          <m:rPr>
            <m:sty m:val="p"/>
          </m:rPr>
          <m:t>&lt;</m:t>
        </m:r>
        <m:r>
          <m:t>15</m:t>
        </m:r>
      </m:oMath>
      <w:r>
        <w:t xml:space="preserve"> </w:t>
      </w:r>
      <w:r>
        <w:t xml:space="preserve">for linear function in red). The two also converges in the range around</w:t>
      </w:r>
      <w:r>
        <w:t xml:space="preserve"> </w:t>
      </w:r>
      <m:oMath>
        <m:r>
          <m:t>t</m:t>
        </m:r>
        <m:r>
          <m:rPr>
            <m:sty m:val="p"/>
          </m:rPr>
          <m:t>=</m:t>
        </m:r>
        <m:r>
          <m:t>15</m:t>
        </m:r>
      </m:oMath>
      <w:r>
        <w:t xml:space="preserve">. This behavior is accounted for mathematically, as we consider the nonlinear function $ z(t) = B(-1 +</w:t>
      </w:r>
      <w:r>
        <w:t xml:space="preserve"> </w:t>
      </w:r>
      <w:r>
        <w:t xml:space="preserve"> </w:t>
      </w:r>
      <w:r>
        <w:t xml:space="preserve">+ e^{-</w:t>
      </w:r>
      <w:r>
        <w:t xml:space="preserve">})$.</w:t>
      </w:r>
      <w:r>
        <w:t xml:space="preserve"> </w:t>
      </w:r>
      <w:r>
        <w:t xml:space="preserve">If we take the limit as t approaches infinity:</w:t>
      </w:r>
    </w:p>
    <w:p>
      <w:pPr>
        <w:pStyle w:val="BodyText"/>
      </w:pPr>
      <m:oMathPara>
        <m:oMathParaPr>
          <m:jc m:val="center"/>
        </m:oMathParaPr>
        <m:oMath>
          <m:limLow>
            <m:e>
              <m:r>
                <m:rPr>
                  <m:sty m:val="p"/>
                </m:rPr>
                <m:t>lim</m:t>
              </m:r>
            </m:e>
            <m:lim>
              <m:r>
                <m:t>t</m:t>
              </m:r>
              <m:r>
                <m:rPr>
                  <m:sty m:val="p"/>
                </m:rPr>
                <m:t>→</m:t>
              </m:r>
              <m:r>
                <m:rPr>
                  <m:sty m:val="p"/>
                </m:rPr>
                <m:t>∞</m:t>
              </m:r>
            </m:lim>
          </m:limLow>
          <m:r>
            <m:t>z</m:t>
          </m:r>
          <m:d>
            <m:dPr>
              <m:begChr m:val="("/>
              <m:endChr m:val=")"/>
              <m:sepChr m:val=""/>
              <m:grow/>
            </m:dPr>
            <m:e>
              <m:r>
                <m:t>t</m:t>
              </m:r>
            </m:e>
          </m:d>
          <m:r>
            <m:rPr>
              <m:sty m:val="p"/>
            </m:rPr>
            <m:t>=</m:t>
          </m:r>
          <m:r>
            <m:rPr>
              <m:sty m:val="p"/>
            </m:rPr>
            <m:t>−</m:t>
          </m:r>
          <m:r>
            <m:t>B</m:t>
          </m:r>
          <m:r>
            <m:rPr>
              <m:sty m:val="p"/>
            </m:rPr>
            <m:t>+</m:t>
          </m:r>
          <m:f>
            <m:fPr>
              <m:type m:val="bar"/>
            </m:fPr>
            <m:num>
              <m:r>
                <m:t>B</m:t>
              </m:r>
            </m:num>
            <m:den>
              <m:r>
                <m:t>τ</m:t>
              </m:r>
            </m:den>
          </m:f>
          <m:r>
            <m:t>t</m:t>
          </m:r>
          <m:r>
            <m:rPr>
              <m:sty m:val="p"/>
            </m:rPr>
            <m:t>)</m:t>
          </m:r>
        </m:oMath>
      </m:oMathPara>
    </w:p>
    <w:p>
      <w:pPr>
        <w:pStyle w:val="FirstParagraph"/>
      </w:pPr>
      <w:r>
        <w:br/>
      </w:r>
      <w:r>
        <w:t xml:space="preserve">The function becomes linear with the slope defined by</w:t>
      </w:r>
      <w:r>
        <w:t xml:space="preserve"> </w:t>
      </w:r>
      <m:oMath>
        <m:f>
          <m:fPr>
            <m:type m:val="bar"/>
          </m:fPr>
          <m:num>
            <m:r>
              <m:t>B</m:t>
            </m:r>
          </m:num>
          <m:den>
            <m:r>
              <m:t>τ</m:t>
            </m:r>
          </m:den>
        </m:f>
      </m:oMath>
      <w:r>
        <w:t xml:space="preserve"> </w:t>
      </w:r>
      <w:r>
        <w:t xml:space="preserve">(question B.5). The mathematical explanation can be complemented by an interpretation of the physical meaning of each term of the fitted function, which can explain the shape of the curve which is parabolic at small</w:t>
      </w:r>
      <w:r>
        <w:t xml:space="preserve"> </w:t>
      </w:r>
      <m:oMath>
        <m:r>
          <m:t>t</m:t>
        </m:r>
      </m:oMath>
      <w:r>
        <w:t xml:space="preserve"> </w:t>
      </w:r>
      <w:r>
        <w:t xml:space="preserve">and linear at large</w:t>
      </w:r>
      <w:r>
        <w:t xml:space="preserve"> </w:t>
      </w:r>
      <m:oMath>
        <m:r>
          <m:t>t</m:t>
        </m:r>
      </m:oMath>
      <w:r>
        <w:t xml:space="preserve">.</w:t>
      </w:r>
      <w:r>
        <w:t xml:space="preserve"> </w:t>
      </w:r>
      <w:r>
        <w:t xml:space="preserve">This interpretation can be done with a Taylor Expansion of the function:</w:t>
      </w:r>
    </w:p>
    <w:p>
      <w:pPr>
        <w:pStyle w:val="BodyText"/>
      </w:pPr>
      <m:oMathPara>
        <m:oMathParaPr>
          <m:jc m:val="center"/>
        </m:oMathParaPr>
        <m:oMath>
          <m:r>
            <m:t>z</m:t>
          </m:r>
          <m:d>
            <m:dPr>
              <m:begChr m:val="("/>
              <m:endChr m:val=")"/>
              <m:sepChr m:val=""/>
              <m:grow/>
            </m:dPr>
            <m:e>
              <m:r>
                <m:t>t</m:t>
              </m:r>
            </m:e>
          </m:d>
          <m:r>
            <m:rPr>
              <m:sty m:val="p"/>
            </m:rPr>
            <m:t>=</m:t>
          </m:r>
          <m:r>
            <m:t>B</m:t>
          </m:r>
          <m:d>
            <m:dPr>
              <m:begChr m:val="("/>
              <m:endChr m:val=")"/>
              <m:sepChr m:val=""/>
              <m:grow/>
            </m:dPr>
            <m:e>
              <m:r>
                <m:rPr>
                  <m:sty m:val="p"/>
                </m:rPr>
                <m:t>−</m:t>
              </m:r>
              <m:r>
                <m:t>1</m:t>
              </m:r>
              <m:r>
                <m:rPr>
                  <m:sty m:val="p"/>
                </m:rPr>
                <m:t>+</m:t>
              </m:r>
              <m:f>
                <m:fPr>
                  <m:type m:val="bar"/>
                </m:fPr>
                <m:num>
                  <m:r>
                    <m:t>t</m:t>
                  </m:r>
                </m:num>
                <m:den>
                  <m:r>
                    <m:t>τ</m:t>
                  </m:r>
                </m:den>
              </m:f>
              <m:r>
                <m:rPr>
                  <m:sty m:val="p"/>
                </m:rPr>
                <m:t>+</m:t>
              </m:r>
              <m:sSup>
                <m:e>
                  <m:r>
                    <m:t>e</m:t>
                  </m:r>
                </m:e>
                <m:sup>
                  <m:r>
                    <m:rPr>
                      <m:sty m:val="p"/>
                    </m:rPr>
                    <m:t>−</m:t>
                  </m:r>
                  <m:f>
                    <m:fPr>
                      <m:type m:val="bar"/>
                    </m:fPr>
                    <m:num>
                      <m:r>
                        <m:t>t</m:t>
                      </m:r>
                    </m:num>
                    <m:den>
                      <m:r>
                        <m:t>τ</m:t>
                      </m:r>
                    </m:den>
                  </m:f>
                </m:sup>
              </m:sSup>
            </m:e>
          </m:d>
        </m:oMath>
      </m:oMathPara>
    </w:p>
    <w:p>
      <w:pPr>
        <w:pStyle w:val="FirstParagraph"/>
      </w:pPr>
      <w:r>
        <w:t xml:space="preserve">From which we get</w:t>
      </w:r>
    </w:p>
    <w:p>
      <w:pPr>
        <w:pStyle w:val="BodyText"/>
      </w:pPr>
      <m:oMathPara>
        <m:oMathParaPr>
          <m:jc m:val="center"/>
        </m:oMathParaPr>
        <m:oMath>
          <m:sSup>
            <m:e>
              <m:r>
                <m:t>z</m:t>
              </m:r>
            </m:e>
            <m:sup>
              <m:d>
                <m:dPr>
                  <m:begChr m:val="("/>
                  <m:endChr m:val=")"/>
                  <m:sepChr m:val=""/>
                  <m:grow/>
                </m:dPr>
                <m:e>
                  <m:r>
                    <m:t>n</m:t>
                  </m:r>
                </m:e>
              </m:d>
            </m:sup>
          </m:sSup>
          <m:r>
            <m:rPr>
              <m:sty m:val="p"/>
            </m:rPr>
            <m:t>=</m:t>
          </m:r>
          <m:r>
            <m:t>B</m:t>
          </m:r>
          <m:sSup>
            <m:e>
              <m:d>
                <m:dPr>
                  <m:begChr m:val="("/>
                  <m:endChr m:val=")"/>
                  <m:sepChr m:val=""/>
                  <m:grow/>
                </m:dPr>
                <m:e>
                  <m:r>
                    <m:rPr>
                      <m:sty m:val="p"/>
                    </m:rPr>
                    <m:t>−</m:t>
                  </m:r>
                  <m:f>
                    <m:fPr>
                      <m:type m:val="bar"/>
                    </m:fPr>
                    <m:num>
                      <m:r>
                        <m:t>1</m:t>
                      </m:r>
                    </m:num>
                    <m:den>
                      <m:r>
                        <m:t>τ</m:t>
                      </m:r>
                    </m:den>
                  </m:f>
                </m:e>
              </m:d>
            </m:e>
            <m:sup>
              <m:r>
                <m:t>n</m:t>
              </m:r>
            </m:sup>
          </m:sSup>
          <m:sSup>
            <m:e>
              <m:r>
                <m:t>e</m:t>
              </m:r>
            </m:e>
            <m:sup>
              <m:r>
                <m:rPr>
                  <m:sty m:val="p"/>
                </m:rPr>
                <m:t>−</m:t>
              </m:r>
              <m:f>
                <m:fPr>
                  <m:type m:val="bar"/>
                </m:fPr>
                <m:num>
                  <m:r>
                    <m:t>t</m:t>
                  </m:r>
                </m:num>
                <m:den>
                  <m:r>
                    <m:t>τ</m:t>
                  </m:r>
                </m:den>
              </m:f>
            </m:sup>
          </m:sSup>
        </m:oMath>
      </m:oMathPara>
    </w:p>
    <w:bookmarkEnd w:id="48"/>
    <w:bookmarkEnd w:id="49"/>
    <w:bookmarkStart w:id="50" w:name="dicussion-conclusion"/>
    <w:p>
      <w:pPr>
        <w:pStyle w:val="Heading2"/>
      </w:pPr>
      <w:r>
        <w:t xml:space="preserve">Dicussion &amp; Conclusion</w:t>
      </w:r>
    </w:p>
    <w:bookmarkEnd w:id="50"/>
    <w:bookmarkStart w:id="51" w:name="appendix"/>
    <w:p>
      <w:pPr>
        <w:pStyle w:val="Heading2"/>
      </w:pPr>
      <w:r>
        <w:t xml:space="preserve">Appendix:</w:t>
      </w:r>
    </w:p>
    <w:p>
      <w:pPr>
        <w:pStyle w:val="FirstParagraph"/>
      </w:pPr>
      <w:r>
        <w:t xml:space="preserve">Complete Data: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t</w:t>
            </w:r>
          </w:p>
        </w:tc>
        <w:tc>
          <w:tcPr/>
          <w:p>
            <w:pPr>
              <w:pStyle w:val="Compact"/>
              <w:jc w:val="right"/>
            </w:pPr>
            <w:r>
              <w:t xml:space="preserve">concentration</w:t>
            </w:r>
          </w:p>
        </w:tc>
      </w:tr>
      <w:tr>
        <w:tc>
          <w:tcPr/>
          <w:p>
            <w:pPr>
              <w:pStyle w:val="Compact"/>
              <w:jc w:val="right"/>
            </w:pPr>
            <w:r>
              <w:t xml:space="preserve">0.170</w:t>
            </w:r>
          </w:p>
        </w:tc>
        <w:tc>
          <w:tcPr/>
          <w:p>
            <w:pPr>
              <w:pStyle w:val="Compact"/>
              <w:jc w:val="right"/>
            </w:pPr>
            <w:r>
              <w:t xml:space="preserve">0.0190</w:t>
            </w:r>
          </w:p>
        </w:tc>
      </w:tr>
      <w:tr>
        <w:tc>
          <w:tcPr/>
          <w:p>
            <w:pPr>
              <w:pStyle w:val="Compact"/>
              <w:jc w:val="right"/>
            </w:pPr>
            <w:r>
              <w:t xml:space="preserve">0.443</w:t>
            </w:r>
          </w:p>
        </w:tc>
        <w:tc>
          <w:tcPr/>
          <w:p>
            <w:pPr>
              <w:pStyle w:val="Compact"/>
              <w:jc w:val="right"/>
            </w:pPr>
            <w:r>
              <w:t xml:space="preserve">0.0855</w:t>
            </w:r>
          </w:p>
        </w:tc>
      </w:tr>
      <w:tr>
        <w:tc>
          <w:tcPr/>
          <w:p>
            <w:pPr>
              <w:pStyle w:val="Compact"/>
              <w:jc w:val="right"/>
            </w:pPr>
            <w:r>
              <w:t xml:space="preserve">0.511</w:t>
            </w:r>
          </w:p>
        </w:tc>
        <w:tc>
          <w:tcPr/>
          <w:p>
            <w:pPr>
              <w:pStyle w:val="Compact"/>
              <w:jc w:val="right"/>
            </w:pPr>
            <w:r>
              <w:t xml:space="preserve">0.1160</w:t>
            </w:r>
          </w:p>
        </w:tc>
      </w:tr>
      <w:tr>
        <w:tc>
          <w:tcPr/>
          <w:p>
            <w:pPr>
              <w:pStyle w:val="Compact"/>
              <w:jc w:val="right"/>
            </w:pPr>
            <w:r>
              <w:t xml:space="preserve">0.716</w:t>
            </w:r>
          </w:p>
        </w:tc>
        <w:tc>
          <w:tcPr/>
          <w:p>
            <w:pPr>
              <w:pStyle w:val="Compact"/>
              <w:jc w:val="right"/>
            </w:pPr>
            <w:r>
              <w:t xml:space="preserve">0.1640</w:t>
            </w:r>
          </w:p>
        </w:tc>
      </w:tr>
      <w:tr>
        <w:tc>
          <w:tcPr/>
          <w:p>
            <w:pPr>
              <w:pStyle w:val="Compact"/>
              <w:jc w:val="right"/>
            </w:pPr>
            <w:r>
              <w:t xml:space="preserve">1.060</w:t>
            </w:r>
          </w:p>
        </w:tc>
        <w:tc>
          <w:tcPr/>
          <w:p>
            <w:pPr>
              <w:pStyle w:val="Compact"/>
              <w:jc w:val="right"/>
            </w:pPr>
            <w:r>
              <w:t xml:space="preserve">0.2470</w:t>
            </w:r>
          </w:p>
        </w:tc>
      </w:tr>
      <w:tr>
        <w:tc>
          <w:tcPr/>
          <w:p>
            <w:pPr>
              <w:pStyle w:val="Compact"/>
              <w:jc w:val="right"/>
            </w:pPr>
            <w:r>
              <w:t xml:space="preserve">1.200</w:t>
            </w:r>
          </w:p>
        </w:tc>
        <w:tc>
          <w:tcPr/>
          <w:p>
            <w:pPr>
              <w:pStyle w:val="Compact"/>
              <w:jc w:val="right"/>
            </w:pPr>
            <w:r>
              <w:t xml:space="preserve">0.2800</w:t>
            </w:r>
          </w:p>
        </w:tc>
      </w:tr>
      <w:tr>
        <w:tc>
          <w:tcPr/>
          <w:p>
            <w:pPr>
              <w:pStyle w:val="Compact"/>
              <w:jc w:val="right"/>
            </w:pPr>
            <w:r>
              <w:t xml:space="preserve">1.430</w:t>
            </w:r>
          </w:p>
        </w:tc>
        <w:tc>
          <w:tcPr/>
          <w:p>
            <w:pPr>
              <w:pStyle w:val="Compact"/>
              <w:jc w:val="right"/>
            </w:pPr>
            <w:r>
              <w:t xml:space="preserve">0.3280</w:t>
            </w:r>
          </w:p>
        </w:tc>
      </w:tr>
      <w:tr>
        <w:tc>
          <w:tcPr/>
          <w:p>
            <w:pPr>
              <w:pStyle w:val="Compact"/>
              <w:jc w:val="right"/>
            </w:pPr>
            <w:r>
              <w:t xml:space="preserve">1.650</w:t>
            </w:r>
          </w:p>
        </w:tc>
        <w:tc>
          <w:tcPr/>
          <w:p>
            <w:pPr>
              <w:pStyle w:val="Compact"/>
              <w:jc w:val="right"/>
            </w:pPr>
            <w:r>
              <w:t xml:space="preserve">0.3560</w:t>
            </w:r>
          </w:p>
        </w:tc>
      </w:tr>
      <w:tr>
        <w:tc>
          <w:tcPr/>
          <w:p>
            <w:pPr>
              <w:pStyle w:val="Compact"/>
              <w:jc w:val="right"/>
            </w:pPr>
            <w:r>
              <w:t xml:space="preserve">1.830</w:t>
            </w:r>
          </w:p>
        </w:tc>
        <w:tc>
          <w:tcPr/>
          <w:p>
            <w:pPr>
              <w:pStyle w:val="Compact"/>
              <w:jc w:val="right"/>
            </w:pPr>
            <w:r>
              <w:t xml:space="preserve">0.4040</w:t>
            </w:r>
          </w:p>
        </w:tc>
      </w:tr>
      <w:tr>
        <w:tc>
          <w:tcPr/>
          <w:p>
            <w:pPr>
              <w:pStyle w:val="Compact"/>
              <w:jc w:val="right"/>
            </w:pPr>
            <w:r>
              <w:t xml:space="preserve">2.110</w:t>
            </w:r>
          </w:p>
        </w:tc>
        <w:tc>
          <w:tcPr/>
          <w:p>
            <w:pPr>
              <w:pStyle w:val="Compact"/>
              <w:jc w:val="right"/>
            </w:pPr>
            <w:r>
              <w:t xml:space="preserve">0.4540</w:t>
            </w:r>
          </w:p>
        </w:tc>
      </w:tr>
      <w:tr>
        <w:tc>
          <w:tcPr/>
          <w:p>
            <w:pPr>
              <w:pStyle w:val="Compact"/>
              <w:jc w:val="right"/>
            </w:pPr>
            <w:r>
              <w:t xml:space="preserve">2.420</w:t>
            </w:r>
          </w:p>
        </w:tc>
        <w:tc>
          <w:tcPr/>
          <w:p>
            <w:pPr>
              <w:pStyle w:val="Compact"/>
              <w:jc w:val="right"/>
            </w:pPr>
            <w:r>
              <w:t xml:space="preserve">0.5060</w:t>
            </w:r>
          </w:p>
        </w:tc>
      </w:tr>
      <w:tr>
        <w:tc>
          <w:tcPr/>
          <w:p>
            <w:pPr>
              <w:pStyle w:val="Compact"/>
              <w:jc w:val="right"/>
            </w:pPr>
            <w:r>
              <w:t xml:space="preserve">3.000</w:t>
            </w:r>
          </w:p>
        </w:tc>
        <w:tc>
          <w:tcPr/>
          <w:p>
            <w:pPr>
              <w:pStyle w:val="Compact"/>
              <w:jc w:val="right"/>
            </w:pPr>
            <w:r>
              <w:t xml:space="preserve">0.6150</w:t>
            </w:r>
          </w:p>
        </w:tc>
      </w:tr>
      <w:tr>
        <w:tc>
          <w:tcPr/>
          <w:p>
            <w:pPr>
              <w:pStyle w:val="Compact"/>
              <w:jc w:val="right"/>
            </w:pPr>
            <w:r>
              <w:t xml:space="preserve">3.680</w:t>
            </w:r>
          </w:p>
        </w:tc>
        <w:tc>
          <w:tcPr/>
          <w:p>
            <w:pPr>
              <w:pStyle w:val="Compact"/>
              <w:jc w:val="right"/>
            </w:pPr>
            <w:r>
              <w:t xml:space="preserve">0.6750</w:t>
            </w:r>
          </w:p>
        </w:tc>
      </w:tr>
      <w:tr>
        <w:tc>
          <w:tcPr/>
          <w:p>
            <w:pPr>
              <w:pStyle w:val="Compact"/>
              <w:jc w:val="right"/>
            </w:pPr>
            <w:r>
              <w:t xml:space="preserve">4.230</w:t>
            </w:r>
          </w:p>
        </w:tc>
        <w:tc>
          <w:tcPr/>
          <w:p>
            <w:pPr>
              <w:pStyle w:val="Compact"/>
              <w:jc w:val="right"/>
            </w:pPr>
            <w:r>
              <w:t xml:space="preserve">0.7130</w:t>
            </w:r>
          </w:p>
        </w:tc>
      </w:tr>
      <w:tr>
        <w:tc>
          <w:tcPr/>
          <w:p>
            <w:pPr>
              <w:pStyle w:val="Compact"/>
              <w:jc w:val="right"/>
            </w:pPr>
            <w:r>
              <w:t xml:space="preserve">4.830</w:t>
            </w:r>
          </w:p>
        </w:tc>
        <w:tc>
          <w:tcPr/>
          <w:p>
            <w:pPr>
              <w:pStyle w:val="Compact"/>
              <w:jc w:val="right"/>
            </w:pPr>
            <w:r>
              <w:t xml:space="preserve">0.7980</w:t>
            </w:r>
          </w:p>
        </w:tc>
      </w:tr>
      <w:tr>
        <w:tc>
          <w:tcPr/>
          <w:p>
            <w:pPr>
              <w:pStyle w:val="Compact"/>
              <w:jc w:val="right"/>
            </w:pPr>
            <w:r>
              <w:t xml:space="preserve">5.410</w:t>
            </w:r>
          </w:p>
        </w:tc>
        <w:tc>
          <w:tcPr/>
          <w:p>
            <w:pPr>
              <w:pStyle w:val="Compact"/>
              <w:jc w:val="right"/>
            </w:pPr>
            <w:r>
              <w:t xml:space="preserve">0.7600</w:t>
            </w:r>
          </w:p>
        </w:tc>
      </w:tr>
      <w:tr>
        <w:tc>
          <w:tcPr/>
          <w:p>
            <w:pPr>
              <w:pStyle w:val="Compact"/>
              <w:jc w:val="right"/>
            </w:pPr>
            <w:r>
              <w:t xml:space="preserve">6.060</w:t>
            </w:r>
          </w:p>
        </w:tc>
        <w:tc>
          <w:tcPr/>
          <w:p>
            <w:pPr>
              <w:pStyle w:val="Compact"/>
              <w:jc w:val="right"/>
            </w:pPr>
            <w:r>
              <w:t xml:space="preserve">0.8600</w:t>
            </w:r>
          </w:p>
        </w:tc>
      </w:tr>
      <w:tr>
        <w:tc>
          <w:tcPr/>
          <w:p>
            <w:pPr>
              <w:pStyle w:val="Compact"/>
              <w:jc w:val="right"/>
            </w:pPr>
            <w:r>
              <w:t xml:space="preserve">6.660</w:t>
            </w:r>
          </w:p>
        </w:tc>
        <w:tc>
          <w:tcPr/>
          <w:p>
            <w:pPr>
              <w:pStyle w:val="Compact"/>
              <w:jc w:val="right"/>
            </w:pPr>
            <w:r>
              <w:t xml:space="preserve">0.8740</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right"/>
            </w:pPr>
            <w:r>
              <w:t xml:space="preserve">t</w:t>
            </w:r>
          </w:p>
        </w:tc>
        <w:tc>
          <w:tcPr/>
          <w:p>
            <w:pPr>
              <w:pStyle w:val="Compact"/>
              <w:jc w:val="right"/>
            </w:pPr>
            <w:r>
              <w:t xml:space="preserve">concentration</w:t>
            </w:r>
          </w:p>
        </w:tc>
      </w:tr>
      <w:tr>
        <w:tc>
          <w:tcPr/>
          <w:p>
            <w:pPr>
              <w:pStyle w:val="Compact"/>
              <w:jc w:val="right"/>
            </w:pPr>
            <w:r>
              <w:t xml:space="preserve">2.38</w:t>
            </w:r>
          </w:p>
        </w:tc>
        <w:tc>
          <w:tcPr/>
          <w:p>
            <w:pPr>
              <w:pStyle w:val="Compact"/>
              <w:jc w:val="right"/>
            </w:pPr>
            <w:r>
              <w:t xml:space="preserve">0.01090</w:t>
            </w:r>
          </w:p>
        </w:tc>
      </w:tr>
      <w:tr>
        <w:tc>
          <w:tcPr/>
          <w:p>
            <w:pPr>
              <w:pStyle w:val="Compact"/>
              <w:jc w:val="right"/>
            </w:pPr>
            <w:r>
              <w:t xml:space="preserve">2.72</w:t>
            </w:r>
          </w:p>
        </w:tc>
        <w:tc>
          <w:tcPr/>
          <w:p>
            <w:pPr>
              <w:pStyle w:val="Compact"/>
              <w:jc w:val="right"/>
            </w:pPr>
            <w:r>
              <w:t xml:space="preserve">0.00934</w:t>
            </w:r>
          </w:p>
        </w:tc>
      </w:tr>
      <w:tr>
        <w:tc>
          <w:tcPr/>
          <w:p>
            <w:pPr>
              <w:pStyle w:val="Compact"/>
              <w:jc w:val="right"/>
            </w:pPr>
            <w:r>
              <w:t xml:space="preserve">3.04</w:t>
            </w:r>
          </w:p>
        </w:tc>
        <w:tc>
          <w:tcPr/>
          <w:p>
            <w:pPr>
              <w:pStyle w:val="Compact"/>
              <w:jc w:val="right"/>
            </w:pPr>
            <w:r>
              <w:t xml:space="preserve">0.01460</w:t>
            </w:r>
          </w:p>
        </w:tc>
      </w:tr>
      <w:tr>
        <w:tc>
          <w:tcPr/>
          <w:p>
            <w:pPr>
              <w:pStyle w:val="Compact"/>
              <w:jc w:val="right"/>
            </w:pPr>
            <w:r>
              <w:t xml:space="preserve">3.52</w:t>
            </w:r>
          </w:p>
        </w:tc>
        <w:tc>
          <w:tcPr/>
          <w:p>
            <w:pPr>
              <w:pStyle w:val="Compact"/>
              <w:jc w:val="right"/>
            </w:pPr>
            <w:r>
              <w:t xml:space="preserve">0.01450</w:t>
            </w:r>
          </w:p>
        </w:tc>
      </w:tr>
      <w:tr>
        <w:tc>
          <w:tcPr/>
          <w:p>
            <w:pPr>
              <w:pStyle w:val="Compact"/>
              <w:jc w:val="right"/>
            </w:pPr>
            <w:r>
              <w:t xml:space="preserve">4.00</w:t>
            </w:r>
          </w:p>
        </w:tc>
        <w:tc>
          <w:tcPr/>
          <w:p>
            <w:pPr>
              <w:pStyle w:val="Compact"/>
              <w:jc w:val="right"/>
            </w:pPr>
            <w:r>
              <w:t xml:space="preserve">0.02420</w:t>
            </w:r>
          </w:p>
        </w:tc>
      </w:tr>
      <w:tr>
        <w:tc>
          <w:tcPr/>
          <w:p>
            <w:pPr>
              <w:pStyle w:val="Compact"/>
              <w:jc w:val="right"/>
            </w:pPr>
            <w:r>
              <w:t xml:space="preserve">4.57</w:t>
            </w:r>
          </w:p>
        </w:tc>
        <w:tc>
          <w:tcPr/>
          <w:p>
            <w:pPr>
              <w:pStyle w:val="Compact"/>
              <w:jc w:val="right"/>
            </w:pPr>
            <w:r>
              <w:t xml:space="preserve">0.02860</w:t>
            </w:r>
          </w:p>
        </w:tc>
      </w:tr>
      <w:tr>
        <w:tc>
          <w:tcPr/>
          <w:p>
            <w:pPr>
              <w:pStyle w:val="Compact"/>
              <w:jc w:val="right"/>
            </w:pPr>
            <w:r>
              <w:t xml:space="preserve">5.05</w:t>
            </w:r>
          </w:p>
        </w:tc>
        <w:tc>
          <w:tcPr/>
          <w:p>
            <w:pPr>
              <w:pStyle w:val="Compact"/>
              <w:jc w:val="right"/>
            </w:pPr>
            <w:r>
              <w:t xml:space="preserve">0.03760</w:t>
            </w:r>
          </w:p>
        </w:tc>
      </w:tr>
      <w:tr>
        <w:tc>
          <w:tcPr/>
          <w:p>
            <w:pPr>
              <w:pStyle w:val="Compact"/>
              <w:jc w:val="right"/>
            </w:pPr>
            <w:r>
              <w:t xml:space="preserve">5.54</w:t>
            </w:r>
          </w:p>
        </w:tc>
        <w:tc>
          <w:tcPr/>
          <w:p>
            <w:pPr>
              <w:pStyle w:val="Compact"/>
              <w:jc w:val="right"/>
            </w:pPr>
            <w:r>
              <w:t xml:space="preserve">0.04350</w:t>
            </w:r>
          </w:p>
        </w:tc>
      </w:tr>
      <w:tr>
        <w:tc>
          <w:tcPr/>
          <w:p>
            <w:pPr>
              <w:pStyle w:val="Compact"/>
              <w:jc w:val="right"/>
            </w:pPr>
            <w:r>
              <w:t xml:space="preserve">6.45</w:t>
            </w:r>
          </w:p>
        </w:tc>
        <w:tc>
          <w:tcPr/>
          <w:p>
            <w:pPr>
              <w:pStyle w:val="Compact"/>
              <w:jc w:val="right"/>
            </w:pPr>
            <w:r>
              <w:t xml:space="preserve">0.05920</w:t>
            </w:r>
          </w:p>
        </w:tc>
      </w:tr>
      <w:tr>
        <w:tc>
          <w:tcPr/>
          <w:p>
            <w:pPr>
              <w:pStyle w:val="Compact"/>
              <w:jc w:val="right"/>
            </w:pPr>
            <w:r>
              <w:t xml:space="preserve">7.53</w:t>
            </w:r>
          </w:p>
        </w:tc>
        <w:tc>
          <w:tcPr/>
          <w:p>
            <w:pPr>
              <w:pStyle w:val="Compact"/>
              <w:jc w:val="right"/>
            </w:pPr>
            <w:r>
              <w:t xml:space="preserve">0.07640</w:t>
            </w:r>
          </w:p>
        </w:tc>
      </w:tr>
      <w:tr>
        <w:tc>
          <w:tcPr/>
          <w:p>
            <w:pPr>
              <w:pStyle w:val="Compact"/>
              <w:jc w:val="right"/>
            </w:pPr>
            <w:r>
              <w:t xml:space="preserve">8.58</w:t>
            </w:r>
          </w:p>
        </w:tc>
        <w:tc>
          <w:tcPr/>
          <w:p>
            <w:pPr>
              <w:pStyle w:val="Compact"/>
              <w:jc w:val="right"/>
            </w:pPr>
            <w:r>
              <w:t xml:space="preserve">0.10700</w:t>
            </w:r>
          </w:p>
        </w:tc>
      </w:tr>
      <w:tr>
        <w:tc>
          <w:tcPr/>
          <w:p>
            <w:pPr>
              <w:pStyle w:val="Compact"/>
              <w:jc w:val="right"/>
            </w:pPr>
            <w:r>
              <w:t xml:space="preserve">9.63</w:t>
            </w:r>
          </w:p>
        </w:tc>
        <w:tc>
          <w:tcPr/>
          <w:p>
            <w:pPr>
              <w:pStyle w:val="Compact"/>
              <w:jc w:val="right"/>
            </w:pPr>
            <w:r>
              <w:t xml:space="preserve">0.11800</w:t>
            </w:r>
          </w:p>
        </w:tc>
      </w:tr>
      <w:tr>
        <w:tc>
          <w:tcPr/>
          <w:p>
            <w:pPr>
              <w:pStyle w:val="Compact"/>
              <w:jc w:val="right"/>
            </w:pPr>
            <w:r>
              <w:t xml:space="preserve">10.80</w:t>
            </w:r>
          </w:p>
        </w:tc>
        <w:tc>
          <w:tcPr/>
          <w:p>
            <w:pPr>
              <w:pStyle w:val="Compact"/>
              <w:jc w:val="right"/>
            </w:pPr>
            <w:r>
              <w:t xml:space="preserve">0.12800</w:t>
            </w:r>
          </w:p>
        </w:tc>
      </w:tr>
      <w:tr>
        <w:tc>
          <w:tcPr/>
          <w:p>
            <w:pPr>
              <w:pStyle w:val="Compact"/>
              <w:jc w:val="right"/>
            </w:pPr>
            <w:r>
              <w:t xml:space="preserve">12.00</w:t>
            </w:r>
          </w:p>
        </w:tc>
        <w:tc>
          <w:tcPr/>
          <w:p>
            <w:pPr>
              <w:pStyle w:val="Compact"/>
              <w:jc w:val="right"/>
            </w:pPr>
            <w:r>
              <w:t xml:space="preserve">0.16000</w:t>
            </w:r>
          </w:p>
        </w:tc>
      </w:tr>
      <w:tr>
        <w:tc>
          <w:tcPr/>
          <w:p>
            <w:pPr>
              <w:pStyle w:val="Compact"/>
              <w:jc w:val="right"/>
            </w:pPr>
            <w:r>
              <w:t xml:space="preserve">13.20</w:t>
            </w:r>
          </w:p>
        </w:tc>
        <w:tc>
          <w:tcPr/>
          <w:p>
            <w:pPr>
              <w:pStyle w:val="Compact"/>
              <w:jc w:val="right"/>
            </w:pPr>
            <w:r>
              <w:t xml:space="preserve">0.18800</w:t>
            </w:r>
          </w:p>
        </w:tc>
      </w:tr>
      <w:tr>
        <w:tc>
          <w:tcPr/>
          <w:p>
            <w:pPr>
              <w:pStyle w:val="Compact"/>
              <w:jc w:val="right"/>
            </w:pPr>
            <w:r>
              <w:t xml:space="preserve">14.30</w:t>
            </w:r>
          </w:p>
        </w:tc>
        <w:tc>
          <w:tcPr/>
          <w:p>
            <w:pPr>
              <w:pStyle w:val="Compact"/>
              <w:jc w:val="right"/>
            </w:pPr>
            <w:r>
              <w:t xml:space="preserve">0.19900</w:t>
            </w:r>
          </w:p>
        </w:tc>
      </w:tr>
      <w:tr>
        <w:tc>
          <w:tcPr/>
          <w:p>
            <w:pPr>
              <w:pStyle w:val="Compact"/>
              <w:jc w:val="right"/>
            </w:pPr>
            <w:r>
              <w:t xml:space="preserve">22.70</w:t>
            </w:r>
          </w:p>
        </w:tc>
        <w:tc>
          <w:tcPr/>
          <w:p>
            <w:pPr>
              <w:pStyle w:val="Compact"/>
              <w:jc w:val="right"/>
            </w:pPr>
            <w:r>
              <w:t xml:space="preserve">0.31700</w:t>
            </w:r>
          </w:p>
        </w:tc>
      </w:tr>
      <w:tr>
        <w:tc>
          <w:tcPr/>
          <w:p>
            <w:pPr>
              <w:pStyle w:val="Compact"/>
              <w:jc w:val="right"/>
            </w:pPr>
            <w:r>
              <w:t xml:space="preserve">24.90</w:t>
            </w:r>
          </w:p>
        </w:tc>
        <w:tc>
          <w:tcPr/>
          <w:p>
            <w:pPr>
              <w:pStyle w:val="Compact"/>
              <w:jc w:val="right"/>
            </w:pPr>
            <w:r>
              <w:t xml:space="preserve">0.34900</w:t>
            </w:r>
          </w:p>
        </w:tc>
      </w:tr>
      <w:tr>
        <w:tc>
          <w:tcPr/>
          <w:p>
            <w:pPr>
              <w:pStyle w:val="Compact"/>
              <w:jc w:val="right"/>
            </w:pPr>
            <w:r>
              <w:t xml:space="preserve">26.80</w:t>
            </w:r>
          </w:p>
        </w:tc>
        <w:tc>
          <w:tcPr/>
          <w:p>
            <w:pPr>
              <w:pStyle w:val="Compact"/>
              <w:jc w:val="right"/>
            </w:pPr>
            <w:r>
              <w:t xml:space="preserve">0.37800</w:t>
            </w:r>
          </w:p>
        </w:tc>
      </w:tr>
      <w:tr>
        <w:tc>
          <w:tcPr/>
          <w:p>
            <w:pPr>
              <w:pStyle w:val="Compact"/>
              <w:jc w:val="right"/>
            </w:pPr>
            <w:r>
              <w:t xml:space="preserve">28.90</w:t>
            </w:r>
          </w:p>
        </w:tc>
        <w:tc>
          <w:tcPr/>
          <w:p>
            <w:pPr>
              <w:pStyle w:val="Compact"/>
              <w:jc w:val="right"/>
            </w:pPr>
            <w:r>
              <w:t xml:space="preserve">0.40800</w:t>
            </w:r>
          </w:p>
        </w:tc>
      </w:tr>
    </w:tbl>
    <w:bookmarkEnd w:id="51"/>
    <w:sectPr w:rsidR="00C60B4D">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62310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DBAC27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DC28BB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25ED7D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6D8136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6FCB93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38A15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2AE60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215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938D2E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F9A02AB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49192186" w:numId="1">
    <w:abstractNumId w:val="10"/>
  </w:num>
  <w:num w16cid:durableId="724068132" w:numId="2">
    <w:abstractNumId w:val="9"/>
  </w:num>
  <w:num w16cid:durableId="683360240" w:numId="3">
    <w:abstractNumId w:val="7"/>
  </w:num>
  <w:num w16cid:durableId="920716284" w:numId="4">
    <w:abstractNumId w:val="6"/>
  </w:num>
  <w:num w16cid:durableId="1133792167" w:numId="5">
    <w:abstractNumId w:val="5"/>
  </w:num>
  <w:num w16cid:durableId="926841933" w:numId="6">
    <w:abstractNumId w:val="4"/>
  </w:num>
  <w:num w16cid:durableId="663704253" w:numId="7">
    <w:abstractNumId w:val="8"/>
  </w:num>
  <w:num w16cid:durableId="97913806" w:numId="8">
    <w:abstractNumId w:val="3"/>
  </w:num>
  <w:num w16cid:durableId="1404524246" w:numId="9">
    <w:abstractNumId w:val="2"/>
  </w:num>
  <w:num w16cid:durableId="1553274368" w:numId="10">
    <w:abstractNumId w:val="1"/>
  </w:num>
  <w:num w16cid:durableId="962997762"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017E3"/>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3017E3"/>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017E3"/>
    <w:pPr>
      <w:keepNext/>
      <w:keepLines/>
      <w:spacing w:after="240" w:before="480"/>
      <w:jc w:val="center"/>
    </w:pPr>
    <w:rPr>
      <w:rFonts w:ascii="Times New Roman" w:cstheme="majorBidi" w:eastAsiaTheme="majorEastAsia" w:hAnsi="Times New Roman"/>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017E3"/>
    <w:pPr>
      <w:keepNext/>
      <w:keepLines/>
      <w:jc w:val="center"/>
    </w:pPr>
    <w:rPr>
      <w:rFonts w:ascii="Times New Roman" w:hAnsi="Times New Roman"/>
    </w:rPr>
  </w:style>
  <w:style w:styleId="Date" w:type="paragraph">
    <w:name w:val="Date"/>
    <w:next w:val="BodyText"/>
    <w:qFormat/>
    <w:rsid w:val="003017E3"/>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TOAHeading" w:type="paragraph">
    <w:name w:val="toa heading"/>
    <w:basedOn w:val="Normal"/>
    <w:next w:val="Normal"/>
    <w:semiHidden/>
    <w:unhideWhenUsed/>
    <w:rsid w:val="003017E3"/>
    <w:pPr>
      <w:spacing w:before="120"/>
    </w:pPr>
    <w:rPr>
      <w:rFonts w:ascii="Times New Roman" w:cstheme="majorBidi" w:eastAsiaTheme="majorEastAsia" w:hAnsi="Times New Roman"/>
      <w:b/>
      <w:bCs/>
    </w:rPr>
  </w:style>
  <w:style w:customStyle="1" w:styleId="BodyTextChar" w:type="character">
    <w:name w:val="Body Text Char"/>
    <w:basedOn w:val="DefaultParagraphFont"/>
    <w:link w:val="BodyText"/>
    <w:rsid w:val="003017E3"/>
    <w:rPr>
      <w:rFonts w:ascii="Times New Roman" w:hAnsi="Times New Roman"/>
    </w:rPr>
  </w:style>
  <w:style w:styleId="BookTitle" w:type="character">
    <w:name w:val="Book Title"/>
    <w:basedOn w:val="DefaultParagraphFont"/>
    <w:rsid w:val="00746F75"/>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33</Words>
  <Characters>191</Characters>
  <Application>Microsoft Office Word</Application>
  <DocSecurity>0</DocSecurity>
  <Lines>1</Lines>
  <Paragraphs>1</Paragraphs>
  <ScaleCrop>false</ScaleCrop>
  <Company/>
  <LinksUpToDate>false</LinksUpToDate>
  <CharactersWithSpaces>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Mechanisms for Human Diseases: Lab 1</dc:title>
  <dc:creator>Peter Yibo Pan, collaborators:</dc:creator>
  <cp:keywords/>
  <dcterms:created xsi:type="dcterms:W3CDTF">2023-02-08T05:12:45Z</dcterms:created>
  <dcterms:modified xsi:type="dcterms:W3CDTF">2023-02-08T05:12:45Z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(2023-02-07)</vt:lpwstr>
  </property>
  <property fmtid="{D5CDD505-2E9C-101B-9397-08002B2CF9AE}" pid="3" name="output">
    <vt:lpwstr/>
  </property>
  <property fmtid="{D5CDD505-2E9C-101B-9397-08002B2CF9AE}" pid="4" name="subtitle">
    <vt:lpwstr>Bacteria’s Brain – Part A</vt:lpwstr>
  </property>
</Properties>
</file>