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3.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Mechanisms</w:t>
      </w:r>
      <w:r>
        <w:t xml:space="preserve"> </w:t>
      </w:r>
      <w:r>
        <w:t xml:space="preserve">for</w:t>
      </w:r>
      <w:r>
        <w:t xml:space="preserve"> </w:t>
      </w:r>
      <w:r>
        <w:t xml:space="preserve">Human</w:t>
      </w:r>
      <w:r>
        <w:t xml:space="preserve"> </w:t>
      </w:r>
      <w:r>
        <w:t xml:space="preserve">Diseases:</w:t>
      </w:r>
      <w:r>
        <w:t xml:space="preserve"> </w:t>
      </w:r>
      <w:r>
        <w:t xml:space="preserve">Lab</w:t>
      </w:r>
      <w:r>
        <w:t xml:space="preserve"> </w:t>
      </w:r>
      <w:r>
        <w:t xml:space="preserve">1</w:t>
      </w:r>
    </w:p>
    <w:p>
      <w:pPr>
        <w:pStyle w:val="Subtitle"/>
      </w:pPr>
      <w:r>
        <w:t xml:space="preserve">Bacteria’s</w:t>
      </w:r>
      <w:r>
        <w:t xml:space="preserve"> </w:t>
      </w:r>
      <w:r>
        <w:t xml:space="preserve">Brain</w:t>
      </w:r>
      <w:r>
        <w:t xml:space="preserve"> </w:t>
      </w:r>
      <w:r>
        <w:t xml:space="preserve">–</w:t>
      </w:r>
      <w:r>
        <w:t xml:space="preserve"> </w:t>
      </w:r>
      <w:r>
        <w:t xml:space="preserve">Part</w:t>
      </w:r>
      <w:r>
        <w:t xml:space="preserve"> </w:t>
      </w:r>
      <w:r>
        <w:t xml:space="preserve">A</w:t>
      </w:r>
    </w:p>
    <w:p>
      <w:pPr>
        <w:pStyle w:val="Author"/>
      </w:pPr>
      <w:r>
        <w:t xml:space="preserve">Peter</w:t>
      </w:r>
      <w:r>
        <w:t xml:space="preserve"> </w:t>
      </w:r>
      <w:r>
        <w:t xml:space="preserve">Yibo</w:t>
      </w:r>
      <w:r>
        <w:t xml:space="preserve"> </w:t>
      </w:r>
      <w:r>
        <w:t xml:space="preserve">Pan,</w:t>
      </w:r>
      <w:r>
        <w:t xml:space="preserve"> </w:t>
      </w:r>
      <w:r>
        <w:t xml:space="preserve">collaborators:</w:t>
      </w:r>
    </w:p>
    <w:p>
      <w:pPr>
        <w:pStyle w:val="Date"/>
      </w:pPr>
      <w:r>
        <w:t xml:space="preserve">(2023-02-08)</w:t>
      </w:r>
    </w:p>
    <w:bookmarkStart w:id="20" w:name="abstract"/>
    <w:p>
      <w:pPr>
        <w:pStyle w:val="Heading2"/>
      </w:pPr>
      <w:r>
        <w:t xml:space="preserve">Abstract</w:t>
      </w:r>
    </w:p>
    <w:p>
      <w:pPr>
        <w:pStyle w:val="FirstParagraph"/>
      </w:pPr>
      <w:r>
        <w:t xml:space="preserve">distillation of report (1-paragraph abstract)</w:t>
      </w:r>
    </w:p>
    <w:p>
      <w:pPr>
        <w:pStyle w:val="BodyText"/>
      </w:pPr>
      <w:r>
        <w:t xml:space="preserve">Lab question 1c:</w:t>
      </w:r>
      <w:r>
        <w:t xml:space="preserve"> </w:t>
      </w:r>
      <w:r>
        <w:t xml:space="preserve">Previous studies:</w:t>
      </w:r>
      <w:r>
        <w:t xml:space="preserve"> </w:t>
      </w:r>
      <w:r>
        <w:t xml:space="preserve">Benzer (), Monod() supports that each individual bacterium produces at a rate representative of the entire population; only for high inducer concentrations.</w:t>
      </w:r>
      <w:r>
        <w:t xml:space="preserve"> </w:t>
      </w:r>
      <w:r>
        <w:t xml:space="preserve">For low inducer concentrations, the role of the transporter and preinduced bacteria is considered to show that the concentration of transporters will also be low. Hence some bacterium will necessarily start producing enzyme before others, which conflicts with the observation at high concentration. This conclusion seems to conflict with the previous studies of Benzer and Monod, as to whether enzyme production is always uniform within the population.</w:t>
      </w:r>
      <w:r>
        <w:t xml:space="preserve"> </w:t>
      </w:r>
      <w:r>
        <w:t xml:space="preserve">The two opposing hypotheses are:</w:t>
      </w:r>
      <w:r>
        <w:t xml:space="preserve"> </w:t>
      </w:r>
      <w:r>
        <w:t xml:space="preserve">* Hypothesis 1: Bacteria within a system always produce enzyme at an uniform but varying rate at the individual level. Hence as inducers are introduced, they would be uniformly induced and begin production at the same time, slowly increasing the rate of production as concentration of inducers increase.</w:t>
      </w:r>
      <w:r>
        <w:t xml:space="preserve"> </w:t>
      </w:r>
      <w:r>
        <w:t xml:space="preserve">* Hypothesis 2: Bacteria within a system, once induced, immediately start producing enzyme at a maximum level without change. Yet some bacteria within a system may be induced before others, hence the overall production of the system is dependent on the proportion of individual bacteria activated, which produces at either none or max rate.</w:t>
      </w:r>
      <w:r>
        <w:t xml:space="preserve"> </w:t>
      </w:r>
      <w:r>
        <w:t xml:space="preserve">Hence, through this experiment, Novick and</w:t>
      </w:r>
    </w:p>
    <w:p>
      <w:pPr>
        <w:pStyle w:val="BodyText"/>
      </w:pPr>
      <w:r>
        <w:t xml:space="preserve">Addition problems, 1: modern use</w:t>
      </w:r>
    </w:p>
    <w:bookmarkEnd w:id="20"/>
    <w:bookmarkStart w:id="23" w:name="experiment"/>
    <w:p>
      <w:pPr>
        <w:pStyle w:val="Heading2"/>
      </w:pPr>
      <w:r>
        <w:t xml:space="preserve">Experiment</w:t>
      </w:r>
    </w:p>
    <w:bookmarkStart w:id="21" w:name="method"/>
    <w:p>
      <w:pPr>
        <w:pStyle w:val="Heading3"/>
      </w:pPr>
      <w:r>
        <w:t xml:space="preserve">Method</w:t>
      </w:r>
    </w:p>
    <w:p>
      <w:pPr>
        <w:pStyle w:val="FirstParagraph"/>
      </w:pPr>
      <w:r>
        <w:t xml:space="preserve">The experiment utilizes thiomethyl-</w:t>
      </w:r>
      <m:oMath>
        <m:r>
          <m:t>β</m:t>
        </m:r>
      </m:oMath>
      <w:r>
        <w:t xml:space="preserve">-D-galactoside (TMG), which is a</w:t>
      </w:r>
      <w:r>
        <w:t xml:space="preserve"> </w:t>
      </w:r>
      <w:r>
        <w:t xml:space="preserve">“</w:t>
      </w:r>
      <w:r>
        <w:t xml:space="preserve">gratuitous</w:t>
      </w:r>
      <w:r>
        <w:t xml:space="preserve">”</w:t>
      </w:r>
      <w:r>
        <w:t xml:space="preserve"> </w:t>
      </w:r>
      <w:r>
        <w:t xml:space="preserve">inducer, to trigger the production of</w:t>
      </w:r>
      <w:r>
        <w:t xml:space="preserve"> </w:t>
      </w:r>
      <m:oMath>
        <m:r>
          <m:t>β</m:t>
        </m:r>
      </m:oMath>
      <w:r>
        <w:t xml:space="preserve">-galactosidase. TMG has the advantage of being able to induce bacteria without being consumedas an energy source, as lactose would, which may impact the growth rate of the population.</w:t>
      </w:r>
      <w:r>
        <w:t xml:space="preserve"> </w:t>
      </w:r>
      <w:r>
        <w:t xml:space="preserve">In order to differentiate between the two hypothesized mechanisms of induction and production, the inducer TMG is introduced to each condition at different concentrations.</w:t>
      </w:r>
    </w:p>
    <w:p>
      <w:pPr>
        <w:pStyle w:val="BodyText"/>
      </w:pPr>
      <w:r>
        <w:t xml:space="preserve">ways of measuring, limits to the design, elegant parts (lab question 1a, b)</w:t>
      </w:r>
      <w:r>
        <w:t xml:space="preserve"> </w:t>
      </w:r>
      <w:r>
        <w:t xml:space="preserve">hypotheses</w:t>
      </w:r>
    </w:p>
    <w:p>
      <w:pPr>
        <w:pStyle w:val="BodyText"/>
      </w:pPr>
      <w:r>
        <w:t xml:space="preserve">Lab question 1a:</w:t>
      </w:r>
      <w:r>
        <w:t xml:space="preserve"> </w:t>
      </w:r>
      <w:r>
        <w:t xml:space="preserve">Between the two trials, the concentration of inducers is altered from high to low. According to Hypotheses 2, when inducers are introduced at a high concentration, all of the cells in the population would be rapidly induced and start producing enzyme at a steady rate, meanwhile this rate of induction is much more gradual if the inducer is introduced at a low volume. However, according to Hypothesis 1, the all cells would be induced rapidly after the introduction of the inducers regardless of its concentration. However, the rate of production for each cell slowly increases with time.</w:t>
      </w:r>
    </w:p>
    <w:p>
      <w:pPr>
        <w:pStyle w:val="BodyText"/>
      </w:pPr>
      <w:r>
        <w:t xml:space="preserve">Lab question 1b:</w:t>
      </w:r>
      <w:r>
        <w:t xml:space="preserve"> </w:t>
      </w:r>
      <w:r>
        <w:t xml:space="preserve">(&amp; Lab question 6)</w:t>
      </w:r>
      <w:r>
        <w:t xml:space="preserve"> </w:t>
      </w:r>
      <w:r>
        <w:t xml:space="preserve">The rate of b-gal activity is measured by the rate at which</w:t>
      </w:r>
      <w:r>
        <w:t xml:space="preserve"> </w:t>
      </w:r>
      <m:oMath>
        <m:r>
          <m:t>o</m:t>
        </m:r>
      </m:oMath>
      <w:r>
        <w:t xml:space="preserve">-nitrophenyl-</w:t>
      </w:r>
      <m:oMath>
        <m:r>
          <m:t>β</m:t>
        </m:r>
      </m:oMath>
      <w:r>
        <w:t xml:space="preserve">-D-galactoside (ONPG) is hydrolyzed (Novick, 555). This procedure used by Novick and Weiner is based upon the work of Joshua Lederberg in 1950. Lederberg demonstrated the merit of using spectralphotometry to obtain values for optical density for enzyme assays. ONPG is a chromogenic substrate, and can be hydrolyzed by bacteria once the bacteria starts producing</w:t>
      </w:r>
      <w:r>
        <w:t xml:space="preserve"> </w:t>
      </w:r>
      <m:oMath>
        <m:r>
          <m:t>β</m:t>
        </m:r>
      </m:oMath>
      <w:r>
        <w:t xml:space="preserve">-galactosidase. Once hydrolyzed, ONPG separates into free</w:t>
      </w:r>
      <w:r>
        <w:t xml:space="preserve"> </w:t>
      </w:r>
      <m:oMath>
        <m:r>
          <m:t>o</m:t>
        </m:r>
      </m:oMath>
      <w:r>
        <w:t xml:space="preserve">-nitrophenol (ONP) which is a weak acid and displays a yellow color in alkaline solution, with an absorption peak at 420m</w:t>
      </w:r>
      <m:oMath>
        <m:r>
          <m:t>μ</m:t>
        </m:r>
      </m:oMath>
      <w:r>
        <w:t xml:space="preserve">. The use of ONPG in tracking the activity of enzyme production can be traced back to Seidman and Link (1950) who first found its suitability, as ONP is the only compound that yield a color in the specific range, or rather in the entire visible spectrum within the experiment. Lederberg also found that ONP’s spectral frequency requires very low dilution to be accurately measured, hence enabling measurement with very low density of cells or very slow growth rate, which will be helpful in this experiment.</w:t>
      </w:r>
      <w:r>
        <w:t xml:space="preserve"> </w:t>
      </w:r>
      <w:r>
        <w:t xml:space="preserve">ONP also allows the spectroscopy of the bacteria sample to directly reflect the fraction of maximum enzyme activity within the system. As for each specific condition and specific optical density of bacteria, there is a specific rate of ONP hydrolysis that corresponds to maximum enzyme production.</w:t>
      </w:r>
      <w:r>
        <w:t xml:space="preserve"> </w:t>
      </w:r>
      <w:r>
        <w:t xml:space="preserve">In this experiment specifically, Novick and Weiner determined that at their condition, with a bacteria sample of optical density of 0.120, maximum bacteria activity would correspond to 225 m</w:t>
      </w:r>
      <m:oMath>
        <m:r>
          <m:t>μ</m:t>
        </m:r>
      </m:oMath>
      <w:r>
        <w:t xml:space="preserve">moles of ONPG hydrolyzed per</w:t>
      </w:r>
      <w:r>
        <w:t xml:space="preserve"> </w:t>
      </w:r>
      <w:r>
        <w:t xml:space="preserve">milliliter per minute at 28</w:t>
      </w:r>
      <m:oMath>
        <m:sSup>
          <m:e>
            <m:r>
              <m:t>​</m:t>
            </m:r>
          </m:e>
          <m:sup>
            <m:r>
              <m:rPr>
                <m:sty m:val="p"/>
              </m:rPr>
              <m:t>∘</m:t>
            </m:r>
          </m:sup>
        </m:sSup>
      </m:oMath>
      <w:r>
        <w:t xml:space="preserve">C, at pH 7 in M/10 sodium phosphate buffer.</w:t>
      </w:r>
    </w:p>
    <w:bookmarkEnd w:id="21"/>
    <w:bookmarkStart w:id="22" w:name="setup"/>
    <w:p>
      <w:pPr>
        <w:pStyle w:val="Heading3"/>
      </w:pPr>
      <w:r>
        <w:t xml:space="preserve">Setup</w:t>
      </w:r>
    </w:p>
    <w:bookmarkEnd w:id="22"/>
    <w:bookmarkEnd w:id="23"/>
    <w:bookmarkStart w:id="28" w:name="results"/>
    <w:p>
      <w:pPr>
        <w:pStyle w:val="Heading2"/>
      </w:pPr>
      <w:r>
        <w:t xml:space="preserve">Results:</w:t>
      </w:r>
    </w:p>
    <w:p>
      <w:pPr>
        <w:pStyle w:val="FirstParagraph"/>
      </w:pPr>
      <w:r>
        <w:t xml:space="preserve">The complete resulting data can be seen in tables 1 and 2 in the appendix, and as shown in table 1a and 1b:</w:t>
      </w:r>
    </w:p>
    <w:bookmarkStart w:id="27" w:name="visualization-of-data-set-a-and-b"/>
    <w:p>
      <w:pPr>
        <w:pStyle w:val="Heading3"/>
      </w:pPr>
      <w:r>
        <w:t xml:space="preserve">Visualization of Data set A and B:</w:t>
      </w:r>
    </w:p>
    <w:p>
      <w:pPr>
        <w:pStyle w:val="FirstParagraph"/>
      </w:pPr>
      <w:r>
        <w:drawing>
          <wp:inline>
            <wp:extent cx="4620126" cy="3696101"/>
            <wp:effectExtent b="0" l="0" r="0" t="0"/>
            <wp:docPr descr="" title="" id="25" name="Picture"/>
            <a:graphic>
              <a:graphicData uri="http://schemas.openxmlformats.org/drawingml/2006/picture">
                <pic:pic>
                  <pic:nvPicPr>
                    <pic:cNvPr descr="bacterias_brain_files/figure-docx/a_Q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51" w:name="analysis"/>
    <w:p>
      <w:pPr>
        <w:pStyle w:val="Heading2"/>
      </w:pPr>
      <w:r>
        <w:t xml:space="preserve">Analysis:</w:t>
      </w:r>
    </w:p>
    <w:bookmarkStart w:id="29" w:name="X04345e7fbfdfc015ee975e2417adad9b16c4965"/>
    <w:p>
      <w:pPr>
        <w:pStyle w:val="Heading3"/>
      </w:pPr>
      <w:r>
        <w:t xml:space="preserve">Derivation A: High Concentration of Inducers</w:t>
      </w:r>
    </w:p>
    <w:p>
      <w:pPr>
        <w:pStyle w:val="FirstParagraph"/>
      </w:pPr>
      <w:r>
        <w:t xml:space="preserve">(question A.5)</w:t>
      </w:r>
      <w:r>
        <w:t xml:space="preserve"> </w:t>
      </w:r>
      <w:r>
        <w:t xml:space="preserve">I will first define the different terms that will be used.These terms will be used for derivations for both data sets.</w:t>
      </w:r>
    </w:p>
    <w:p>
      <w:pPr>
        <w:numPr>
          <w:ilvl w:val="0"/>
          <w:numId w:val="1001"/>
        </w:numPr>
      </w:pPr>
      <m:oMath>
        <m:r>
          <m:t>N</m:t>
        </m:r>
      </m:oMath>
      <w:r>
        <w:t xml:space="preserve"> </w:t>
      </w:r>
      <w:r>
        <w:t xml:space="preserve">is the number of individual E.coli bacteria in the system, which is maintained at a constant value.</w:t>
      </w:r>
    </w:p>
    <w:p>
      <w:pPr>
        <w:numPr>
          <w:ilvl w:val="0"/>
          <w:numId w:val="1001"/>
        </w:numPr>
      </w:pPr>
      <m:oMath>
        <m:r>
          <m:t>Q</m:t>
        </m:r>
      </m:oMath>
      <w:r>
        <w:t xml:space="preserve"> </w:t>
      </w:r>
      <w:r>
        <w:t xml:space="preserve">is the flow rate both in- and outward from the system, which is kept at a constant value so that</w:t>
      </w:r>
      <w:r>
        <w:t xml:space="preserve"> </w:t>
      </w:r>
      <m:oMath>
        <m:r>
          <m:t>N</m:t>
        </m:r>
      </m:oMath>
      <w:r>
        <w:t xml:space="preserve"> </w:t>
      </w:r>
      <w:r>
        <w:t xml:space="preserve">can be kept constant.</w:t>
      </w:r>
    </w:p>
    <w:p>
      <w:pPr>
        <w:numPr>
          <w:ilvl w:val="0"/>
          <w:numId w:val="1001"/>
        </w:numPr>
      </w:pPr>
      <m:oMath>
        <m:r>
          <m:t>V</m:t>
        </m:r>
      </m:oMath>
      <w:r>
        <w:t xml:space="preserve"> </w:t>
      </w:r>
      <w:r>
        <w:t xml:space="preserve">is the volume of the system.</w:t>
      </w:r>
    </w:p>
    <w:p>
      <w:pPr>
        <w:numPr>
          <w:ilvl w:val="0"/>
          <w:numId w:val="1001"/>
        </w:numPr>
      </w:pPr>
      <m:oMath>
        <m:r>
          <m:t>S</m:t>
        </m:r>
      </m:oMath>
      <w:r>
        <w:t xml:space="preserve"> </w:t>
      </w:r>
      <w:r>
        <w:t xml:space="preserve">we define as the average rate of production by any individual bacterium at a given time. Note this is not the rate of production by individual bacterium but the mean of the population. Hence this value would change based on how many bacterium are</w:t>
      </w:r>
      <w:r>
        <w:t xml:space="preserve"> </w:t>
      </w:r>
      <w:r>
        <w:t xml:space="preserve">“</w:t>
      </w:r>
      <w:r>
        <w:t xml:space="preserve">activated</w:t>
      </w:r>
      <w:r>
        <w:t xml:space="preserve">”</w:t>
      </w:r>
      <w:r>
        <w:t xml:space="preserve"> </w:t>
      </w:r>
      <w:r>
        <w:t xml:space="preserve">within the population.</w:t>
      </w:r>
    </w:p>
    <w:p>
      <w:pPr>
        <w:numPr>
          <w:ilvl w:val="0"/>
          <w:numId w:val="1001"/>
        </w:numPr>
      </w:pPr>
      <m:oMath>
        <m:r>
          <m:t>z</m:t>
        </m:r>
      </m:oMath>
      <w:r>
        <w:t xml:space="preserve"> </w:t>
      </w:r>
      <w:r>
        <w:t xml:space="preserve">is defined as the concentration of</w:t>
      </w:r>
      <w:r>
        <w:t xml:space="preserve"> </w:t>
      </w:r>
      <m:oMath>
        <m:r>
          <m:t>β</m:t>
        </m:r>
      </m:oMath>
      <w:r>
        <w:t xml:space="preserve">-gal within the system at any moment. With these terms defined, we observe that at any moment, the growth of</w:t>
      </w:r>
      <w:r>
        <w:t xml:space="preserve"> </w:t>
      </w:r>
      <m:oMath>
        <m:r>
          <m:t>β</m:t>
        </m:r>
      </m:oMath>
      <w:r>
        <w:t xml:space="preserve">-gal is</w:t>
      </w:r>
      <w:r>
        <w:t xml:space="preserve"> </w:t>
      </w:r>
      <m:oMath>
        <m:f>
          <m:fPr>
            <m:type m:val="bar"/>
          </m:fPr>
          <m:num>
            <m:r>
              <m:t>d</m:t>
            </m:r>
            <m:r>
              <m:t>z</m:t>
            </m:r>
          </m:num>
          <m:den>
            <m:r>
              <m:t>d</m:t>
            </m:r>
            <m:r>
              <m:t>t</m:t>
            </m:r>
          </m:den>
        </m:f>
      </m:oMath>
      <w:r>
        <w:t xml:space="preserve">, which equates two terms: the rate of production by the bacteria and the rate of loss due to flow rate. Hence we get the equation:</w:t>
      </w:r>
    </w:p>
    <w:p>
      <w:pPr>
        <w:pStyle w:val="FirstParagraph"/>
      </w:pPr>
      <m:oMathPara>
        <m:oMathParaPr>
          <m:jc m:val="center"/>
        </m:oMathParaP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m:oMathPara>
    </w:p>
    <w:p>
      <w:pPr>
        <w:pStyle w:val="FirstParagraph"/>
      </w:pPr>
      <w:r>
        <w:t xml:space="preserve">For data set A, when the inducers are introduced at high concentration, we assume that</w:t>
      </w:r>
      <w:r>
        <w:t xml:space="preserve"> </w:t>
      </w:r>
      <m:oMath>
        <m:r>
          <m:t>S</m:t>
        </m:r>
      </m:oMath>
      <w:r>
        <w:t xml:space="preserve"> </w:t>
      </w:r>
      <w:r>
        <w:t xml:space="preserve">is constant as all bacteria rapidly</w:t>
      </w:r>
      <w:r>
        <w:t xml:space="preserve"> </w:t>
      </w:r>
      <w:r>
        <w:t xml:space="preserve">“</w:t>
      </w:r>
      <w:r>
        <w:t xml:space="preserve">switches on</w:t>
      </w:r>
      <w:r>
        <w:t xml:space="preserve">”</w:t>
      </w:r>
      <w:r>
        <w:t xml:space="preserve"> </w:t>
      </w:r>
      <w:r>
        <w:t xml:space="preserve">and generates enzyme at its maximal rate. We can then express</w:t>
      </w:r>
      <w:r>
        <w:t xml:space="preserve"> </w:t>
      </w:r>
      <m:oMath>
        <m:r>
          <m:t>t</m:t>
        </m:r>
      </m:oMath>
      <w:r>
        <w:t xml:space="preserve"> </w:t>
      </w:r>
      <w:r>
        <w:t xml:space="preserve">as a dimensionless variable as</w:t>
      </w:r>
      <w:r>
        <w:t xml:space="preserve"> </w:t>
      </w:r>
      <m:oMath>
        <m:acc>
          <m:accPr>
            <m:chr m:val="̃"/>
          </m:accPr>
          <m:e>
            <m:r>
              <m:t>t</m:t>
            </m:r>
          </m:e>
        </m:acc>
        <m:f>
          <m:fPr>
            <m:type m:val="bar"/>
          </m:fPr>
          <m:num>
            <m:r>
              <m:t>V</m:t>
            </m:r>
          </m:num>
          <m:den>
            <m:r>
              <m:t>Q</m:t>
            </m:r>
          </m:den>
        </m:f>
      </m:oMath>
      <w:r>
        <w:t xml:space="preserve">, hence:</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We can prepare the function for integration by substituting</w:t>
      </w:r>
      <w:r>
        <w:t xml:space="preserve"> </w:t>
      </w:r>
      <m:oMath>
        <m:f>
          <m:fPr>
            <m:type m:val="bar"/>
          </m:fPr>
          <m:num>
            <m:r>
              <m:t>N</m:t>
            </m:r>
            <m:r>
              <m:t>S</m:t>
            </m:r>
            <m:r>
              <m:t>V</m:t>
            </m:r>
          </m:num>
          <m:den>
            <m:r>
              <m:t>Q</m:t>
            </m:r>
          </m:den>
        </m:f>
        <m:r>
          <m:rPr>
            <m:sty m:val="p"/>
          </m:rPr>
          <m:t>=</m:t>
        </m:r>
        <m:r>
          <m:t>A</m:t>
        </m:r>
      </m:oMath>
      <w:r>
        <w:t xml:space="preserve">:</w:t>
      </w:r>
    </w:p>
    <w:p>
      <w:pPr>
        <w:pStyle w:val="BodyText"/>
      </w:pPr>
      <m:oMathPara>
        <m:oMathParaPr>
          <m:jc m:val="center"/>
        </m:oMathParaPr>
        <m:oMath>
          <m:f>
            <m:fPr>
              <m:type m:val="bar"/>
            </m:fPr>
            <m:num>
              <m:r>
                <m:t>1</m:t>
              </m:r>
            </m:num>
            <m:den>
              <m:r>
                <m:t>A</m:t>
              </m:r>
              <m:r>
                <m:rPr>
                  <m:sty m:val="p"/>
                </m:rPr>
                <m:t>−</m:t>
              </m:r>
              <m:r>
                <m:t>z</m:t>
              </m:r>
            </m:den>
          </m:f>
          <m:r>
            <m:t>d</m:t>
          </m:r>
          <m:r>
            <m:t>z</m:t>
          </m:r>
          <m:r>
            <m:rPr>
              <m:sty m:val="p"/>
            </m:rPr>
            <m:t>=</m:t>
          </m:r>
          <m:r>
            <m:t>d</m:t>
          </m:r>
          <m:acc>
            <m:accPr>
              <m:chr m:val="̃"/>
            </m:accPr>
            <m:e>
              <m:r>
                <m:t>t</m:t>
              </m:r>
            </m:e>
          </m:acc>
        </m:oMath>
      </m:oMathPara>
    </w:p>
    <w:p>
      <w:pPr>
        <w:pStyle w:val="FirstParagraph"/>
      </w:pPr>
      <w:r>
        <w:t xml:space="preserve">We then integrate both sides:</w:t>
      </w:r>
    </w:p>
    <w:p>
      <w:pPr>
        <w:pStyle w:val="BodyText"/>
      </w:pPr>
      <m:oMathPara>
        <m:oMathParaPr>
          <m:jc m:val="center"/>
        </m:oMathParaPr>
        <m:oMath>
          <m:r>
            <m:rPr>
              <m:sty m:val="p"/>
            </m:rPr>
            <m:t>∫</m:t>
          </m:r>
          <m:f>
            <m:fPr>
              <m:type m:val="bar"/>
            </m:fPr>
            <m:num>
              <m:r>
                <m:t>1</m:t>
              </m:r>
            </m:num>
            <m:den>
              <m:r>
                <m:t>A</m:t>
              </m:r>
              <m:r>
                <m:rPr>
                  <m:sty m:val="p"/>
                </m:rPr>
                <m:t>−</m:t>
              </m:r>
              <m:r>
                <m:t>z</m:t>
              </m:r>
            </m:den>
          </m:f>
          <m:r>
            <m:t>d</m:t>
          </m:r>
          <m:r>
            <m:t>z</m:t>
          </m:r>
          <m:r>
            <m:rPr>
              <m:sty m:val="p"/>
            </m:rPr>
            <m:t>=</m:t>
          </m:r>
          <m:r>
            <m:rPr>
              <m:sty m:val="p"/>
            </m:rPr>
            <m:t>∫</m:t>
          </m:r>
          <m:r>
            <m:t>d</m:t>
          </m:r>
          <m:acc>
            <m:accPr>
              <m:chr m:val="̃"/>
            </m:accPr>
            <m:e>
              <m:r>
                <m:t>t</m:t>
              </m:r>
            </m:e>
          </m:acc>
        </m:oMath>
      </m:oMathPara>
    </w:p>
    <w:p>
      <w:pPr>
        <w:pStyle w:val="FirstParagraph"/>
      </w:pPr>
      <m:oMathPara>
        <m:oMathParaPr>
          <m:jc m:val="center"/>
        </m:oMathParaPr>
        <m:oMath>
          <m:r>
            <m:rPr>
              <m:sty m:val="p"/>
            </m:rPr>
            <m:t>−</m:t>
          </m:r>
          <m:r>
            <m:rPr>
              <m:sty m:val="p"/>
            </m:rPr>
            <m:t>ln</m:t>
          </m:r>
          <m:d>
            <m:dPr>
              <m:begChr m:val="|"/>
              <m:endChr m:val="|"/>
              <m:sepChr m:val=""/>
              <m:grow/>
            </m:dPr>
            <m:e>
              <m:r>
                <m:t>A</m:t>
              </m:r>
              <m:r>
                <m:rPr>
                  <m:sty m:val="p"/>
                </m:rPr>
                <m:t>−</m:t>
              </m:r>
              <m:r>
                <m:t>z</m:t>
              </m:r>
            </m:e>
          </m:d>
          <m:r>
            <m:rPr>
              <m:sty m:val="p"/>
            </m:rPr>
            <m:t>=</m:t>
          </m:r>
          <m:acc>
            <m:accPr>
              <m:chr m:val="̃"/>
            </m:accPr>
            <m:e>
              <m:r>
                <m:t>t</m:t>
              </m:r>
            </m:e>
          </m:acc>
          <m:r>
            <m:rPr>
              <m:sty m:val="p"/>
            </m:rPr>
            <m:t>+</m:t>
          </m:r>
          <m:r>
            <m:t>C</m:t>
          </m:r>
        </m:oMath>
      </m:oMathPara>
    </w:p>
    <w:p>
      <w:pPr>
        <w:pStyle w:val="FirstParagraph"/>
      </w:pPr>
      <m:oMathPara>
        <m:oMathParaPr>
          <m:jc m:val="center"/>
        </m:oMathParaPr>
        <m:oMath>
          <m:r>
            <m:t>A</m:t>
          </m:r>
          <m:r>
            <m:rPr>
              <m:sty m:val="p"/>
            </m:rPr>
            <m:t>−</m:t>
          </m:r>
          <m:r>
            <m:t>z</m:t>
          </m:r>
          <m:r>
            <m:rPr>
              <m:sty m:val="p"/>
            </m:rPr>
            <m:t>=</m:t>
          </m:r>
          <m:sSup>
            <m:e>
              <m:r>
                <m:t>e</m:t>
              </m:r>
            </m:e>
            <m:sup>
              <m:r>
                <m:rPr>
                  <m:sty m:val="p"/>
                </m:rPr>
                <m:t>−</m:t>
              </m:r>
              <m:acc>
                <m:accPr>
                  <m:chr m:val="̃"/>
                </m:accPr>
                <m:e>
                  <m:r>
                    <m:t>t</m:t>
                  </m:r>
                </m:e>
              </m:acc>
              <m:r>
                <m:rPr>
                  <m:sty m:val="p"/>
                </m:rPr>
                <m:t>−</m:t>
              </m:r>
              <m:r>
                <m:t>C</m:t>
              </m:r>
            </m:sup>
          </m:sSup>
        </m:oMath>
      </m:oMathPara>
    </w:p>
    <w:p>
      <w:pPr>
        <w:pStyle w:val="FirstParagraph"/>
      </w:pPr>
      <m:oMathPara>
        <m:oMathParaPr>
          <m:jc m:val="center"/>
        </m:oMathParaPr>
        <m:oMath>
          <m:r>
            <m:t>z</m:t>
          </m:r>
          <m:r>
            <m:rPr>
              <m:sty m:val="p"/>
            </m:rPr>
            <m:t>=</m:t>
          </m:r>
          <m:r>
            <m:t>A</m:t>
          </m:r>
          <m:r>
            <m:rPr>
              <m:sty m:val="p"/>
            </m:rPr>
            <m:t>−</m:t>
          </m:r>
          <m:sSup>
            <m:e>
              <m:r>
                <m:t>e</m:t>
              </m:r>
            </m:e>
            <m:sup>
              <m:r>
                <m:rPr>
                  <m:sty m:val="p"/>
                </m:rPr>
                <m:t>−</m:t>
              </m:r>
              <m:acc>
                <m:accPr>
                  <m:chr m:val="̃"/>
                </m:accPr>
                <m:e>
                  <m:r>
                    <m:t>t</m:t>
                  </m:r>
                </m:e>
              </m:acc>
            </m:sup>
          </m:sSup>
          <m:sSup>
            <m:e>
              <m:r>
                <m:t>e</m:t>
              </m:r>
            </m:e>
            <m:sup>
              <m:r>
                <m:t>C</m:t>
              </m:r>
            </m:sup>
          </m:sSup>
        </m:oMath>
      </m:oMathPara>
    </w:p>
    <w:p>
      <w:pPr>
        <w:pStyle w:val="FirstParagraph"/>
      </w:pPr>
      <w:r>
        <w:t xml:space="preserve">Considering the fact that</w:t>
      </w:r>
      <w:r>
        <w:t xml:space="preserve"> </w:t>
      </w:r>
      <m:oMath>
        <m:r>
          <m:t>z</m:t>
        </m:r>
        <m:d>
          <m:dPr>
            <m:begChr m:val="("/>
            <m:endChr m:val=")"/>
            <m:sepChr m:val=""/>
            <m:grow/>
          </m:dPr>
          <m:e>
            <m:r>
              <m:t>0</m:t>
            </m:r>
          </m:e>
        </m:d>
        <m:r>
          <m:rPr>
            <m:sty m:val="p"/>
          </m:rPr>
          <m:t>=</m:t>
        </m:r>
        <m:r>
          <m:t>0</m:t>
        </m:r>
      </m:oMath>
      <w:r>
        <w:t xml:space="preserve">, we conclude that</w:t>
      </w:r>
      <w:r>
        <w:t xml:space="preserve"> </w:t>
      </w:r>
      <m:oMath>
        <m:sSup>
          <m:e>
            <m:r>
              <m:t>e</m:t>
            </m:r>
          </m:e>
          <m:sup>
            <m:r>
              <m:t>C</m:t>
            </m:r>
          </m:sup>
        </m:sSup>
        <m:r>
          <m:rPr>
            <m:sty m:val="p"/>
          </m:rPr>
          <m:t>=</m:t>
        </m:r>
        <m:r>
          <m:t>A</m:t>
        </m:r>
      </m:oMath>
      <w:r>
        <w:t xml:space="preserve"> </w:t>
      </w:r>
      <w:r>
        <w:t xml:space="preserve">Hence:</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acc>
                    <m:accPr>
                      <m:chr m:val="̃"/>
                    </m:accPr>
                    <m:e>
                      <m:r>
                        <m:t>t</m:t>
                      </m:r>
                    </m:e>
                  </m:acc>
                </m:sup>
              </m:sSup>
            </m:e>
          </m:d>
        </m:oMath>
      </m:oMathPara>
    </w:p>
    <w:p>
      <w:pPr>
        <w:pStyle w:val="FirstParagraph"/>
      </w:pPr>
      <w:r>
        <w:t xml:space="preserve">Or:</w:t>
      </w:r>
    </w:p>
    <w:p>
      <w:pPr>
        <w:pStyle w:val="BodyText"/>
      </w:pPr>
      <m:oMathPara>
        <m:oMathParaPr>
          <m:jc m:val="center"/>
        </m:oMathParaP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w:t>
      </w:r>
      <w:r>
        <w:t xml:space="preserve"> </w:t>
      </w:r>
      <w:r>
        <w:t xml:space="preserve">The equation can be interpreted with</w:t>
      </w:r>
      <w:r>
        <w:t xml:space="preserve"> </w:t>
      </w:r>
      <m:oMath>
        <m:r>
          <m:t>A</m:t>
        </m:r>
      </m:oMath>
      <w:r>
        <w:t xml:space="preserve"> </w:t>
      </w:r>
      <w:r>
        <w:t xml:space="preserve">being the theoretical maximum level of</w:t>
      </w:r>
      <w:r>
        <w:t xml:space="preserve"> </w:t>
      </w:r>
      <m:oMath>
        <m:r>
          <m:t>β</m:t>
        </m:r>
      </m:oMath>
      <w:r>
        <w:t xml:space="preserve">-gal that can possibly exist in the system defined by its Volume, the Number of bacteria, the individual rate of production, and the flow rate, since</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t>A</m:t>
          </m:r>
          <m:r>
            <m:rPr>
              <m:sty m:val="p"/>
            </m:rPr>
            <m:t>=</m:t>
          </m:r>
          <m:f>
            <m:fPr>
              <m:type m:val="bar"/>
            </m:fPr>
            <m:num>
              <m:r>
                <m:t>N</m:t>
              </m:r>
              <m:r>
                <m:t>S</m:t>
              </m:r>
              <m:r>
                <m:t>V</m:t>
              </m:r>
            </m:num>
            <m:den>
              <m:r>
                <m:t>Q</m:t>
              </m:r>
            </m:den>
          </m:f>
        </m:oMath>
      </m:oMathPara>
    </w:p>
    <w:p>
      <w:pPr>
        <w:pStyle w:val="FirstParagraph"/>
      </w:pPr>
      <w:r>
        <w:t xml:space="preserve">In addition,</w:t>
      </w:r>
      <w:r>
        <w:t xml:space="preserve"> </w:t>
      </w:r>
      <m:oMath>
        <m:r>
          <m:t>τ</m:t>
        </m:r>
      </m:oMath>
      <w:r>
        <w:t xml:space="preserve"> </w:t>
      </w:r>
      <w:r>
        <w:t xml:space="preserve">can be understood as being the speed at which the system asymptotically approaches</w:t>
      </w:r>
      <w:r>
        <w:t xml:space="preserve"> </w:t>
      </w:r>
      <m:oMath>
        <m:r>
          <m:t>A</m:t>
        </m:r>
      </m:oMath>
      <w:r>
        <w:t xml:space="preserve">. If we return to the original equation</w:t>
      </w:r>
      <w:r>
        <w:t xml:space="preserve"> </w:t>
      </w: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w:r>
        <w:t xml:space="preserve">, we see that the equation can be seen as</w:t>
      </w:r>
      <w:r>
        <w:t xml:space="preserve"> </w:t>
      </w:r>
      <m:oMath>
        <m:f>
          <m:fPr>
            <m:type m:val="bar"/>
          </m:fPr>
          <m:num>
            <m:r>
              <m:t>d</m:t>
            </m:r>
            <m:r>
              <m:t>z</m:t>
            </m:r>
          </m:num>
          <m:den>
            <m:r>
              <m:t>d</m:t>
            </m:r>
            <m:r>
              <m:t>t</m:t>
            </m:r>
          </m:den>
        </m:f>
        <m:r>
          <m:rPr>
            <m:sty m:val="p"/>
          </m:rPr>
          <m:t>=</m:t>
        </m:r>
        <m:r>
          <m:t>N</m:t>
        </m:r>
        <m:r>
          <m:t>s</m:t>
        </m:r>
        <m:r>
          <m:rPr>
            <m:sty m:val="p"/>
          </m:rPr>
          <m:t>−</m:t>
        </m:r>
        <m:f>
          <m:fPr>
            <m:type m:val="bar"/>
          </m:fPr>
          <m:num>
            <m:r>
              <m:t>z</m:t>
            </m:r>
          </m:num>
          <m:den>
            <m:r>
              <m:t>τ</m:t>
            </m:r>
          </m:den>
        </m:f>
      </m:oMath>
      <w:r>
        <w:t xml:space="preserve"> </w:t>
      </w:r>
      <w:r>
        <w:t xml:space="preserve">meaning the rate of accumulation of the enzyme is negatively and linearly proportional to</w:t>
      </w:r>
      <w:r>
        <w:t xml:space="preserve"> </w:t>
      </w:r>
      <m:oMath>
        <m:r>
          <m:t>τ</m:t>
        </m:r>
      </m:oMath>
      <w:r>
        <w:t xml:space="preserve">, which is the probability (or proportion) of existing</w:t>
      </w:r>
      <w:r>
        <w:t xml:space="preserve"> </w:t>
      </w:r>
      <m:oMath>
        <m:r>
          <m:t>β</m:t>
        </m:r>
      </m:oMath>
      <w:r>
        <w:t xml:space="preserve">-gal that will be lose due to system’s flow rate. This can be seen in the final equation in the term of</w:t>
      </w:r>
      <w:r>
        <w:t xml:space="preserve"> </w:t>
      </w:r>
      <m:oMath>
        <m:sSup>
          <m:e>
            <m:r>
              <m:t>e</m:t>
            </m:r>
          </m:e>
          <m:sup>
            <m:r>
              <m:rPr>
                <m:sty m:val="p"/>
              </m:rPr>
              <m:t>−</m:t>
            </m:r>
            <m:f>
              <m:fPr>
                <m:type m:val="bar"/>
              </m:fPr>
              <m:num>
                <m:r>
                  <m:t>t</m:t>
                </m:r>
              </m:num>
              <m:den>
                <m:r>
                  <m:t>τ</m:t>
                </m:r>
              </m:den>
            </m:f>
          </m:sup>
        </m:sSup>
      </m:oMath>
      <w:r>
        <w:t xml:space="preserve"> </w:t>
      </w:r>
      <w:r>
        <w:t xml:space="preserve">which describes an exponential decay. In this case, the decaying factor is the growth of the rate of accumulation of</w:t>
      </w:r>
      <w:r>
        <w:t xml:space="preserve"> </w:t>
      </w:r>
      <m:oMath>
        <m:r>
          <m:t>β</m:t>
        </m:r>
      </m:oMath>
      <w:r>
        <w:t xml:space="preserve">-gal. As more enzyme accumulates in the system, it becomes more and more likely to be washed away by constant flow out of the system, hence would accumulate slower and slower, eventually reaching equilibrium.</w:t>
      </w:r>
    </w:p>
    <w:bookmarkEnd w:id="29"/>
    <w:bookmarkStart w:id="36" w:name="fitting-function-on-data-set-a"/>
    <w:p>
      <w:pPr>
        <w:pStyle w:val="Heading3"/>
      </w:pPr>
      <w:r>
        <w:t xml:space="preserve">Fitting function on Data set A</w:t>
      </w:r>
    </w:p>
    <w:p>
      <w:pPr>
        <w:pStyle w:val="FirstParagraph"/>
      </w:pPr>
      <w:r>
        <w:t xml:space="preserve">(questions A.1, A.2)</w:t>
      </w:r>
      <w:r>
        <w:br/>
      </w:r>
      <w:r>
        <w:t xml:space="preserve">From the derived equation A:</w:t>
      </w:r>
      <w:r>
        <w:t xml:space="preserve"> </w:t>
      </w: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w:r>
        <w:t xml:space="preserve">, we set the two parameters</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 </w:t>
      </w:r>
      <w:r>
        <w:t xml:space="preserve">so the equation is of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drawing>
          <wp:inline>
            <wp:extent cx="4620126" cy="3696101"/>
            <wp:effectExtent b="0" l="0" r="0" t="0"/>
            <wp:docPr descr="" title="" id="31" name="Picture"/>
            <a:graphic>
              <a:graphicData uri="http://schemas.openxmlformats.org/drawingml/2006/picture">
                <pic:pic>
                  <pic:nvPicPr>
                    <pic:cNvPr descr="bacterias_brain_files/figure-docx/a_q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bl>
    <w:p>
      <w:pPr>
        <w:pStyle w:val="BodyText"/>
      </w:pPr>
      <w:r>
        <w:t xml:space="preserve">With the coefficients calculated, the nonlinear fitting of A results in the function:</w:t>
      </w:r>
    </w:p>
    <w:p>
      <w:pPr>
        <w:pStyle w:val="BodyText"/>
      </w:pPr>
      <m:oMathPara>
        <m:oMathParaPr>
          <m:jc m:val="center"/>
        </m:oMathParaP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 A = 1.08 and</w:t>
      </w:r>
      <w:r>
        <w:t xml:space="preserve"> </w:t>
      </w:r>
      <w:r>
        <w:t xml:space="preserve">= 3.91 We observe that at</w:t>
      </w:r>
      <w:r>
        <w:t xml:space="preserve"> </w:t>
      </w:r>
      <m:oMath>
        <m:r>
          <m:t>t</m:t>
        </m:r>
        <m:r>
          <m:rPr>
            <m:sty m:val="p"/>
          </m:rPr>
          <m:t>=</m:t>
        </m:r>
        <m:r>
          <m:t>0</m:t>
        </m:r>
      </m:oMath>
      <w:r>
        <w:t xml:space="preserve">,</w:t>
      </w:r>
      <w:r>
        <w:t xml:space="preserve"> </w:t>
      </w:r>
      <m:oMath>
        <m:r>
          <m:t>z</m:t>
        </m:r>
        <m:d>
          <m:dPr>
            <m:begChr m:val="("/>
            <m:endChr m:val=")"/>
            <m:sepChr m:val=""/>
            <m:grow/>
          </m:dPr>
          <m:e>
            <m:r>
              <m:t>t</m:t>
            </m:r>
          </m:e>
        </m:d>
        <m:r>
          <m:rPr>
            <m:sty m:val="p"/>
          </m:rPr>
          <m:t>=</m:t>
        </m:r>
        <m:r>
          <m:t>0</m:t>
        </m:r>
      </m:oMath>
      <w:r>
        <w:t xml:space="preserve">, which is valid in its physical meaning, as there would be no</w:t>
      </w:r>
      <w:r>
        <w:t xml:space="preserve"> </w:t>
      </w:r>
      <m:oMath>
        <m:r>
          <m:t>β</m:t>
        </m:r>
      </m:oMath>
      <w:r>
        <w:t xml:space="preserve">-gal before any inducers are introduced. Hence, the data point</w:t>
      </w:r>
      <w:r>
        <w:t xml:space="preserve"> </w:t>
      </w:r>
      <m:oMath>
        <m:d>
          <m:dPr>
            <m:begChr m:val="("/>
            <m:endChr m:val=")"/>
            <m:sepChr m:val=""/>
            <m:grow/>
          </m:dPr>
          <m:e>
            <m:r>
              <m:t>0</m:t>
            </m:r>
            <m:r>
              <m:rPr>
                <m:sty m:val="p"/>
              </m:rPr>
              <m:t>,</m:t>
            </m:r>
            <m:r>
              <m:t>0</m:t>
            </m:r>
          </m:e>
        </m:d>
      </m:oMath>
      <w:r>
        <w:t xml:space="preserve"> </w:t>
      </w:r>
      <w:r>
        <w:t xml:space="preserve">is included into the data and the same model is fitted again. (questions A.3, A.4)</w:t>
      </w:r>
    </w:p>
    <w:p>
      <w:pPr>
        <w:pStyle w:val="BodyText"/>
      </w:pPr>
      <w:r>
        <w:drawing>
          <wp:inline>
            <wp:extent cx="4620126" cy="3696101"/>
            <wp:effectExtent b="0" l="0" r="0" t="0"/>
            <wp:docPr descr="" title="" id="34" name="Picture"/>
            <a:graphic>
              <a:graphicData uri="http://schemas.openxmlformats.org/drawingml/2006/picture">
                <pic:pic>
                  <pic:nvPicPr>
                    <pic:cNvPr descr="bacterias_brain_files/figure-docx/a_q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r>
        <w:tc>
          <w:tcPr/>
          <w:p>
            <w:pPr>
              <w:pStyle w:val="Compact"/>
              <w:jc w:val="left"/>
            </w:pPr>
            <w:r>
              <w:t xml:space="preserve">ampl1</w:t>
            </w:r>
          </w:p>
        </w:tc>
        <w:tc>
          <w:tcPr/>
          <w:p>
            <w:pPr>
              <w:pStyle w:val="Compact"/>
              <w:jc w:val="left"/>
            </w:pPr>
            <w:r>
              <w:t xml:space="preserve">with (0,0)</w:t>
            </w:r>
          </w:p>
        </w:tc>
        <w:tc>
          <w:tcPr/>
          <w:p>
            <w:pPr>
              <w:pStyle w:val="Compact"/>
              <w:jc w:val="right"/>
            </w:pPr>
            <w:r>
              <w:t xml:space="preserve">1.080</w:t>
            </w:r>
          </w:p>
        </w:tc>
      </w:tr>
      <w:tr>
        <w:tc>
          <w:tcPr/>
          <w:p>
            <w:pPr>
              <w:pStyle w:val="Compact"/>
              <w:jc w:val="left"/>
            </w:pPr>
            <w:r>
              <w:t xml:space="preserve">tau1</w:t>
            </w:r>
          </w:p>
        </w:tc>
        <w:tc>
          <w:tcPr/>
          <w:p>
            <w:pPr>
              <w:pStyle w:val="Compact"/>
              <w:jc w:val="left"/>
            </w:pPr>
            <w:r>
              <w:t xml:space="preserve">with (0,0)</w:t>
            </w:r>
          </w:p>
        </w:tc>
        <w:tc>
          <w:tcPr/>
          <w:p>
            <w:pPr>
              <w:pStyle w:val="Compact"/>
              <w:jc w:val="right"/>
            </w:pPr>
            <w:r>
              <w:t xml:space="preserve">3.908</w:t>
            </w:r>
          </w:p>
        </w:tc>
      </w:tr>
    </w:tbl>
    <w:p>
      <w:pPr>
        <w:pStyle w:val="BodyText"/>
      </w:pPr>
      <w:r>
        <w:t xml:space="preserve">We see that here the two fitting parameters are identical before and after</w:t>
      </w:r>
      <w:r>
        <w:t xml:space="preserve"> </w:t>
      </w:r>
      <m:oMath>
        <m:d>
          <m:dPr>
            <m:begChr m:val="("/>
            <m:endChr m:val=")"/>
            <m:sepChr m:val=""/>
            <m:grow/>
          </m:dPr>
          <m:e>
            <m:r>
              <m:t>0</m:t>
            </m:r>
            <m:r>
              <m:rPr>
                <m:sty m:val="p"/>
              </m:rPr>
              <m:t>,</m:t>
            </m:r>
            <m:r>
              <m:t>0</m:t>
            </m:r>
          </m:e>
        </m:d>
      </m:oMath>
      <w:r>
        <w:t xml:space="preserve"> </w:t>
      </w:r>
      <w:r>
        <w:t xml:space="preserve">is included. This is reasonable according to the theory since there would be no</w:t>
      </w:r>
      <w:r>
        <w:t xml:space="preserve"> </w:t>
      </w:r>
      <m:oMath>
        <m:r>
          <m:t>β</m:t>
        </m:r>
      </m:oMath>
      <w:r>
        <w:t xml:space="preserve">-gal production before any inducer is introduced. Mathematically,</w:t>
      </w:r>
      <w:r>
        <w:t xml:space="preserve"> </w:t>
      </w:r>
      <m:oMath>
        <m:r>
          <m:t>z</m:t>
        </m:r>
        <m:d>
          <m:dPr>
            <m:begChr m:val="("/>
            <m:endChr m:val=")"/>
            <m:sepChr m:val=""/>
            <m:grow/>
          </m:dPr>
          <m:e>
            <m:r>
              <m:t>0</m:t>
            </m:r>
          </m:e>
        </m:d>
        <m:r>
          <m:rPr>
            <m:sty m:val="p"/>
          </m:rPr>
          <m:t>=</m:t>
        </m:r>
        <m:r>
          <m:t>0</m:t>
        </m:r>
      </m:oMath>
      <w:r>
        <w:t xml:space="preserve">. The fitting returns a residual standard error of RSE = 0.0214; the mean standard error returns as MSE = 4.11</w:t>
      </w:r>
      <w:r>
        <w:t xml:space="preserve">^{-4}. The two measures of error are both quite small, hence we conclude that the model is a good fit for the data. (lab question 3)</w:t>
      </w:r>
    </w:p>
    <w:bookmarkEnd w:id="36"/>
    <w:bookmarkStart w:id="37" w:name="Xd426c6a4f74be58749c51545bf9f7dc4981f6b8"/>
    <w:p>
      <w:pPr>
        <w:pStyle w:val="Heading3"/>
      </w:pPr>
      <w:r>
        <w:t xml:space="preserve">Derivation B: Low concentration of Inducers</w:t>
      </w:r>
    </w:p>
    <w:p>
      <w:pPr>
        <w:pStyle w:val="FirstParagraph"/>
      </w:pPr>
      <w:r>
        <w:t xml:space="preserve">(questions B.6, B.7)</w:t>
      </w:r>
    </w:p>
    <w:p>
      <w:pPr>
        <w:pStyle w:val="BodyText"/>
      </w:pPr>
      <w:r>
        <w:t xml:space="preserve">For data set B, when the inducers are introduced at low concentration, only a fraction of bacteria is activated, with this fraction slowly growing. Hence we assume that</w:t>
      </w:r>
      <w:r>
        <w:t xml:space="preserve"> </w:t>
      </w:r>
      <m:oMath>
        <m:r>
          <m:t>S</m:t>
        </m:r>
      </m:oMath>
      <w:r>
        <w:t xml:space="preserve"> </w:t>
      </w:r>
      <w:r>
        <w:t xml:space="preserve">is a linear function of</w:t>
      </w:r>
      <w:r>
        <w:t xml:space="preserve"> </w:t>
      </w:r>
      <m:oMath>
        <m:acc>
          <m:accPr>
            <m:chr m:val="̃"/>
          </m:accPr>
          <m:e>
            <m:r>
              <m:t>t</m:t>
            </m:r>
          </m:e>
        </m:acc>
      </m:oMath>
      <w:r>
        <w:t xml:space="preserve"> </w:t>
      </w:r>
      <w:r>
        <w:t xml:space="preserve">with</w:t>
      </w:r>
      <w:r>
        <w:t xml:space="preserve"> </w:t>
      </w:r>
      <m:oMath>
        <m:r>
          <m:t>S</m:t>
        </m:r>
        <m:d>
          <m:dPr>
            <m:begChr m:val="("/>
            <m:endChr m:val=")"/>
            <m:sepChr m:val=""/>
            <m:grow/>
          </m:dPr>
          <m:e>
            <m:acc>
              <m:accPr>
                <m:chr m:val="̃"/>
              </m:accPr>
              <m:e>
                <m:r>
                  <m:t>t</m:t>
                </m:r>
              </m:e>
            </m:acc>
          </m:e>
        </m:d>
        <m:r>
          <m:rPr>
            <m:sty m:val="p"/>
          </m:rPr>
          <m:t>=</m:t>
        </m:r>
        <m:r>
          <m:t>α</m:t>
        </m:r>
        <m:acc>
          <m:accPr>
            <m:chr m:val="̃"/>
          </m:accPr>
          <m:e>
            <m:r>
              <m:t>t</m:t>
            </m:r>
          </m:e>
        </m:acc>
      </m:oMath>
      <w:r>
        <w:t xml:space="preserve"> </w:t>
      </w:r>
      <w:r>
        <w:t xml:space="preserve">and</w:t>
      </w:r>
      <w:r>
        <w:t xml:space="preserve"> </w:t>
      </w:r>
      <w:r>
        <w:t xml:space="preserve">being the rate at which activation</w:t>
      </w:r>
      <w:r>
        <w:t xml:space="preserve"> </w:t>
      </w:r>
      <w:r>
        <w:t xml:space="preserve">“</w:t>
      </w:r>
      <w:r>
        <w:t xml:space="preserve">spreads</w:t>
      </w:r>
      <w:r>
        <w:t xml:space="preserve">”</w:t>
      </w:r>
      <w:r>
        <w:t xml:space="preserve"> </w:t>
      </w:r>
      <w:r>
        <w:t xml:space="preserve">through the population.</w:t>
      </w:r>
      <w:r>
        <w:t xml:space="preserve"> </w:t>
      </w:r>
      <w:r>
        <w:t xml:space="preserve">Hence we again start with the equation:</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However, we substitute</w:t>
      </w:r>
      <w:r>
        <w:t xml:space="preserve"> </w:t>
      </w:r>
      <m:oMath>
        <m:r>
          <m:t>S</m:t>
        </m:r>
      </m:oMath>
      <w:r>
        <w:t xml:space="preserve"> </w:t>
      </w:r>
      <w:r>
        <w:t xml:space="preserve">as a function of t</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α</m:t>
              </m:r>
            </m:num>
            <m:den>
              <m:r>
                <m:t>Q</m:t>
              </m:r>
            </m:den>
          </m:f>
          <m:acc>
            <m:accPr>
              <m:chr m:val="̃"/>
            </m:accPr>
            <m:e>
              <m:r>
                <m:t>t</m:t>
              </m:r>
            </m:e>
          </m:acc>
          <m:r>
            <m:rPr>
              <m:sty m:val="p"/>
            </m:rPr>
            <m:t>−</m:t>
          </m:r>
          <m:r>
            <m:t>z</m:t>
          </m:r>
        </m:oMath>
      </m:oMathPara>
    </w:p>
    <w:p>
      <w:pPr>
        <w:pStyle w:val="FirstParagraph"/>
      </w:pPr>
      <w:r>
        <w:t xml:space="preserve">Again using a dimensionless substitution, this time for</w:t>
      </w:r>
      <w:r>
        <w:t xml:space="preserve"> </w:t>
      </w:r>
      <m:oMath>
        <m:r>
          <m:t>z</m:t>
        </m:r>
      </m:oMath>
      <w:r>
        <w:t xml:space="preserve"> </w:t>
      </w:r>
      <w:r>
        <w:t xml:space="preserve">as</w:t>
      </w:r>
      <w:r>
        <w:t xml:space="preserve"> </w:t>
      </w:r>
      <m:oMath>
        <m:r>
          <m:t>z</m:t>
        </m:r>
        <m:r>
          <m:rPr>
            <m:sty m:val="p"/>
          </m:rPr>
          <m:t>=</m:t>
        </m:r>
        <m:f>
          <m:fPr>
            <m:type m:val="bar"/>
          </m:fPr>
          <m:num>
            <m:r>
              <m:t>V</m:t>
            </m:r>
            <m:r>
              <m:t>N</m:t>
            </m:r>
            <m:r>
              <m:t>α</m:t>
            </m:r>
          </m:num>
          <m:den>
            <m:r>
              <m:t>Q</m:t>
            </m:r>
          </m:den>
        </m:f>
        <m:acc>
          <m:accPr>
            <m:chr m:val="̃"/>
          </m:accPr>
          <m:e>
            <m:r>
              <m:t>z</m:t>
            </m:r>
          </m:e>
        </m:acc>
      </m:oMath>
      <w:r>
        <w:t xml:space="preserve"> </w:t>
      </w:r>
      <w:r>
        <w:t xml:space="preserve">We arrive at</w:t>
      </w:r>
    </w:p>
    <w:p>
      <w:pPr>
        <w:pStyle w:val="BodyText"/>
      </w:pPr>
      <m:oMathPara>
        <m:oMathParaPr>
          <m:jc m:val="center"/>
        </m:oMathParaPr>
        <m:oMath>
          <m:f>
            <m:fPr>
              <m:type m:val="bar"/>
            </m:fPr>
            <m:num>
              <m:r>
                <m:t>d</m:t>
              </m:r>
              <m:acc>
                <m:accPr>
                  <m:chr m:val="̃"/>
                </m:accPr>
                <m:e>
                  <m:r>
                    <m:t>z</m:t>
                  </m:r>
                </m:e>
              </m:acc>
            </m:num>
            <m:den>
              <m:r>
                <m:t>d</m:t>
              </m:r>
              <m:acc>
                <m:accPr>
                  <m:chr m:val="̃"/>
                </m:accPr>
                <m:e>
                  <m:r>
                    <m:t>t</m:t>
                  </m:r>
                </m:e>
              </m:acc>
            </m:den>
          </m:f>
          <m:r>
            <m:rPr>
              <m:sty m:val="p"/>
            </m:rPr>
            <m:t>=</m:t>
          </m:r>
          <m:acc>
            <m:accPr>
              <m:chr m:val="̃"/>
            </m:accPr>
            <m:e>
              <m:r>
                <m:t>t</m:t>
              </m:r>
            </m:e>
          </m:acc>
          <m:r>
            <m:rPr>
              <m:sty m:val="p"/>
            </m:rPr>
            <m:t>−</m:t>
          </m:r>
          <m:acc>
            <m:accPr>
              <m:chr m:val="̃"/>
            </m:accPr>
            <m:e>
              <m:r>
                <m:t>z</m:t>
              </m:r>
            </m:e>
          </m:acc>
        </m:oMath>
      </m:oMathPara>
    </w:p>
    <w:p>
      <w:pPr>
        <w:pStyle w:val="FirstParagraph"/>
      </w:pPr>
      <w:r>
        <w:t xml:space="preserve">Which we can rearrange in the form of</w:t>
      </w:r>
    </w:p>
    <w:p>
      <w:pPr>
        <w:pStyle w:val="BodyText"/>
      </w:pPr>
      <m:oMathPara>
        <m:oMathParaPr>
          <m:jc m:val="center"/>
        </m:oMathParaPr>
        <m:oMath>
          <m:acc>
            <m:accPr>
              <m:chr m:val="̃"/>
            </m:accPr>
            <m:e>
              <m:r>
                <m:t>z</m:t>
              </m:r>
            </m:e>
          </m:acc>
          <m:r>
            <m:rPr>
              <m:sty m:val="p"/>
            </m:rPr>
            <m:t>′</m:t>
          </m:r>
          <m:r>
            <m:rPr>
              <m:sty m:val="p"/>
            </m:rPr>
            <m:t>+</m:t>
          </m:r>
          <m:acc>
            <m:accPr>
              <m:chr m:val="̃"/>
            </m:accPr>
            <m:e>
              <m:r>
                <m:t>z</m:t>
              </m:r>
            </m:e>
          </m:acc>
          <m:r>
            <m:rPr>
              <m:sty m:val="p"/>
            </m:rPr>
            <m:t>=</m:t>
          </m:r>
          <m:acc>
            <m:accPr>
              <m:chr m:val="̃"/>
            </m:accPr>
            <m:e>
              <m:r>
                <m:t>t</m:t>
              </m:r>
            </m:e>
          </m:acc>
        </m:oMath>
      </m:oMathPara>
    </w:p>
    <w:p>
      <w:pPr>
        <w:pStyle w:val="FirstParagraph"/>
      </w:pPr>
      <w:r>
        <w:t xml:space="preserve">Which we can use an integration factor of</w:t>
      </w:r>
      <w:r>
        <w:t xml:space="preserve"> </w:t>
      </w:r>
      <m:oMath>
        <m:r>
          <m:t>r</m:t>
        </m:r>
        <m:d>
          <m:dPr>
            <m:begChr m:val="("/>
            <m:endChr m:val=")"/>
            <m:sepChr m:val=""/>
            <m:grow/>
          </m:dPr>
          <m:e>
            <m:r>
              <m:t>t</m:t>
            </m:r>
          </m:e>
        </m:d>
        <m:r>
          <m:rPr>
            <m:sty m:val="p"/>
          </m:rPr>
          <m:t>=</m:t>
        </m:r>
        <m:sSup>
          <m:e>
            <m:r>
              <m:t>e</m:t>
            </m:r>
          </m:e>
          <m:sup>
            <m:r>
              <m:rPr>
                <m:sty m:val="p"/>
              </m:rPr>
              <m:t>∫</m:t>
            </m:r>
            <m:r>
              <m:t>d</m:t>
            </m:r>
            <m:r>
              <m:t>t</m:t>
            </m:r>
          </m:sup>
        </m:sSup>
        <m:r>
          <m:rPr>
            <m:sty m:val="p"/>
          </m:rPr>
          <m:t>=</m:t>
        </m:r>
        <m:sSup>
          <m:e>
            <m:r>
              <m:t>e</m:t>
            </m:r>
          </m:e>
          <m:sup>
            <m:acc>
              <m:accPr>
                <m:chr m:val="̃"/>
              </m:accPr>
              <m:e>
                <m:r>
                  <m:t>t</m:t>
                </m:r>
              </m:e>
            </m:acc>
          </m:sup>
        </m:sSup>
      </m:oMath>
      <w:r>
        <w:t xml:space="preserve"> </w:t>
      </w:r>
      <w:r>
        <w:t xml:space="preserve">which we can multiply both sides of the equation and integrate:</w:t>
      </w:r>
    </w:p>
    <w:p>
      <w:pPr>
        <w:pStyle w:val="BodyText"/>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z</m:t>
              </m:r>
            </m:e>
          </m:acc>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f>
            <m:fPr>
              <m:type m:val="bar"/>
            </m:fPr>
            <m:num>
              <m:r>
                <m:t>d</m:t>
              </m:r>
            </m:num>
            <m:den>
              <m:r>
                <m:t>d</m:t>
              </m:r>
              <m:r>
                <m:t>t</m:t>
              </m:r>
            </m:den>
          </m:f>
          <m:d>
            <m:dPr>
              <m:begChr m:val="["/>
              <m:endChr m:val="]"/>
              <m:sepChr m:val=""/>
              <m:grow/>
            </m:dPr>
            <m:e>
              <m:sSup>
                <m:e>
                  <m:r>
                    <m:t>e</m:t>
                  </m:r>
                </m:e>
                <m:sup>
                  <m:r>
                    <m:rPr>
                      <m:sty m:val="p"/>
                    </m:rPr>
                    <m:t>∫</m:t>
                  </m:r>
                  <m:r>
                    <m:t>d</m:t>
                  </m:r>
                  <m:r>
                    <m:t>t</m:t>
                  </m:r>
                </m:sup>
              </m:sSup>
              <m:acc>
                <m:accPr>
                  <m:chr m:val="̃"/>
                </m:accPr>
                <m:e>
                  <m:r>
                    <m:t>z</m:t>
                  </m:r>
                </m:e>
              </m:acc>
            </m:e>
          </m:d>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t</m:t>
              </m:r>
            </m:e>
          </m:acc>
          <m:r>
            <m:rPr>
              <m:sty m:val="p"/>
            </m:rPr>
            <m:t>+</m:t>
          </m:r>
          <m:r>
            <m:t>C</m:t>
          </m:r>
        </m:oMath>
      </m:oMathPara>
    </w:p>
    <w:p>
      <w:pPr>
        <w:pStyle w:val="FirstParagraph"/>
      </w:pPr>
      <m:oMathPara>
        <m:oMathParaPr>
          <m:jc m:val="center"/>
        </m:oMathParaPr>
        <m:oMath>
          <m:sSup>
            <m:e>
              <m:r>
                <m:t>e</m:t>
              </m:r>
            </m:e>
            <m:sup>
              <m:acc>
                <m:accPr>
                  <m:chr m:val="̃"/>
                </m:accPr>
                <m:e>
                  <m:r>
                    <m:t>t</m:t>
                  </m:r>
                </m:e>
              </m:acc>
            </m:sup>
          </m:sSup>
          <m:acc>
            <m:accPr>
              <m:chr m:val="̃"/>
            </m:accPr>
            <m:e>
              <m:r>
                <m:t>z</m:t>
              </m:r>
            </m:e>
          </m:acc>
          <m:r>
            <m:rPr>
              <m:sty m:val="p"/>
            </m:rPr>
            <m:t>=</m:t>
          </m:r>
          <m:sSup>
            <m:e>
              <m:r>
                <m:t>e</m:t>
              </m:r>
            </m:e>
            <m:sup>
              <m:acc>
                <m:accPr>
                  <m:chr m:val="̃"/>
                </m:accPr>
                <m:e>
                  <m:r>
                    <m:t>t</m:t>
                  </m:r>
                </m:e>
              </m:acc>
            </m:sup>
          </m:sSup>
          <m:d>
            <m:dPr>
              <m:begChr m:val="("/>
              <m:endChr m:val=")"/>
              <m:sepChr m:val=""/>
              <m:grow/>
            </m:dPr>
            <m:e>
              <m:acc>
                <m:accPr>
                  <m:chr m:val="̃"/>
                </m:accPr>
                <m:e>
                  <m:r>
                    <m:t>t</m:t>
                  </m:r>
                </m:e>
              </m:acc>
              <m:r>
                <m:rPr>
                  <m:sty m:val="p"/>
                </m:rPr>
                <m:t>−</m:t>
              </m:r>
              <m:r>
                <m:t>1</m:t>
              </m:r>
            </m:e>
          </m:d>
          <m:r>
            <m:rPr>
              <m:sty m:val="p"/>
            </m:rPr>
            <m:t>+</m:t>
          </m:r>
          <m:r>
            <m:t>C</m:t>
          </m:r>
        </m:oMath>
      </m:oMathPara>
    </w:p>
    <w:p>
      <w:pPr>
        <w:pStyle w:val="FirstParagraph"/>
      </w:pPr>
      <m:oMathPara>
        <m:oMathParaPr>
          <m:jc m:val="center"/>
        </m:oMathParaPr>
        <m:oMath>
          <m:acc>
            <m:accPr>
              <m:chr m:val="̃"/>
            </m:accPr>
            <m:e>
              <m:r>
                <m:t>z</m:t>
              </m:r>
            </m:e>
          </m:acc>
          <m:r>
            <m:rPr>
              <m:sty m:val="p"/>
            </m:rPr>
            <m:t>=</m:t>
          </m:r>
          <m:acc>
            <m:accPr>
              <m:chr m:val="̃"/>
            </m:accPr>
            <m:e>
              <m:r>
                <m:t>t</m:t>
              </m:r>
            </m:e>
          </m:acc>
          <m:r>
            <m:rPr>
              <m:sty m:val="p"/>
            </m:rPr>
            <m:t>−</m:t>
          </m:r>
          <m:r>
            <m:t>1</m:t>
          </m:r>
          <m:r>
            <m:rPr>
              <m:sty m:val="p"/>
            </m:rPr>
            <m:t>+</m:t>
          </m:r>
          <m:r>
            <m:t>C</m:t>
          </m:r>
          <m:sSup>
            <m:e>
              <m:r>
                <m:t>e</m:t>
              </m:r>
            </m:e>
            <m:sup>
              <m:r>
                <m:rPr>
                  <m:sty m:val="p"/>
                </m:rPr>
                <m:t>−</m:t>
              </m:r>
              <m:acc>
                <m:accPr>
                  <m:chr m:val="̃"/>
                </m:accPr>
                <m:e>
                  <m:r>
                    <m:t>t</m:t>
                  </m:r>
                </m:e>
              </m:acc>
            </m:sup>
          </m:sSup>
        </m:oMath>
      </m:oMathPara>
    </w:p>
    <w:p>
      <w:pPr>
        <w:pStyle w:val="FirstParagraph"/>
      </w:pPr>
      <w:r>
        <w:t xml:space="preserve">In order to fit the initial condition of</w:t>
      </w:r>
      <w:r>
        <w:t xml:space="preserve"> </w:t>
      </w:r>
      <m:oMath>
        <m:r>
          <m:t>z</m:t>
        </m:r>
        <m:d>
          <m:dPr>
            <m:begChr m:val="("/>
            <m:endChr m:val=")"/>
            <m:sepChr m:val=""/>
            <m:grow/>
          </m:dPr>
          <m:e>
            <m:r>
              <m:t>0</m:t>
            </m:r>
          </m:e>
        </m:d>
        <m:r>
          <m:rPr>
            <m:sty m:val="p"/>
          </m:rPr>
          <m:t>=</m:t>
        </m:r>
        <m:r>
          <m:t>0</m:t>
        </m:r>
      </m:oMath>
      <w:r>
        <w:t xml:space="preserve">, we adjust the free constant</w:t>
      </w:r>
      <w:r>
        <w:t xml:space="preserve"> </w:t>
      </w:r>
      <m:oMath>
        <m:r>
          <m:t>C</m:t>
        </m:r>
        <m:r>
          <m:rPr>
            <m:sty m:val="p"/>
          </m:rPr>
          <m:t>=</m:t>
        </m:r>
        <m:r>
          <m:t>1</m:t>
        </m:r>
      </m:oMath>
      <w:r>
        <w:t xml:space="preserve"> </w:t>
      </w:r>
      <w:r>
        <w:t xml:space="preserve">to satisfy this initial condition, resulting in:</w:t>
      </w:r>
    </w:p>
    <w:p>
      <w:pPr>
        <w:pStyle w:val="BodyText"/>
      </w:pPr>
      <m:oMathPara>
        <m:oMathParaPr>
          <m:jc m:val="center"/>
        </m:oMathParaPr>
        <m:oMath>
          <m:acc>
            <m:accPr>
              <m:chr m:val="̃"/>
            </m:accPr>
            <m:e>
              <m:r>
                <m:t>z</m:t>
              </m:r>
            </m:e>
          </m:acc>
          <m:r>
            <m:rPr>
              <m:sty m:val="p"/>
            </m:rPr>
            <m:t>=</m:t>
          </m:r>
          <m:r>
            <m:rPr>
              <m:sty m:val="p"/>
            </m:rPr>
            <m:t>−</m:t>
          </m:r>
          <m:r>
            <m:t>1</m:t>
          </m:r>
          <m:r>
            <m:rPr>
              <m:sty m:val="p"/>
            </m:rPr>
            <m:t>+</m:t>
          </m:r>
          <m:acc>
            <m:accPr>
              <m:chr m:val="̃"/>
            </m:accPr>
            <m:e>
              <m:r>
                <m:t>t</m:t>
              </m:r>
            </m:e>
          </m:acc>
          <m:r>
            <m:rPr>
              <m:sty m:val="p"/>
            </m:rPr>
            <m:t>+</m:t>
          </m:r>
          <m:sSup>
            <m:e>
              <m:r>
                <m:t>e</m:t>
              </m:r>
            </m:e>
            <m:sup>
              <m:r>
                <m:rPr>
                  <m:sty m:val="p"/>
                </m:rPr>
                <m:t>−</m:t>
              </m:r>
              <m:acc>
                <m:accPr>
                  <m:chr m:val="̃"/>
                </m:accPr>
                <m:e>
                  <m:r>
                    <m:t>t</m:t>
                  </m:r>
                </m:e>
              </m:acc>
            </m:sup>
          </m:sSup>
        </m:oMath>
      </m:oMathPara>
    </w:p>
    <w:p>
      <w:pPr>
        <w:pStyle w:val="FirstParagraph"/>
      </w:pPr>
      <w:r>
        <w:t xml:space="preserve">Now we replace</w:t>
      </w:r>
      <w:r>
        <w:t xml:space="preserve"> </w:t>
      </w:r>
      <m:oMath>
        <m:acc>
          <m:accPr>
            <m:chr m:val="̃"/>
          </m:accPr>
          <m:e>
            <m:r>
              <m:t>t</m:t>
            </m:r>
          </m:e>
        </m:acc>
      </m:oMath>
      <w:r>
        <w:t xml:space="preserve"> </w:t>
      </w:r>
      <w:r>
        <w:t xml:space="preserve">and</w:t>
      </w:r>
      <w:r>
        <w:t xml:space="preserve"> </w:t>
      </w:r>
      <m:oMath>
        <m:acc>
          <m:accPr>
            <m:chr m:val="̃"/>
          </m:accPr>
          <m:e>
            <m:r>
              <m:t>z</m:t>
            </m:r>
          </m:e>
        </m:acc>
      </m:oMath>
      <w:r>
        <w:t xml:space="preserve"> </w:t>
      </w:r>
      <w:r>
        <w:t xml:space="preserve">with their physical counterparts:</w:t>
      </w:r>
    </w:p>
    <w:p>
      <w:pPr>
        <w:pStyle w:val="BodyText"/>
      </w:pPr>
      <m:oMathPara>
        <m:oMathParaPr>
          <m:jc m:val="center"/>
        </m:oMathParaPr>
        <m:oMath>
          <m:r>
            <m:t>z</m:t>
          </m:r>
          <m:r>
            <m:rPr>
              <m:sty m:val="p"/>
            </m:rPr>
            <m:t>=</m:t>
          </m:r>
          <m:f>
            <m:fPr>
              <m:type m:val="bar"/>
            </m:fPr>
            <m:num>
              <m:r>
                <m:t>Q</m:t>
              </m:r>
            </m:num>
            <m:den>
              <m:r>
                <m:t>V</m:t>
              </m:r>
              <m:r>
                <m:t>N</m:t>
              </m:r>
              <m:r>
                <m:t>α</m:t>
              </m:r>
            </m:den>
          </m:f>
          <m:d>
            <m:dPr>
              <m:begChr m:val="("/>
              <m:endChr m:val=")"/>
              <m:sepChr m:val=""/>
              <m:grow/>
            </m:dPr>
            <m:e>
              <m:r>
                <m:rPr>
                  <m:sty m:val="p"/>
                </m:rPr>
                <m:t>−</m:t>
              </m:r>
              <m:r>
                <m:t>1</m:t>
              </m:r>
              <m:r>
                <m:rPr>
                  <m:sty m:val="p"/>
                </m:rPr>
                <m:t>+</m:t>
              </m:r>
              <m:f>
                <m:fPr>
                  <m:type m:val="bar"/>
                </m:fPr>
                <m:num>
                  <m:r>
                    <m:t>Q</m:t>
                  </m:r>
                </m:num>
                <m:den>
                  <m:r>
                    <m:t>V</m:t>
                  </m:r>
                </m:den>
              </m:f>
              <m:r>
                <m:t>t</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r>
        <w:t xml:space="preserve"> </w:t>
      </w:r>
      <m:oMath>
        <m:r>
          <m:t>z</m:t>
        </m:r>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w:r>
        <w:t xml:space="preserve"> </w:t>
      </w:r>
      <w:r>
        <w:t xml:space="preserve">with</w:t>
      </w:r>
      <w:r>
        <w:t xml:space="preserve"> </w:t>
      </w:r>
      <m:oMath>
        <m:r>
          <m:t>B</m:t>
        </m:r>
        <m:r>
          <m:rPr>
            <m:sty m:val="p"/>
          </m:rPr>
          <m:t>=</m:t>
        </m:r>
        <m:f>
          <m:fPr>
            <m:type m:val="bar"/>
          </m:fPr>
          <m:num>
            <m:r>
              <m:t>Q</m:t>
            </m:r>
          </m:num>
          <m:den>
            <m:r>
              <m:t>V</m:t>
            </m:r>
            <m:r>
              <m:t>N</m:t>
            </m:r>
            <m:r>
              <m:t>α</m:t>
            </m:r>
          </m:den>
        </m:f>
      </m:oMath>
      <w:r>
        <w:t xml:space="preserve"> </w:t>
      </w:r>
      <w:r>
        <w:t xml:space="preserve">and</w:t>
      </w:r>
      <w:r>
        <w:t xml:space="preserve"> </w:t>
      </w:r>
      <m:oMath>
        <m:r>
          <m:t>τ</m:t>
        </m:r>
        <m:r>
          <m:rPr>
            <m:sty m:val="p"/>
          </m:rPr>
          <m:t>=</m:t>
        </m:r>
        <m:f>
          <m:fPr>
            <m:type m:val="bar"/>
          </m:fPr>
          <m:num>
            <m:r>
              <m:t>V</m:t>
            </m:r>
          </m:num>
          <m:den>
            <m:r>
              <m:t>Q</m:t>
            </m:r>
          </m:den>
        </m:f>
      </m:oMath>
      <w:r>
        <w:t xml:space="preserve">.</w:t>
      </w:r>
    </w:p>
    <w:bookmarkEnd w:id="37"/>
    <w:bookmarkStart w:id="50" w:name="fitting-function-on-data-set-b"/>
    <w:p>
      <w:pPr>
        <w:pStyle w:val="Heading3"/>
      </w:pPr>
      <w:r>
        <w:t xml:space="preserve">Fitting function on Data set B</w:t>
      </w:r>
    </w:p>
    <w:bookmarkStart w:id="41" w:name="linear-function"/>
    <w:p>
      <w:pPr>
        <w:pStyle w:val="Heading4"/>
      </w:pPr>
      <w:r>
        <w:t xml:space="preserve">1. Linear Function</w:t>
      </w:r>
    </w:p>
    <w:p>
      <w:pPr>
        <w:pStyle w:val="FirstParagraph"/>
      </w:pPr>
      <w:r>
        <w:t xml:space="preserve">First we start by fitting a straight line over the range</w:t>
      </w:r>
      <w:r>
        <w:t xml:space="preserve"> </w:t>
      </w:r>
      <m:oMath>
        <m:r>
          <m:t>10</m:t>
        </m:r>
        <m:r>
          <m:rPr>
            <m:sty m:val="p"/>
          </m:rPr>
          <m:t>≤</m:t>
        </m:r>
        <m:r>
          <m:t>t</m:t>
        </m:r>
        <m:r>
          <m:rPr>
            <m:sty m:val="p"/>
          </m:rPr>
          <m:t>≤</m:t>
        </m:r>
        <m:r>
          <m:t>15</m:t>
        </m:r>
      </m:oMath>
    </w:p>
    <w:p>
      <w:pPr>
        <w:pStyle w:val="BodyText"/>
      </w:pPr>
      <w:r>
        <w:drawing>
          <wp:inline>
            <wp:extent cx="4620126" cy="3696101"/>
            <wp:effectExtent b="0" l="0" r="0" t="0"/>
            <wp:docPr descr="" title="" id="39" name="Picture"/>
            <a:graphic>
              <a:graphicData uri="http://schemas.openxmlformats.org/drawingml/2006/picture">
                <pic:pic>
                  <pic:nvPicPr>
                    <pic:cNvPr descr="bacterias_brain_files/figure-docx/b_q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coefficient</w:t>
            </w:r>
          </w:p>
        </w:tc>
        <w:tc>
          <w:tcPr/>
          <w:p>
            <w:pPr>
              <w:pStyle w:val="Compact"/>
              <w:jc w:val="right"/>
            </w:pPr>
            <w:r>
              <w:t xml:space="preserve">value</w:t>
            </w:r>
          </w:p>
        </w:tc>
      </w:tr>
      <w:tr>
        <w:tc>
          <w:tcPr/>
          <w:p>
            <w:pPr>
              <w:pStyle w:val="Compact"/>
              <w:jc w:val="left"/>
            </w:pPr>
            <w:r>
              <w:t xml:space="preserve">(Intercept)</w:t>
            </w:r>
          </w:p>
        </w:tc>
        <w:tc>
          <w:tcPr/>
          <w:p>
            <w:pPr>
              <w:pStyle w:val="Compact"/>
              <w:jc w:val="left"/>
            </w:pPr>
            <w:r>
              <w:t xml:space="preserve">Intercept</w:t>
            </w:r>
          </w:p>
        </w:tc>
        <w:tc>
          <w:tcPr/>
          <w:p>
            <w:pPr>
              <w:pStyle w:val="Compact"/>
              <w:jc w:val="right"/>
            </w:pPr>
            <w:r>
              <w:t xml:space="preserve">-0.0947</w:t>
            </w:r>
          </w:p>
        </w:tc>
      </w:tr>
      <w:tr>
        <w:tc>
          <w:tcPr/>
          <w:p>
            <w:pPr>
              <w:pStyle w:val="Compact"/>
              <w:jc w:val="left"/>
            </w:pPr>
            <w:r>
              <w:t xml:space="preserve">b_q2$t</w:t>
            </w:r>
          </w:p>
        </w:tc>
        <w:tc>
          <w:tcPr/>
          <w:p>
            <w:pPr>
              <w:pStyle w:val="Compact"/>
              <w:jc w:val="left"/>
            </w:pPr>
            <w:r>
              <w:t xml:space="preserve">Slope</w:t>
            </w:r>
          </w:p>
        </w:tc>
        <w:tc>
          <w:tcPr/>
          <w:p>
            <w:pPr>
              <w:pStyle w:val="Compact"/>
              <w:jc w:val="right"/>
            </w:pPr>
            <w:r>
              <w:t xml:space="preserve">0.0209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MSE</w:t>
            </w:r>
          </w:p>
        </w:tc>
        <w:tc>
          <w:tcPr/>
          <w:p>
            <w:pPr>
              <w:pStyle w:val="Compact"/>
              <w:jc w:val="left"/>
            </w:pPr>
            <w:r>
              <w:t xml:space="preserve">data</w:t>
            </w:r>
          </w:p>
        </w:tc>
      </w:tr>
      <w:tr>
        <w:tc>
          <w:tcPr/>
          <w:p>
            <w:pPr>
              <w:pStyle w:val="Compact"/>
              <w:jc w:val="right"/>
            </w:pPr>
            <w:r>
              <w:t xml:space="preserve">2.72e-05</w:t>
            </w:r>
          </w:p>
        </w:tc>
        <w:tc>
          <w:tcPr/>
          <w:p>
            <w:pPr>
              <w:pStyle w:val="Compact"/>
              <w:jc w:val="left"/>
            </w:pPr>
            <w:r>
              <w:t xml:space="preserve">10&lt;= t &lt;= 15</w:t>
            </w:r>
          </w:p>
        </w:tc>
      </w:tr>
      <w:tr>
        <w:tc>
          <w:tcPr/>
          <w:p>
            <w:pPr>
              <w:pStyle w:val="Compact"/>
              <w:jc w:val="right"/>
            </w:pPr>
            <w:r>
              <w:t xml:space="preserve">1.76e-02</w:t>
            </w:r>
          </w:p>
        </w:tc>
        <w:tc>
          <w:tcPr/>
          <w:p>
            <w:pPr>
              <w:pStyle w:val="Compact"/>
              <w:jc w:val="left"/>
            </w:pPr>
            <w:r>
              <w:t xml:space="preserve">entire dataset</w:t>
            </w:r>
          </w:p>
        </w:tc>
      </w:tr>
    </w:tbl>
    <w:p>
      <w:pPr>
        <w:pStyle w:val="BodyText"/>
      </w:pPr>
      <w:r>
        <w:t xml:space="preserve">As shown in figure 4, the straight line (in red) is fitted over the data between 10 and 15 hours, over which the line fits quite well. the Mean Standard Error (MSE) for the model is much smaller within the range of $ 10</w:t>
      </w:r>
      <w:r>
        <w:t xml:space="preserve">t</w:t>
      </w:r>
      <w:r>
        <w:t xml:space="preserve"> </w:t>
      </w:r>
      <w:r>
        <w:t xml:space="preserve">$ with a MSE of 2.72</w:t>
      </w:r>
      <w:r>
        <w:t xml:space="preserve">^{-5}, but not well over the entire data set with a MSE of 0.0176. Near the low end of t,</w:t>
      </w:r>
    </w:p>
    <w:bookmarkEnd w:id="41"/>
    <w:bookmarkStart w:id="45" w:name="nonlinear-function-from-data-set-a"/>
    <w:p>
      <w:pPr>
        <w:pStyle w:val="Heading4"/>
      </w:pPr>
      <w:r>
        <w:t xml:space="preserve">2. Nonlinear Function from Data Set A</w:t>
      </w:r>
    </w:p>
    <w:p>
      <w:pPr>
        <w:pStyle w:val="FirstParagraph"/>
      </w:pPr>
      <w:r>
        <w:drawing>
          <wp:inline>
            <wp:extent cx="4620126" cy="3696101"/>
            <wp:effectExtent b="0" l="0" r="0" t="0"/>
            <wp:docPr descr="" title="" id="43" name="Picture"/>
            <a:graphic>
              <a:graphicData uri="http://schemas.openxmlformats.org/drawingml/2006/picture">
                <pic:pic>
                  <pic:nvPicPr>
                    <pic:cNvPr descr="bacterias_brain_files/figure-docx/b_q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attempting to fit data set A’s function</w:t>
      </w:r>
      <w:r>
        <w:t xml:space="preserve"> </w:t>
      </w: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w:r>
        <w:t xml:space="preserve"> </w:t>
      </w:r>
      <w:r>
        <w:t xml:space="preserve">over data set B, we realize that it is impossible to fit. If we were to fit the function around the range</w:t>
      </w:r>
      <w:r>
        <w:t xml:space="preserve"> </w:t>
      </w:r>
      <m:oMath>
        <m:r>
          <m:t>t</m:t>
        </m:r>
        <m:r>
          <m:rPr>
            <m:sty m:val="p"/>
          </m:rPr>
          <m:t>≤</m:t>
        </m:r>
        <m:r>
          <m:t>15</m:t>
        </m:r>
      </m:oMath>
      <w:r>
        <w:t xml:space="preserve">, the data point would inevitably exceed the value for</w:t>
      </w:r>
      <w:r>
        <w:t xml:space="preserve"> </w:t>
      </w:r>
      <m:oMath>
        <m:r>
          <m:t>A</m:t>
        </m:r>
      </m:oMath>
      <w:r>
        <w:t xml:space="preserve">, which is impossible since</w:t>
      </w:r>
      <w:r>
        <w:t xml:space="preserve"> </w:t>
      </w:r>
      <m:oMath>
        <m:r>
          <m:t>A</m:t>
        </m:r>
      </m:oMath>
      <w:r>
        <w:t xml:space="preserve"> </w:t>
      </w:r>
      <w:r>
        <w:t xml:space="preserve">defines the theoretical maximum amount of</w:t>
      </w:r>
      <w:r>
        <w:t xml:space="preserve"> </w:t>
      </w:r>
      <m:oMath>
        <m:r>
          <m:t>β</m:t>
        </m:r>
      </m:oMath>
      <w:r>
        <w:t xml:space="preserve">-gal that can exist in the system as</w:t>
      </w:r>
      <w:r>
        <w:t xml:space="preserve"> </w:t>
      </w:r>
      <m:oMath>
        <m:f>
          <m:fPr>
            <m:type m:val="bar"/>
          </m:fPr>
          <m:num>
            <m:r>
              <m:t>N</m:t>
            </m:r>
            <m:r>
              <m:t>S</m:t>
            </m:r>
            <m:r>
              <m:t>V</m:t>
            </m:r>
          </m:num>
          <m:den>
            <m:r>
              <m:t>Q</m:t>
            </m:r>
          </m:den>
        </m:f>
      </m:oMath>
      <w:r>
        <w:t xml:space="preserve">. Hence the amount of</w:t>
      </w:r>
      <w:r>
        <w:t xml:space="preserve"> </w:t>
      </w:r>
      <m:oMath>
        <m:r>
          <m:t>β</m:t>
        </m:r>
      </m:oMath>
      <w:r>
        <w:t xml:space="preserve">-gal should only asymptotically approach, but never reach the value for</w:t>
      </w:r>
      <w:r>
        <w:t xml:space="preserve"> </w:t>
      </w:r>
      <m:oMath>
        <m:r>
          <m:t>A</m:t>
        </m:r>
      </m:oMath>
      <w:r>
        <w:t xml:space="preserve">. If we try to find a value for</w:t>
      </w:r>
      <w:r>
        <w:t xml:space="preserve"> </w:t>
      </w:r>
      <m:oMath>
        <m:r>
          <m:t>A</m:t>
        </m:r>
      </m:oMath>
      <w:r>
        <w:t xml:space="preserve">, the value would be unreasonably high to the point where the function is irrelevant to the data at lower</w:t>
      </w:r>
      <w:r>
        <w:t xml:space="preserve"> </w:t>
      </w:r>
      <m:oMath>
        <m:r>
          <m:t>t</m:t>
        </m:r>
      </m:oMath>
      <w:r>
        <w:t xml:space="preserve"> </w:t>
      </w:r>
      <w:r>
        <w:t xml:space="preserve">(See Figure 5).</w:t>
      </w:r>
      <w:r>
        <w:t xml:space="preserve"> </w:t>
      </w:r>
      <w:r>
        <w:t xml:space="preserve">Hence we need to use the different function derived earlier to fit data set B.</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bookmarkEnd w:id="45"/>
    <w:bookmarkStart w:id="49" w:name="X28a072477e38cb93b57dd814588ab1532ec4537"/>
    <w:p>
      <w:pPr>
        <w:pStyle w:val="Heading4"/>
      </w:pPr>
      <w:r>
        <w:t xml:space="preserve">3. Nonlinear Function Derived for Data Set B</w:t>
      </w:r>
    </w:p>
    <w:p>
      <w:pPr>
        <w:pStyle w:val="FirstParagraph"/>
      </w:pPr>
      <w:r>
        <w:drawing>
          <wp:inline>
            <wp:extent cx="4620126" cy="3696101"/>
            <wp:effectExtent b="0" l="0" r="0" t="0"/>
            <wp:docPr descr="" title="" id="47" name="Picture"/>
            <a:graphic>
              <a:graphicData uri="http://schemas.openxmlformats.org/drawingml/2006/picture">
                <pic:pic>
                  <pic:nvPicPr>
                    <pic:cNvPr descr="bacterias_brain_files/figure-docx/b_q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figure 6, the two fitted functions both perform well with respect to the data they are fitted to (i.e. </w:t>
      </w:r>
      <m:oMath>
        <m:r>
          <m:t>t</m:t>
        </m:r>
        <m:r>
          <m:rPr>
            <m:sty m:val="p"/>
          </m:rPr>
          <m:t>&lt;</m:t>
        </m:r>
        <m:r>
          <m:t>15</m:t>
        </m:r>
      </m:oMath>
      <w:r>
        <w:t xml:space="preserve"> </w:t>
      </w:r>
      <w:r>
        <w:t xml:space="preserve">for nonlinear function in green, and</w:t>
      </w:r>
      <w:r>
        <w:t xml:space="preserve"> </w:t>
      </w:r>
      <m:oMath>
        <m:r>
          <m:t>10</m:t>
        </m:r>
        <m:r>
          <m:rPr>
            <m:sty m:val="p"/>
          </m:rPr>
          <m:t>&lt;</m:t>
        </m:r>
        <m:r>
          <m:t>t</m:t>
        </m:r>
        <m:r>
          <m:rPr>
            <m:sty m:val="p"/>
          </m:rPr>
          <m:t>&lt;</m:t>
        </m:r>
        <m:r>
          <m:t>15</m:t>
        </m:r>
      </m:oMath>
      <w:r>
        <w:t xml:space="preserve"> </w:t>
      </w:r>
      <w:r>
        <w:t xml:space="preserve">for linear function in red).For the nonlinear function, the fitting returns a residual standard error of RSE = 0.00533, which is quite small, hence we conclude that the model is a good fit for the data. (lab question 3)</w:t>
      </w:r>
    </w:p>
    <w:p>
      <w:pPr>
        <w:pStyle w:val="BodyText"/>
      </w:pPr>
      <w:r>
        <w:t xml:space="preserve">The two functions also converges in the range around</w:t>
      </w:r>
      <w:r>
        <w:t xml:space="preserve"> </w:t>
      </w:r>
      <m:oMath>
        <m:r>
          <m:t>t</m:t>
        </m:r>
        <m:r>
          <m:rPr>
            <m:sty m:val="p"/>
          </m:rPr>
          <m:t>=</m:t>
        </m:r>
        <m:r>
          <m:t>15</m:t>
        </m:r>
      </m:oMath>
      <w:r>
        <w:t xml:space="preserve">. This behavior is accounted for mathematically, as we consider the nonlinear function $ z(t) = B(-1 +</w:t>
      </w:r>
      <w:r>
        <w:t xml:space="preserve"> </w:t>
      </w:r>
      <w:r>
        <w:t xml:space="preserve"> </w:t>
      </w:r>
      <w:r>
        <w:t xml:space="preserve">+ e^{-</w:t>
      </w:r>
      <w:r>
        <w:t xml:space="preserve">})$.</w:t>
      </w:r>
      <w:r>
        <w:t xml:space="preserve"> </w:t>
      </w:r>
      <w:r>
        <w:t xml:space="preserve">If we take the limit as t approaches infinity:</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rPr>
              <m:sty m:val="p"/>
            </m:rPr>
            <m:t>−</m:t>
          </m:r>
          <m:r>
            <m:t>B</m:t>
          </m:r>
          <m:r>
            <m:rPr>
              <m:sty m:val="p"/>
            </m:rPr>
            <m:t>+</m:t>
          </m:r>
          <m:f>
            <m:fPr>
              <m:type m:val="bar"/>
            </m:fPr>
            <m:num>
              <m:r>
                <m:t>B</m:t>
              </m:r>
            </m:num>
            <m:den>
              <m:r>
                <m:t>τ</m:t>
              </m:r>
            </m:den>
          </m:f>
          <m:r>
            <m:t>t</m:t>
          </m:r>
          <m:r>
            <m:rPr>
              <m:sty m:val="p"/>
            </m:rPr>
            <m:t>)</m:t>
          </m:r>
        </m:oMath>
      </m:oMathPara>
    </w:p>
    <w:p>
      <w:pPr>
        <w:pStyle w:val="FirstParagraph"/>
      </w:pPr>
      <w:r>
        <w:br/>
      </w:r>
      <w:r>
        <w:t xml:space="preserve">The function becomes linear at large</w:t>
      </w:r>
      <w:r>
        <w:t xml:space="preserve"> </w:t>
      </w:r>
      <m:oMath>
        <m:r>
          <m:t>t</m:t>
        </m:r>
      </m:oMath>
      <w:r>
        <w:t xml:space="preserve">, with the slope defined by</w:t>
      </w:r>
      <w:r>
        <w:t xml:space="preserve"> </w:t>
      </w:r>
      <m:oMath>
        <m:f>
          <m:fPr>
            <m:type m:val="bar"/>
          </m:fPr>
          <m:num>
            <m:r>
              <m:t>B</m:t>
            </m:r>
          </m:num>
          <m:den>
            <m:r>
              <m:t>τ</m:t>
            </m:r>
          </m:den>
        </m:f>
      </m:oMath>
      <w:r>
        <w:t xml:space="preserve"> </w:t>
      </w:r>
      <w:r>
        <w:t xml:space="preserve">(question B.5). The mathematical explanation can be complemented by an interpretation of the physical meaning of each term of the fitted function, which can explain the shape of the curve which is parabolic at small</w:t>
      </w:r>
      <w:r>
        <w:t xml:space="preserve"> </w:t>
      </w:r>
      <m:oMath>
        <m:r>
          <m:t>t</m:t>
        </m:r>
      </m:oMath>
      <w:r>
        <w:t xml:space="preserve"> </w:t>
      </w:r>
      <w:r>
        <w:t xml:space="preserve">and linear at large</w:t>
      </w:r>
      <w:r>
        <w:t xml:space="preserve"> </w:t>
      </w:r>
      <m:oMath>
        <m:r>
          <m:t>t</m:t>
        </m:r>
      </m:oMath>
      <w:r>
        <w:t xml:space="preserve">.</w:t>
      </w:r>
      <w:r>
        <w:t xml:space="preserve"> </w:t>
      </w:r>
      <w:r>
        <w:t xml:space="preserve">This interpretation can be done with a Taylor Expansion of the function:</w:t>
      </w:r>
      <w:r>
        <w:t xml:space="preserve"> </w:t>
      </w:r>
      <w:r>
        <w:t xml:space="preserve">(question B.7)</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p>
      <w:pPr>
        <w:pStyle w:val="FirstParagraph"/>
      </w:pPr>
      <w:r>
        <w:t xml:space="preserve">From which we can get</w:t>
      </w:r>
    </w:p>
    <w:p>
      <w:pPr>
        <w:pStyle w:val="BodyText"/>
      </w:pPr>
      <m:oMathPara>
        <m:oMathParaPr>
          <m:jc m:val="center"/>
        </m:oMathParaPr>
        <m:oMath>
          <m:sSup>
            <m:e>
              <m:r>
                <m:t>z</m:t>
              </m:r>
            </m:e>
            <m:sup>
              <m:d>
                <m:dPr>
                  <m:begChr m:val="("/>
                  <m:endChr m:val=")"/>
                  <m:sepChr m:val=""/>
                  <m:grow/>
                </m:dPr>
                <m:e>
                  <m:r>
                    <m:t>1</m:t>
                  </m:r>
                </m:e>
              </m:d>
            </m:sup>
          </m:sSup>
          <m:r>
            <m:rPr>
              <m:sty m:val="p"/>
            </m:rPr>
            <m:t>=</m:t>
          </m:r>
          <m:f>
            <m:fPr>
              <m:type m:val="bar"/>
            </m:fPr>
            <m:num>
              <m:r>
                <m:t>B</m:t>
              </m:r>
            </m:num>
            <m:den>
              <m:r>
                <m:t>τ</m:t>
              </m:r>
            </m:den>
          </m:f>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m:oMathPara>
        <m:oMathParaPr>
          <m:jc m:val="center"/>
        </m:oMathParaPr>
        <m:oMath>
          <m:sSup>
            <m:e>
              <m:r>
                <m:t>z</m:t>
              </m:r>
            </m:e>
            <m:sup>
              <m:d>
                <m:dPr>
                  <m:begChr m:val="("/>
                  <m:endChr m:val=")"/>
                  <m:sepChr m:val=""/>
                  <m:grow/>
                </m:dPr>
                <m:e>
                  <m:r>
                    <m:t>2</m:t>
                  </m:r>
                </m:e>
              </m:d>
            </m:sup>
          </m:sSup>
          <m:r>
            <m:rPr>
              <m:sty m:val="p"/>
            </m:rPr>
            <m:t>=</m:t>
          </m:r>
          <m:f>
            <m:fPr>
              <m:type m:val="bar"/>
            </m:fPr>
            <m:num>
              <m:r>
                <m:t>B</m:t>
              </m:r>
            </m:num>
            <m:den>
              <m:sSup>
                <m:e>
                  <m:r>
                    <m:t>τ</m:t>
                  </m:r>
                </m:e>
                <m:sup>
                  <m:r>
                    <m:t>2</m:t>
                  </m:r>
                </m:sup>
              </m:sSup>
            </m:den>
          </m:f>
          <m:sSup>
            <m:e>
              <m:r>
                <m:t>e</m:t>
              </m:r>
            </m:e>
            <m:sup>
              <m:r>
                <m:rPr>
                  <m:sty m:val="p"/>
                </m:rPr>
                <m:t>−</m:t>
              </m:r>
              <m:f>
                <m:fPr>
                  <m:type m:val="bar"/>
                </m:fPr>
                <m:num>
                  <m:r>
                    <m:t>t</m:t>
                  </m:r>
                </m:num>
                <m:den>
                  <m:r>
                    <m:t>τ</m:t>
                  </m:r>
                </m:den>
              </m:f>
            </m:sup>
          </m:sSup>
        </m:oMath>
      </m:oMathPara>
    </w:p>
    <w:p>
      <w:pPr>
        <w:pStyle w:val="FirstParagraph"/>
      </w:pPr>
      <m:oMathPara>
        <m:oMathParaPr>
          <m:jc m:val="center"/>
        </m:oMathParaPr>
        <m:oMath>
          <m:sSup>
            <m:e>
              <m:r>
                <m:t>z</m:t>
              </m:r>
            </m:e>
            <m:sup>
              <m:d>
                <m:dPr>
                  <m:begChr m:val="("/>
                  <m:endChr m:val=")"/>
                  <m:sepChr m:val=""/>
                  <m:grow/>
                </m:dPr>
                <m:e>
                  <m:r>
                    <m:t>n</m:t>
                  </m:r>
                </m:e>
              </m:d>
            </m:sup>
          </m:sSup>
          <m:r>
            <m:rPr>
              <m:sty m:val="p"/>
            </m:rPr>
            <m:t>=</m:t>
          </m:r>
          <m:r>
            <m:t>B</m:t>
          </m:r>
          <m:sSup>
            <m:e>
              <m:d>
                <m:dPr>
                  <m:begChr m:val="("/>
                  <m:endChr m:val=")"/>
                  <m:sepChr m:val=""/>
                  <m:grow/>
                </m:dPr>
                <m:e>
                  <m:r>
                    <m:rPr>
                      <m:sty m:val="p"/>
                    </m:rPr>
                    <m:t>−</m:t>
                  </m:r>
                  <m:f>
                    <m:fPr>
                      <m:type m:val="bar"/>
                    </m:fPr>
                    <m:num>
                      <m:r>
                        <m:t>1</m:t>
                      </m:r>
                    </m:num>
                    <m:den>
                      <m:r>
                        <m:t>τ</m:t>
                      </m:r>
                    </m:den>
                  </m:f>
                </m:e>
              </m:d>
            </m:e>
            <m:sup>
              <m:r>
                <m:t>n</m:t>
              </m:r>
            </m:sup>
          </m:sSup>
          <m:sSup>
            <m:e>
              <m:r>
                <m:t>e</m:t>
              </m:r>
            </m:e>
            <m:sup>
              <m:r>
                <m:rPr>
                  <m:sty m:val="p"/>
                </m:rPr>
                <m:t>−</m:t>
              </m:r>
              <m:f>
                <m:fPr>
                  <m:type m:val="bar"/>
                </m:fPr>
                <m:num>
                  <m:r>
                    <m:t>t</m:t>
                  </m:r>
                </m:num>
                <m:den>
                  <m:r>
                    <m:t>τ</m:t>
                  </m:r>
                </m:den>
              </m:f>
            </m:sup>
          </m:sSup>
        </m:oMath>
      </m:oMathPara>
    </w:p>
    <w:p>
      <w:pPr>
        <w:pStyle w:val="FirstParagraph"/>
      </w:pPr>
      <w:r>
        <w:t xml:space="preserve">Hence</w:t>
      </w:r>
    </w:p>
    <w:p>
      <w:pPr>
        <w:pStyle w:val="BodyText"/>
      </w:pPr>
      <m:oMathPara>
        <m:oMathParaPr>
          <m:jc m:val="center"/>
        </m:oMathParaPr>
        <m:oMath>
          <m:limLow>
            <m:e>
              <m:r>
                <m:rPr>
                  <m:sty m:val="p"/>
                </m:rPr>
                <m:t>lim</m:t>
              </m:r>
            </m:e>
            <m:lim>
              <m:r>
                <m:t>t</m:t>
              </m:r>
              <m:r>
                <m:rPr>
                  <m:sty m:val="p"/>
                </m:rPr>
                <m:t>→</m:t>
              </m:r>
              <m:r>
                <m:t>0</m:t>
              </m:r>
            </m:lim>
          </m:limLow>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sSup>
            <m:e>
              <m:r>
                <m:t>t</m:t>
              </m:r>
            </m:e>
            <m:sup>
              <m:r>
                <m:t>0</m:t>
              </m:r>
            </m:sup>
          </m:sSup>
          <m:r>
            <m:rPr>
              <m:sty m:val="p"/>
            </m:rPr>
            <m:t>+</m:t>
          </m:r>
          <m:f>
            <m:fPr>
              <m:type m:val="bar"/>
            </m:fPr>
            <m:num>
              <m:r>
                <m:t>B</m:t>
              </m:r>
            </m:num>
            <m:den>
              <m:r>
                <m:t>τ</m:t>
              </m:r>
            </m:den>
          </m:f>
          <m:d>
            <m:dPr>
              <m:begChr m:val="("/>
              <m:endChr m:val=")"/>
              <m:sepChr m:val=""/>
              <m:grow/>
            </m:dPr>
            <m:e>
              <m:r>
                <m:t>1</m:t>
              </m:r>
              <m:r>
                <m:rPr>
                  <m:sty m:val="p"/>
                </m:rPr>
                <m:t>−</m:t>
              </m:r>
              <m:sSup>
                <m:e>
                  <m:r>
                    <m:t>e</m:t>
                  </m:r>
                </m:e>
                <m:sup>
                  <m:r>
                    <m:rPr>
                      <m:sty m:val="p"/>
                    </m:rPr>
                    <m:t>−</m:t>
                  </m:r>
                  <m:f>
                    <m:fPr>
                      <m:type m:val="bar"/>
                    </m:fPr>
                    <m:num>
                      <m:r>
                        <m:t>t</m:t>
                      </m:r>
                    </m:num>
                    <m:den>
                      <m:r>
                        <m:t>τ</m:t>
                      </m:r>
                    </m:den>
                  </m:f>
                </m:sup>
              </m:sSup>
            </m:e>
          </m:d>
          <m:f>
            <m:fPr>
              <m:type m:val="bar"/>
            </m:fPr>
            <m:num>
              <m:sSup>
                <m:e>
                  <m:r>
                    <m:t>t</m:t>
                  </m:r>
                </m:e>
                <m:sup>
                  <m:r>
                    <m:t>1</m:t>
                  </m:r>
                </m:sup>
              </m:sSup>
            </m:num>
            <m:den>
              <m:r>
                <m:t>1</m:t>
              </m:r>
              <m:r>
                <m:rPr>
                  <m:sty m:val="p"/>
                </m:rPr>
                <m:t>!</m:t>
              </m:r>
            </m:den>
          </m:f>
          <m:r>
            <m:rPr>
              <m:sty m:val="p"/>
            </m:rPr>
            <m:t>+</m:t>
          </m:r>
          <m:f>
            <m:fPr>
              <m:type m:val="bar"/>
            </m:fPr>
            <m:num>
              <m:r>
                <m:t>B</m:t>
              </m:r>
            </m:num>
            <m:den>
              <m:sSup>
                <m:e>
                  <m:r>
                    <m:t>τ</m:t>
                  </m:r>
                </m:e>
                <m:sup>
                  <m:r>
                    <m:t>2</m:t>
                  </m:r>
                </m:sup>
              </m:sSup>
            </m:den>
          </m:f>
          <m:sSup>
            <m:e>
              <m:r>
                <m:t>e</m:t>
              </m:r>
            </m:e>
            <m:sup>
              <m:r>
                <m:rPr>
                  <m:sty m:val="p"/>
                </m:rPr>
                <m:t>−</m:t>
              </m:r>
              <m:f>
                <m:fPr>
                  <m:type m:val="bar"/>
                </m:fPr>
                <m:num>
                  <m:r>
                    <m:t>t</m:t>
                  </m:r>
                </m:num>
                <m:den>
                  <m:r>
                    <m:t>τ</m:t>
                  </m:r>
                </m:den>
              </m:f>
            </m:sup>
          </m:sSup>
          <m:f>
            <m:fPr>
              <m:type m:val="bar"/>
            </m:fPr>
            <m:num>
              <m:sSup>
                <m:e>
                  <m:r>
                    <m:t>t</m:t>
                  </m:r>
                </m:e>
                <m:sup>
                  <m:r>
                    <m:t>2</m:t>
                  </m:r>
                </m:sup>
              </m:sSup>
            </m:num>
            <m:den>
              <m:r>
                <m:t>2</m:t>
              </m:r>
              <m:r>
                <m:rPr>
                  <m:sty m:val="p"/>
                </m:rPr>
                <m:t>!</m:t>
              </m:r>
            </m:den>
          </m:f>
          <m:r>
            <m:rPr>
              <m:sty m:val="p"/>
            </m:rPr>
            <m:t>+</m:t>
          </m:r>
          <m:r>
            <m:rPr>
              <m:sty m:val="p"/>
            </m:rPr>
            <m:t>.</m:t>
          </m:r>
          <m:r>
            <m:rPr>
              <m:sty m:val="p"/>
            </m:rPr>
            <m:t>.</m:t>
          </m:r>
          <m:r>
            <m:rPr>
              <m:sty m:val="p"/>
            </m:rPr>
            <m:t>.</m:t>
          </m:r>
        </m:oMath>
      </m:oMathPara>
    </w:p>
    <w:p>
      <w:pPr>
        <w:pStyle w:val="FirstParagraph"/>
      </w:pPr>
      <m:oMathPara>
        <m:oMathParaPr>
          <m:jc m:val="center"/>
        </m:oMathParaPr>
        <m:oMath>
          <m:limLow>
            <m:e>
              <m:r>
                <m:rPr>
                  <m:sty m:val="p"/>
                </m:rPr>
                <m:t>lim</m:t>
              </m:r>
            </m:e>
            <m:lim>
              <m:r>
                <m:t>t</m:t>
              </m:r>
              <m:r>
                <m:rPr>
                  <m:sty m:val="p"/>
                </m:rPr>
                <m:t>→</m:t>
              </m:r>
              <m:r>
                <m:t>0</m:t>
              </m:r>
            </m:lim>
          </m:limLow>
          <m:r>
            <m:t>z</m:t>
          </m:r>
          <m:d>
            <m:dPr>
              <m:begChr m:val="("/>
              <m:endChr m:val=")"/>
              <m:sepChr m:val=""/>
              <m:grow/>
            </m:dPr>
            <m:e>
              <m:r>
                <m:t>t</m:t>
              </m:r>
            </m:e>
          </m:d>
          <m:r>
            <m:rPr>
              <m:sty m:val="p"/>
            </m:rPr>
            <m:t>=</m:t>
          </m:r>
          <m:r>
            <m:t>0</m:t>
          </m:r>
          <m:r>
            <m:rPr>
              <m:sty m:val="p"/>
            </m:rPr>
            <m:t>+</m:t>
          </m:r>
          <m:r>
            <m:t>0</m:t>
          </m:r>
          <m:sSup>
            <m:e>
              <m:r>
                <m:t>t</m:t>
              </m:r>
            </m:e>
            <m:sup>
              <m:r>
                <m:t>1</m:t>
              </m:r>
            </m:sup>
          </m:sSup>
          <m:r>
            <m:rPr>
              <m:sty m:val="p"/>
            </m:rPr>
            <m:t>+</m:t>
          </m:r>
          <m:f>
            <m:fPr>
              <m:type m:val="bar"/>
            </m:fPr>
            <m:num>
              <m:r>
                <m:t>B</m:t>
              </m:r>
            </m:num>
            <m:den>
              <m:sSup>
                <m:e>
                  <m:r>
                    <m:t>τ</m:t>
                  </m:r>
                </m:e>
                <m:sup>
                  <m:r>
                    <m:t>22</m:t>
                  </m:r>
                </m:sup>
              </m:sSup>
              <m:r>
                <m:rPr>
                  <m:sty m:val="p"/>
                </m:rPr>
                <m:t>!</m:t>
              </m:r>
            </m:den>
          </m:f>
          <m:sSup>
            <m:e>
              <m:r>
                <m:t>t</m:t>
              </m:r>
            </m:e>
            <m:sup>
              <m:r>
                <m:t>2</m:t>
              </m:r>
            </m:sup>
          </m:sSup>
          <m:r>
            <m:rPr>
              <m:sty m:val="p"/>
            </m:rPr>
            <m:t>+</m:t>
          </m:r>
          <m:r>
            <m:rPr>
              <m:sty m:val="p"/>
            </m:rPr>
            <m:t>.</m:t>
          </m:r>
          <m:r>
            <m:rPr>
              <m:sty m:val="p"/>
            </m:rPr>
            <m:t>.</m:t>
          </m:r>
          <m:r>
            <m:rPr>
              <m:sty m:val="p"/>
            </m:rPr>
            <m:t>.</m:t>
          </m:r>
        </m:oMath>
      </m:oMathPara>
    </w:p>
    <w:p>
      <w:pPr>
        <w:pStyle w:val="FirstParagraph"/>
      </w:pPr>
      <w:r>
        <w:t xml:space="preserve">As we can see, at small t, the growth of the enzyme is mathematically similar to</w:t>
      </w:r>
      <w:r>
        <w:t xml:space="preserve"> </w:t>
      </w:r>
      <m:oMath>
        <m:sSup>
          <m:e>
            <m:r>
              <m:t>t</m:t>
            </m:r>
          </m:e>
          <m:sup>
            <m:r>
              <m:t>2</m:t>
            </m:r>
          </m:sup>
        </m:sSup>
      </m:oMath>
      <w:r>
        <w:t xml:space="preserve">.</w:t>
      </w:r>
    </w:p>
    <w:bookmarkEnd w:id="49"/>
    <w:bookmarkEnd w:id="50"/>
    <w:bookmarkEnd w:id="51"/>
    <w:bookmarkStart w:id="54" w:name="dicussion"/>
    <w:p>
      <w:pPr>
        <w:pStyle w:val="Heading2"/>
      </w:pPr>
      <w:r>
        <w:t xml:space="preserve">Dicussion</w:t>
      </w:r>
    </w:p>
    <w:bookmarkStart w:id="52" w:name="conclusion"/>
    <w:p>
      <w:pPr>
        <w:pStyle w:val="Heading3"/>
      </w:pPr>
      <w:r>
        <w:t xml:space="preserve">Conclusion</w:t>
      </w:r>
    </w:p>
    <w:p>
      <w:pPr>
        <w:pStyle w:val="FirstParagraph"/>
      </w:pPr>
      <w:r>
        <w:t xml:space="preserve">(laboratory questions 4 &amp; 5)</w:t>
      </w:r>
    </w:p>
    <w:bookmarkEnd w:id="52"/>
    <w:bookmarkStart w:id="53" w:name="additional-questions"/>
    <w:p>
      <w:pPr>
        <w:pStyle w:val="Heading3"/>
      </w:pPr>
      <w:r>
        <w:t xml:space="preserve">Additional Questions</w:t>
      </w:r>
    </w:p>
    <w:p>
      <w:pPr>
        <w:numPr>
          <w:ilvl w:val="0"/>
          <w:numId w:val="1002"/>
        </w:numPr>
      </w:pPr>
      <w:r>
        <w:t xml:space="preserve">The work of Novick and Weiner contributed to the conception of multistability of gene regulation, which in modern day, is used to study how gene regulation can activate and deactivate different pathways, such as the role of repressor-operators in the transitional pathway of induction. Specifically, Bhogale et al. (2022) at the University of Cologne continues to study the transition of E. coli from uninduced to an induced state. Using more modern computational models, the team is able to simulate the effect of repressor binding and unbinding on the transition in both directions – both to induced and uninduced state. The use of lactase uptake pathway in E.coli bacteria in this experiment allows for a much more effective – yet simpler – way of building models of complex genetic regulatory circuits. These models can inform the understanding of processes such as viral reproduction. One example is a study by Santillán and Michael, who studied the stability in the virus Bacteriophage-</w:t>
      </w:r>
      <m:oMath>
        <m:r>
          <m:t>λ</m:t>
        </m:r>
      </m:oMath>
      <w:r>
        <w:t xml:space="preserve">. Phage-</w:t>
      </w:r>
      <m:oMath>
        <m:r>
          <m:t>λ</m:t>
        </m:r>
      </m:oMath>
      <w:r>
        <w:t xml:space="preserve">, which can switch between lysogenic and lysis states during the process of</w:t>
      </w:r>
      <w:r>
        <w:t xml:space="preserve"> </w:t>
      </w:r>
      <w:r>
        <w:t xml:space="preserve">subverting E.coli as its host, with a circuit that is complex, but can be better understood using models tat are developed by Bhogale et al. on gene regulation.</w:t>
      </w:r>
    </w:p>
    <w:p>
      <w:pPr>
        <w:numPr>
          <w:ilvl w:val="0"/>
          <w:numId w:val="1002"/>
        </w:numPr>
      </w:pPr>
      <w:r>
        <w:t xml:space="preserve">Hughes et al.’s study aimed to find molecular interaction that can trigger fibril formation</w:t>
      </w:r>
      <w:r>
        <w:t xml:space="preserve"> </w:t>
      </w:r>
      <m:oMath>
        <m:r>
          <m:t>β</m:t>
        </m:r>
      </m:oMath>
      <w:r>
        <w:t xml:space="preserve">-amyloid peptides through their self-interaction. They manipulated strains of E.coli and yeast cells to produce either</w:t>
      </w:r>
      <w:r>
        <w:t xml:space="preserve"> </w:t>
      </w:r>
      <w:r>
        <w:t xml:space="preserve">“</w:t>
      </w:r>
      <w:r>
        <w:t xml:space="preserve">bait</w:t>
      </w:r>
      <w:r>
        <w:t xml:space="preserve">”</w:t>
      </w:r>
      <w:r>
        <w:t xml:space="preserve"> </w:t>
      </w:r>
      <w:r>
        <w:t xml:space="preserve">or</w:t>
      </w:r>
      <w:r>
        <w:t xml:space="preserve"> </w:t>
      </w:r>
      <w:r>
        <w:t xml:space="preserve">“</w:t>
      </w:r>
      <w:r>
        <w:t xml:space="preserve">prey</w:t>
      </w:r>
      <w:r>
        <w:t xml:space="preserve">”</w:t>
      </w:r>
      <w:r>
        <w:t xml:space="preserve"> </w:t>
      </w:r>
      <w:r>
        <w:t xml:space="preserve">plasmids that facilitate self-interactions of A</w:t>
      </w:r>
      <m:oMath>
        <m:r>
          <m:t>β</m:t>
        </m:r>
      </m:oMath>
      <w:r>
        <w:t xml:space="preserve"> </w:t>
      </w:r>
      <w:r>
        <w:t xml:space="preserve">peptides. In order to measure the formation, yeast cells were used that carry</w:t>
      </w:r>
      <w:r>
        <w:t xml:space="preserve"> </w:t>
      </w:r>
      <m:oMath>
        <m:r>
          <m:t>β</m:t>
        </m:r>
      </m:oMath>
      <w:r>
        <w:t xml:space="preserve">-galactosidase genes as one of the</w:t>
      </w:r>
      <w:r>
        <w:t xml:space="preserve"> </w:t>
      </w:r>
      <w:r>
        <w:t xml:space="preserve">“</w:t>
      </w:r>
      <w:r>
        <w:t xml:space="preserve">reporters</w:t>
      </w:r>
      <w:r>
        <w:t xml:space="preserve">”</w:t>
      </w:r>
      <w:r>
        <w:t xml:space="preserve">. Neither the bait nor the prey alone have the ability to activate gene expression, but if they interact, the result can trigger conditional expression of reporter genes. Hence, rate of interaction between A</w:t>
      </w:r>
      <m:oMath>
        <m:r>
          <m:t>β</m:t>
        </m:r>
      </m:oMath>
      <w:r>
        <w:t xml:space="preserve"> </w:t>
      </w:r>
      <w:r>
        <w:t xml:space="preserve">is linked to the production of</w:t>
      </w:r>
      <w:r>
        <w:t xml:space="preserve"> </w:t>
      </w:r>
      <m:oMath>
        <m:r>
          <m:t>β</m:t>
        </m:r>
      </m:oMath>
      <w:r>
        <w:t xml:space="preserve">-gal, which in turn corresponds to the rate of hydrolysis of ONPG.</w:t>
      </w:r>
    </w:p>
    <w:p>
      <w:pPr>
        <w:numPr>
          <w:ilvl w:val="0"/>
          <w:numId w:val="1002"/>
        </w:numPr>
      </w:pPr>
      <w:r>
        <w:t xml:space="preserve">The main innovation of the study by Shim et al. (2009) is the use of 2D IR spectroscopy, which allows for specific and direct observation of the formation of fibrils. Shim et al. used 2D IR spectra to target specific markers at different frequencies so they can measure different rates of interaction between different points on the peptide chain, giving them much more specific insights into the mechanism of fibril formation.</w:t>
      </w:r>
      <w:r>
        <w:t xml:space="preserve"> </w:t>
      </w:r>
      <w:r>
        <w:t xml:space="preserve">By contrast, Hughes et al.’s study, using ONPG, could only observe the rate of interaction between fibroid-forming peptides through multiple layers of mediums and conditional expressions. As a result, while they were able to measure the rate and genetic aspect of fibril formation, they are unable to observe the specific kinetics of fibril formation.</w:t>
      </w:r>
    </w:p>
    <w:p>
      <w:pPr>
        <w:numPr>
          <w:ilvl w:val="0"/>
          <w:numId w:val="1002"/>
        </w:numPr>
      </w:pPr>
      <w:r>
        <w:t xml:space="preserve">The effect of glucose on</w:t>
      </w:r>
      <w:r>
        <w:t xml:space="preserve"> </w:t>
      </w:r>
      <m:oMath>
        <m:r>
          <m:t>β</m:t>
        </m:r>
      </m:oMath>
      <w:r>
        <w:t xml:space="preserve">-gal production is two-fold:</w:t>
      </w:r>
      <w:r>
        <w:t xml:space="preserve"> </w:t>
      </w:r>
      <w:r>
        <w:t xml:space="preserve">First, there is a default inhibitory effect of glucose, that its presence suppresses the production of</w:t>
      </w:r>
      <w:r>
        <w:t xml:space="preserve"> </w:t>
      </w:r>
      <m:oMath>
        <m:r>
          <m:t>β</m:t>
        </m:r>
      </m:oMath>
      <w:r>
        <w:t xml:space="preserve">-gal as well as its transporter permease.</w:t>
      </w:r>
      <w:r>
        <w:t xml:space="preserve"> </w:t>
      </w:r>
      <w:r>
        <w:t xml:space="preserve">From this point, we can modify the original equation (see derivation A) by adding a multiplier that account for the rate of inhibition if glucose is present:</w:t>
      </w:r>
    </w:p>
    <w:p>
      <w:pPr>
        <w:pStyle w:val="FirstParagraph"/>
      </w:pPr>
      <m:oMathPara>
        <m:oMathParaPr>
          <m:jc m:val="center"/>
        </m:oMathParaPr>
        <m:oMath>
          <m:f>
            <m:fPr>
              <m:type m:val="bar"/>
            </m:fPr>
            <m:num>
              <m:r>
                <m:t>d</m:t>
              </m:r>
              <m:r>
                <m:t>z</m:t>
              </m:r>
            </m:num>
            <m:den>
              <m:r>
                <m:t>d</m:t>
              </m:r>
              <m:r>
                <m:t>t</m:t>
              </m:r>
            </m:den>
          </m:f>
          <m:r>
            <m:rPr>
              <m:sty m:val="p"/>
            </m:rPr>
            <m:t>=</m:t>
          </m:r>
          <m:d>
            <m:dPr>
              <m:begChr m:val="("/>
              <m:endChr m:val=")"/>
              <m:sepChr m:val=""/>
              <m:grow/>
            </m:dPr>
            <m:e>
              <m:r>
                <m:t>N</m:t>
              </m:r>
              <m:r>
                <m:t>s</m:t>
              </m:r>
              <m:r>
                <m:rPr>
                  <m:sty m:val="p"/>
                </m:rPr>
                <m:t>−</m:t>
              </m:r>
              <m:f>
                <m:fPr>
                  <m:type m:val="bar"/>
                </m:fPr>
                <m:num>
                  <m:r>
                    <m:t>Q</m:t>
                  </m:r>
                </m:num>
                <m:den>
                  <m:r>
                    <m:t>V</m:t>
                  </m:r>
                </m:den>
              </m:f>
              <m:r>
                <m:t>z</m:t>
              </m:r>
            </m:e>
          </m:d>
          <m:sSup>
            <m:e>
              <m:r>
                <m:t>e</m:t>
              </m:r>
            </m:e>
            <m:sup>
              <m:r>
                <m:rPr>
                  <m:sty m:val="p"/>
                </m:rPr>
                <m:t>−</m:t>
              </m:r>
              <m:r>
                <m:t>G</m:t>
              </m:r>
            </m:sup>
          </m:sSup>
        </m:oMath>
      </m:oMathPara>
    </w:p>
    <w:p>
      <w:pPr>
        <w:pStyle w:val="FirstParagraph"/>
      </w:pPr>
      <w:r>
        <w:t xml:space="preserve">Where</w:t>
      </w:r>
      <w:r>
        <w:t xml:space="preserve"> </w:t>
      </w:r>
      <m:oMath>
        <m:r>
          <m:t>G</m:t>
        </m:r>
      </m:oMath>
      <w:r>
        <w:t xml:space="preserve"> </w:t>
      </w:r>
      <w:r>
        <w:t xml:space="preserve">is the concentration of glucose in the medium. From this equation we can see that</w:t>
      </w:r>
    </w:p>
    <w:p>
      <w:pPr>
        <w:pStyle w:val="BodyText"/>
      </w:pPr>
      <m:oMathPara>
        <m:oMathParaPr>
          <m:jc m:val="center"/>
        </m:oMathParaPr>
        <m:oMath>
          <m:limLow>
            <m:e>
              <m:r>
                <m:rPr>
                  <m:sty m:val="p"/>
                </m:rPr>
                <m:t>lim</m:t>
              </m:r>
            </m:e>
            <m:lim>
              <m:r>
                <m:t>G</m:t>
              </m:r>
              <m:r>
                <m:rPr>
                  <m:sty m:val="p"/>
                </m:rPr>
                <m:t>→</m:t>
              </m:r>
              <m:r>
                <m:rPr>
                  <m:sty m:val="p"/>
                </m:rPr>
                <m:t>∞</m:t>
              </m:r>
            </m:lim>
          </m:limLow>
          <m:sSup>
            <m:e>
              <m:r>
                <m:t>e</m:t>
              </m:r>
            </m:e>
            <m:sup>
              <m:r>
                <m:rPr>
                  <m:sty m:val="p"/>
                </m:rPr>
                <m:t>−</m:t>
              </m:r>
              <m:r>
                <m:t>G</m:t>
              </m:r>
            </m:sup>
          </m:sSup>
          <m:r>
            <m:rPr>
              <m:sty m:val="p"/>
            </m:rPr>
            <m:t>=</m:t>
          </m:r>
          <m:r>
            <m:t>0</m:t>
          </m:r>
          <m:r>
            <m:rPr>
              <m:sty m:val="p"/>
            </m:rPr>
            <m:t>;</m:t>
          </m:r>
          <m:limLow>
            <m:e>
              <m:r>
                <m:rPr>
                  <m:sty m:val="p"/>
                </m:rPr>
                <m:t>lim</m:t>
              </m:r>
            </m:e>
            <m:lim>
              <m:r>
                <m:t>G</m:t>
              </m:r>
              <m:r>
                <m:rPr>
                  <m:sty m:val="p"/>
                </m:rPr>
                <m:t>→</m:t>
              </m:r>
              <m:r>
                <m:t>0</m:t>
              </m:r>
            </m:lim>
          </m:limLow>
          <m:sSup>
            <m:e>
              <m:r>
                <m:t>e</m:t>
              </m:r>
            </m:e>
            <m:sup>
              <m:r>
                <m:rPr>
                  <m:sty m:val="p"/>
                </m:rPr>
                <m:t>−</m:t>
              </m:r>
              <m:r>
                <m:t>G</m:t>
              </m:r>
            </m:sup>
          </m:sSup>
          <m:r>
            <m:rPr>
              <m:sty m:val="p"/>
            </m:rPr>
            <m:t>=</m:t>
          </m:r>
          <m:r>
            <m:t>1</m:t>
          </m:r>
        </m:oMath>
      </m:oMathPara>
    </w:p>
    <w:p>
      <w:pPr>
        <w:pStyle w:val="FirstParagraph"/>
      </w:pPr>
      <w:r>
        <w:t xml:space="preserve">Which explains the behavior of inhibition as glucose becomes increasingly present, while when it is absent, the rate of production of</w:t>
      </w:r>
      <w:r>
        <w:t xml:space="preserve"> </w:t>
      </w:r>
      <m:oMath>
        <m:r>
          <m:t>β</m:t>
        </m:r>
      </m:oMath>
      <w:r>
        <w:t xml:space="preserve">-gal is unaffected.</w:t>
      </w:r>
    </w:p>
    <w:p>
      <w:pPr>
        <w:pStyle w:val="BodyText"/>
      </w:pPr>
      <w:r>
        <w:t xml:space="preserve">The second aspect of the relationship is the complication of</w:t>
      </w:r>
      <w:r>
        <w:t xml:space="preserve"> </w:t>
      </w:r>
      <w:r>
        <w:t xml:space="preserve">“</w:t>
      </w:r>
      <w:r>
        <w:t xml:space="preserve">pre-induction</w:t>
      </w:r>
      <w:r>
        <w:t xml:space="preserve">”</w:t>
      </w:r>
      <w:r>
        <w:t xml:space="preserve"> </w:t>
      </w:r>
      <w:r>
        <w:t xml:space="preserve">of bacteria that Novick and Weiner noted, where if the internal concentration of inducers is high enough, they can resist the inhibitory effect of glucose and continue to produce</w:t>
      </w:r>
      <w:r>
        <w:t xml:space="preserve"> </w:t>
      </w:r>
      <m:oMath>
        <m:r>
          <m:t>β</m:t>
        </m:r>
      </m:oMath>
      <w:r>
        <w:t xml:space="preserve">-gal. Hence we modify the previous equation to:</w:t>
      </w:r>
    </w:p>
    <w:p>
      <w:pPr>
        <w:pStyle w:val="BodyText"/>
      </w:pPr>
      <m:oMathPara>
        <m:oMathParaPr>
          <m:jc m:val="center"/>
        </m:oMathParaPr>
        <m:oMath>
          <m:f>
            <m:fPr>
              <m:type m:val="bar"/>
            </m:fPr>
            <m:num>
              <m:r>
                <m:t>d</m:t>
              </m:r>
              <m:r>
                <m:t>z</m:t>
              </m:r>
            </m:num>
            <m:den>
              <m:r>
                <m:t>d</m:t>
              </m:r>
              <m:r>
                <m:t>t</m:t>
              </m:r>
            </m:den>
          </m:f>
          <m:r>
            <m:rPr>
              <m:sty m:val="p"/>
            </m:rPr>
            <m:t>=</m:t>
          </m:r>
          <m:d>
            <m:dPr>
              <m:begChr m:val="("/>
              <m:endChr m:val=")"/>
              <m:sepChr m:val=""/>
              <m:grow/>
            </m:dPr>
            <m:e>
              <m:r>
                <m:t>N</m:t>
              </m:r>
              <m:r>
                <m:t>s</m:t>
              </m:r>
              <m:r>
                <m:rPr>
                  <m:sty m:val="p"/>
                </m:rPr>
                <m:t>−</m:t>
              </m:r>
              <m:f>
                <m:fPr>
                  <m:type m:val="bar"/>
                </m:fPr>
                <m:num>
                  <m:r>
                    <m:t>Q</m:t>
                  </m:r>
                </m:num>
                <m:den>
                  <m:r>
                    <m:t>V</m:t>
                  </m:r>
                </m:den>
              </m:f>
              <m:r>
                <m:t>z</m:t>
              </m:r>
            </m:e>
          </m:d>
          <m:sSup>
            <m:e>
              <m:r>
                <m:t>e</m:t>
              </m:r>
            </m:e>
            <m:sup>
              <m:r>
                <m:t>C</m:t>
              </m:r>
              <m:r>
                <m:rPr>
                  <m:sty m:val="p"/>
                </m:rPr>
                <m:t>−</m:t>
              </m:r>
              <m:r>
                <m:t>G</m:t>
              </m:r>
            </m:sup>
          </m:sSup>
        </m:oMath>
      </m:oMathPara>
    </w:p>
    <w:p>
      <w:pPr>
        <w:pStyle w:val="FirstParagraph"/>
      </w:pPr>
      <w:r>
        <w:t xml:space="preserve">With</w:t>
      </w:r>
      <w:r>
        <w:t xml:space="preserve"> </w:t>
      </w:r>
      <m:oMath>
        <m:r>
          <m:t>C</m:t>
        </m:r>
      </m:oMath>
      <w:r>
        <w:t xml:space="preserve"> </w:t>
      </w:r>
      <w:r>
        <w:t xml:space="preserve">being the maximum internal concentration of inducers in a fully induced cell.</w:t>
      </w:r>
      <w:r>
        <w:t xml:space="preserve"> </w:t>
      </w:r>
      <w:r>
        <w:t xml:space="preserve">Now instead of the absolute measure of whether glucose is present, we use whether the concentration of glucose is higher than the existing concentration of inducers. As the concentration of glucose surpasses that of the inducer,</w:t>
      </w:r>
      <w:r>
        <w:t xml:space="preserve"> </w:t>
      </w:r>
      <m:oMath>
        <m:r>
          <m:t>β</m:t>
        </m:r>
      </m:oMath>
      <w:r>
        <w:t xml:space="preserve">-gal production halts, but the higher</w:t>
      </w:r>
      <w:r>
        <w:t xml:space="preserve"> </w:t>
      </w:r>
      <m:oMath>
        <m:r>
          <m:t>C</m:t>
        </m:r>
      </m:oMath>
      <w:r>
        <w:t xml:space="preserve"> </w:t>
      </w:r>
      <w:r>
        <w:t xml:space="preserve">is, the more glucose is needed to inhibit production.</w:t>
      </w:r>
    </w:p>
    <w:bookmarkEnd w:id="53"/>
    <w:bookmarkEnd w:id="54"/>
    <w:bookmarkStart w:id="56" w:name="references"/>
    <w:p>
      <w:pPr>
        <w:pStyle w:val="Heading2"/>
      </w:pPr>
      <w:r>
        <w:t xml:space="preserve">References:</w:t>
      </w:r>
    </w:p>
    <w:p>
      <w:pPr>
        <w:pStyle w:val="FirstParagraph"/>
      </w:pPr>
      <w:r>
        <w:t xml:space="preserve">Novick paper;</w:t>
      </w:r>
      <w:r>
        <w:t xml:space="preserve"> </w:t>
      </w:r>
      <w:r>
        <w:t xml:space="preserve">textbook;</w:t>
      </w:r>
      <w:r>
        <w:t xml:space="preserve"> </w:t>
      </w:r>
      <w:hyperlink r:id="rId55">
        <w:r>
          <w:rPr>
            <w:rStyle w:val="Hyperlink"/>
          </w:rPr>
          <w:t xml:space="preserve">https://journals.asm.org/doi/epdf/10.1128/jb.60.4.381-392.1950</w:t>
        </w:r>
      </w:hyperlink>
      <w:r>
        <w:t xml:space="preserve"> </w:t>
      </w:r>
      <w:r>
        <w:t xml:space="preserve">Hughes et al (PNAS, 93 2065-2070, 1996)</w:t>
      </w:r>
      <w:r>
        <w:t xml:space="preserve"> </w:t>
      </w:r>
      <w:r>
        <w:t xml:space="preserve">Monod experiment</w:t>
      </w:r>
    </w:p>
    <w:bookmarkEnd w:id="56"/>
    <w:bookmarkStart w:id="57" w:name="appendix"/>
    <w:p>
      <w:pPr>
        <w:pStyle w:val="Heading2"/>
      </w:pPr>
      <w:r>
        <w:t xml:space="preserve">Appendix:</w:t>
      </w:r>
    </w:p>
    <w:p>
      <w:pPr>
        <w:pStyle w:val="FirstParagraph"/>
      </w:pPr>
      <w:r>
        <w:t xml:space="preserve">Data Set 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0.1699</w:t>
            </w:r>
          </w:p>
        </w:tc>
        <w:tc>
          <w:tcPr/>
          <w:p>
            <w:pPr>
              <w:pStyle w:val="Compact"/>
              <w:jc w:val="right"/>
            </w:pPr>
            <w:r>
              <w:t xml:space="preserve">0.0190</w:t>
            </w:r>
          </w:p>
        </w:tc>
      </w:tr>
      <w:tr>
        <w:tc>
          <w:tcPr/>
          <w:p>
            <w:pPr>
              <w:pStyle w:val="Compact"/>
              <w:jc w:val="right"/>
            </w:pPr>
            <w:r>
              <w:t xml:space="preserve">0.4426</w:t>
            </w:r>
          </w:p>
        </w:tc>
        <w:tc>
          <w:tcPr/>
          <w:p>
            <w:pPr>
              <w:pStyle w:val="Compact"/>
              <w:jc w:val="right"/>
            </w:pPr>
            <w:r>
              <w:t xml:space="preserve">0.0855</w:t>
            </w:r>
          </w:p>
        </w:tc>
      </w:tr>
      <w:tr>
        <w:tc>
          <w:tcPr/>
          <w:p>
            <w:pPr>
              <w:pStyle w:val="Compact"/>
              <w:jc w:val="right"/>
            </w:pPr>
            <w:r>
              <w:t xml:space="preserve">0.5111</w:t>
            </w:r>
          </w:p>
        </w:tc>
        <w:tc>
          <w:tcPr/>
          <w:p>
            <w:pPr>
              <w:pStyle w:val="Compact"/>
              <w:jc w:val="right"/>
            </w:pPr>
            <w:r>
              <w:t xml:space="preserve">0.1164</w:t>
            </w:r>
          </w:p>
        </w:tc>
      </w:tr>
      <w:tr>
        <w:tc>
          <w:tcPr/>
          <w:p>
            <w:pPr>
              <w:pStyle w:val="Compact"/>
              <w:jc w:val="right"/>
            </w:pPr>
            <w:r>
              <w:t xml:space="preserve">0.7156</w:t>
            </w:r>
          </w:p>
        </w:tc>
        <w:tc>
          <w:tcPr/>
          <w:p>
            <w:pPr>
              <w:pStyle w:val="Compact"/>
              <w:jc w:val="right"/>
            </w:pPr>
            <w:r>
              <w:t xml:space="preserve">0.1639</w:t>
            </w:r>
          </w:p>
        </w:tc>
      </w:tr>
      <w:tr>
        <w:tc>
          <w:tcPr/>
          <w:p>
            <w:pPr>
              <w:pStyle w:val="Compact"/>
              <w:jc w:val="right"/>
            </w:pPr>
            <w:r>
              <w:t xml:space="preserve">1.0564</w:t>
            </w:r>
          </w:p>
        </w:tc>
        <w:tc>
          <w:tcPr/>
          <w:p>
            <w:pPr>
              <w:pStyle w:val="Compact"/>
              <w:jc w:val="right"/>
            </w:pPr>
            <w:r>
              <w:t xml:space="preserve">0.2470</w:t>
            </w:r>
          </w:p>
        </w:tc>
      </w:tr>
      <w:tr>
        <w:tc>
          <w:tcPr/>
          <w:p>
            <w:pPr>
              <w:pStyle w:val="Compact"/>
              <w:jc w:val="right"/>
            </w:pPr>
            <w:r>
              <w:t xml:space="preserve">1.2041</w:t>
            </w:r>
          </w:p>
        </w:tc>
        <w:tc>
          <w:tcPr/>
          <w:p>
            <w:pPr>
              <w:pStyle w:val="Compact"/>
              <w:jc w:val="right"/>
            </w:pPr>
            <w:r>
              <w:t xml:space="preserve">0.2803</w:t>
            </w:r>
          </w:p>
        </w:tc>
      </w:tr>
      <w:tr>
        <w:tc>
          <w:tcPr/>
          <w:p>
            <w:pPr>
              <w:pStyle w:val="Compact"/>
              <w:jc w:val="right"/>
            </w:pPr>
            <w:r>
              <w:t xml:space="preserve">1.4311</w:t>
            </w:r>
          </w:p>
        </w:tc>
        <w:tc>
          <w:tcPr/>
          <w:p>
            <w:pPr>
              <w:pStyle w:val="Compact"/>
              <w:jc w:val="right"/>
            </w:pPr>
            <w:r>
              <w:t xml:space="preserve">0.3278</w:t>
            </w:r>
          </w:p>
        </w:tc>
      </w:tr>
      <w:tr>
        <w:tc>
          <w:tcPr/>
          <w:p>
            <w:pPr>
              <w:pStyle w:val="Compact"/>
              <w:jc w:val="right"/>
            </w:pPr>
            <w:r>
              <w:t xml:space="preserve">1.6465</w:t>
            </w:r>
          </w:p>
        </w:tc>
        <w:tc>
          <w:tcPr/>
          <w:p>
            <w:pPr>
              <w:pStyle w:val="Compact"/>
              <w:jc w:val="right"/>
            </w:pPr>
            <w:r>
              <w:t xml:space="preserve">0.3563</w:t>
            </w:r>
          </w:p>
        </w:tc>
      </w:tr>
      <w:tr>
        <w:tc>
          <w:tcPr/>
          <w:p>
            <w:pPr>
              <w:pStyle w:val="Compact"/>
              <w:jc w:val="right"/>
            </w:pPr>
            <w:r>
              <w:t xml:space="preserve">1.8283</w:t>
            </w:r>
          </w:p>
        </w:tc>
        <w:tc>
          <w:tcPr/>
          <w:p>
            <w:pPr>
              <w:pStyle w:val="Compact"/>
              <w:jc w:val="right"/>
            </w:pPr>
            <w:r>
              <w:t xml:space="preserve">0.4038</w:t>
            </w:r>
          </w:p>
        </w:tc>
      </w:tr>
      <w:tr>
        <w:tc>
          <w:tcPr/>
          <w:p>
            <w:pPr>
              <w:pStyle w:val="Compact"/>
              <w:jc w:val="right"/>
            </w:pPr>
            <w:r>
              <w:t xml:space="preserve">2.1119</w:t>
            </w:r>
          </w:p>
        </w:tc>
        <w:tc>
          <w:tcPr/>
          <w:p>
            <w:pPr>
              <w:pStyle w:val="Compact"/>
              <w:jc w:val="right"/>
            </w:pPr>
            <w:r>
              <w:t xml:space="preserve">0.4537</w:t>
            </w:r>
          </w:p>
        </w:tc>
      </w:tr>
      <w:tr>
        <w:tc>
          <w:tcPr/>
          <w:p>
            <w:pPr>
              <w:pStyle w:val="Compact"/>
              <w:jc w:val="right"/>
            </w:pPr>
            <w:r>
              <w:t xml:space="preserve">2.4182</w:t>
            </w:r>
          </w:p>
        </w:tc>
        <w:tc>
          <w:tcPr/>
          <w:p>
            <w:pPr>
              <w:pStyle w:val="Compact"/>
              <w:jc w:val="right"/>
            </w:pPr>
            <w:r>
              <w:t xml:space="preserve">0.5059</w:t>
            </w:r>
          </w:p>
        </w:tc>
      </w:tr>
      <w:tr>
        <w:tc>
          <w:tcPr/>
          <w:p>
            <w:pPr>
              <w:pStyle w:val="Compact"/>
              <w:jc w:val="right"/>
            </w:pPr>
            <w:r>
              <w:t xml:space="preserve">2.9970</w:t>
            </w:r>
          </w:p>
        </w:tc>
        <w:tc>
          <w:tcPr/>
          <w:p>
            <w:pPr>
              <w:pStyle w:val="Compact"/>
              <w:jc w:val="right"/>
            </w:pPr>
            <w:r>
              <w:t xml:space="preserve">0.6152</w:t>
            </w:r>
          </w:p>
        </w:tc>
      </w:tr>
      <w:tr>
        <w:tc>
          <w:tcPr/>
          <w:p>
            <w:pPr>
              <w:pStyle w:val="Compact"/>
              <w:jc w:val="right"/>
            </w:pPr>
            <w:r>
              <w:t xml:space="preserve">3.6763</w:t>
            </w:r>
          </w:p>
        </w:tc>
        <w:tc>
          <w:tcPr/>
          <w:p>
            <w:pPr>
              <w:pStyle w:val="Compact"/>
              <w:jc w:val="right"/>
            </w:pPr>
            <w:r>
              <w:t xml:space="preserve">0.6746</w:t>
            </w:r>
          </w:p>
        </w:tc>
      </w:tr>
      <w:tr>
        <w:tc>
          <w:tcPr/>
          <w:p>
            <w:pPr>
              <w:pStyle w:val="Compact"/>
              <w:jc w:val="right"/>
            </w:pPr>
            <w:r>
              <w:t xml:space="preserve">4.2308</w:t>
            </w:r>
          </w:p>
        </w:tc>
        <w:tc>
          <w:tcPr/>
          <w:p>
            <w:pPr>
              <w:pStyle w:val="Compact"/>
              <w:jc w:val="right"/>
            </w:pPr>
            <w:r>
              <w:t xml:space="preserve">0.7126</w:t>
            </w:r>
          </w:p>
        </w:tc>
      </w:tr>
      <w:tr>
        <w:tc>
          <w:tcPr/>
          <w:p>
            <w:pPr>
              <w:pStyle w:val="Compact"/>
              <w:jc w:val="right"/>
            </w:pPr>
            <w:r>
              <w:t xml:space="preserve">4.8316</w:t>
            </w:r>
          </w:p>
        </w:tc>
        <w:tc>
          <w:tcPr/>
          <w:p>
            <w:pPr>
              <w:pStyle w:val="Compact"/>
              <w:jc w:val="right"/>
            </w:pPr>
            <w:r>
              <w:t xml:space="preserve">0.7981</w:t>
            </w:r>
          </w:p>
        </w:tc>
      </w:tr>
      <w:tr>
        <w:tc>
          <w:tcPr/>
          <w:p>
            <w:pPr>
              <w:pStyle w:val="Compact"/>
              <w:jc w:val="right"/>
            </w:pPr>
            <w:r>
              <w:t xml:space="preserve">5.4070</w:t>
            </w:r>
          </w:p>
        </w:tc>
        <w:tc>
          <w:tcPr/>
          <w:p>
            <w:pPr>
              <w:pStyle w:val="Compact"/>
              <w:jc w:val="right"/>
            </w:pPr>
            <w:r>
              <w:t xml:space="preserve">0.7601</w:t>
            </w:r>
          </w:p>
        </w:tc>
      </w:tr>
      <w:tr>
        <w:tc>
          <w:tcPr/>
          <w:p>
            <w:pPr>
              <w:pStyle w:val="Compact"/>
              <w:jc w:val="right"/>
            </w:pPr>
            <w:r>
              <w:t xml:space="preserve">6.0646</w:t>
            </w:r>
          </w:p>
        </w:tc>
        <w:tc>
          <w:tcPr/>
          <w:p>
            <w:pPr>
              <w:pStyle w:val="Compact"/>
              <w:jc w:val="right"/>
            </w:pPr>
            <w:r>
              <w:t xml:space="preserve">0.8599</w:t>
            </w:r>
          </w:p>
        </w:tc>
      </w:tr>
      <w:tr>
        <w:tc>
          <w:tcPr/>
          <w:p>
            <w:pPr>
              <w:pStyle w:val="Compact"/>
              <w:jc w:val="right"/>
            </w:pPr>
            <w:r>
              <w:t xml:space="preserve">6.6638</w:t>
            </w:r>
          </w:p>
        </w:tc>
        <w:tc>
          <w:tcPr/>
          <w:p>
            <w:pPr>
              <w:pStyle w:val="Compact"/>
              <w:jc w:val="right"/>
            </w:pPr>
            <w:r>
              <w:t xml:space="preserve">0.8741</w:t>
            </w:r>
          </w:p>
        </w:tc>
      </w:tr>
    </w:tbl>
    <w:p>
      <w:pPr>
        <w:pStyle w:val="BodyText"/>
      </w:pPr>
      <w:r>
        <w:t xml:space="preserve">Data Set B:</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2.3832</w:t>
            </w:r>
          </w:p>
        </w:tc>
        <w:tc>
          <w:tcPr/>
          <w:p>
            <w:pPr>
              <w:pStyle w:val="Compact"/>
              <w:jc w:val="right"/>
            </w:pPr>
            <w:r>
              <w:t xml:space="preserve">0.0109000</w:t>
            </w:r>
          </w:p>
        </w:tc>
      </w:tr>
      <w:tr>
        <w:tc>
          <w:tcPr/>
          <w:p>
            <w:pPr>
              <w:pStyle w:val="Compact"/>
              <w:jc w:val="right"/>
            </w:pPr>
            <w:r>
              <w:t xml:space="preserve">2.7230</w:t>
            </w:r>
          </w:p>
        </w:tc>
        <w:tc>
          <w:tcPr/>
          <w:p>
            <w:pPr>
              <w:pStyle w:val="Compact"/>
              <w:jc w:val="right"/>
            </w:pPr>
            <w:r>
              <w:t xml:space="preserve">0.0093429</w:t>
            </w:r>
          </w:p>
        </w:tc>
      </w:tr>
      <w:tr>
        <w:tc>
          <w:tcPr/>
          <w:p>
            <w:pPr>
              <w:pStyle w:val="Compact"/>
              <w:jc w:val="right"/>
            </w:pPr>
            <w:r>
              <w:t xml:space="preserve">3.0358</w:t>
            </w:r>
          </w:p>
        </w:tc>
        <w:tc>
          <w:tcPr/>
          <w:p>
            <w:pPr>
              <w:pStyle w:val="Compact"/>
              <w:jc w:val="right"/>
            </w:pPr>
            <w:r>
              <w:t xml:space="preserve">0.0146000</w:t>
            </w:r>
          </w:p>
        </w:tc>
      </w:tr>
      <w:tr>
        <w:tc>
          <w:tcPr/>
          <w:p>
            <w:pPr>
              <w:pStyle w:val="Compact"/>
              <w:jc w:val="right"/>
            </w:pPr>
            <w:r>
              <w:t xml:space="preserve">3.5177</w:t>
            </w:r>
          </w:p>
        </w:tc>
        <w:tc>
          <w:tcPr/>
          <w:p>
            <w:pPr>
              <w:pStyle w:val="Compact"/>
              <w:jc w:val="right"/>
            </w:pPr>
            <w:r>
              <w:t xml:space="preserve">0.0145000</w:t>
            </w:r>
          </w:p>
        </w:tc>
      </w:tr>
      <w:tr>
        <w:tc>
          <w:tcPr/>
          <w:p>
            <w:pPr>
              <w:pStyle w:val="Compact"/>
              <w:jc w:val="right"/>
            </w:pPr>
            <w:r>
              <w:t xml:space="preserve">4.0014</w:t>
            </w:r>
          </w:p>
        </w:tc>
        <w:tc>
          <w:tcPr/>
          <w:p>
            <w:pPr>
              <w:pStyle w:val="Compact"/>
              <w:jc w:val="right"/>
            </w:pPr>
            <w:r>
              <w:t xml:space="preserve">0.0242000</w:t>
            </w:r>
          </w:p>
        </w:tc>
      </w:tr>
      <w:tr>
        <w:tc>
          <w:tcPr/>
          <w:p>
            <w:pPr>
              <w:pStyle w:val="Compact"/>
              <w:jc w:val="right"/>
            </w:pPr>
            <w:r>
              <w:t xml:space="preserve">4.5692</w:t>
            </w:r>
          </w:p>
        </w:tc>
        <w:tc>
          <w:tcPr/>
          <w:p>
            <w:pPr>
              <w:pStyle w:val="Compact"/>
              <w:jc w:val="right"/>
            </w:pPr>
            <w:r>
              <w:t xml:space="preserve">0.0286000</w:t>
            </w:r>
          </w:p>
        </w:tc>
      </w:tr>
      <w:tr>
        <w:tc>
          <w:tcPr/>
          <w:p>
            <w:pPr>
              <w:pStyle w:val="Compact"/>
              <w:jc w:val="right"/>
            </w:pPr>
            <w:r>
              <w:t xml:space="preserve">5.0528</w:t>
            </w:r>
          </w:p>
        </w:tc>
        <w:tc>
          <w:tcPr/>
          <w:p>
            <w:pPr>
              <w:pStyle w:val="Compact"/>
              <w:jc w:val="right"/>
            </w:pPr>
            <w:r>
              <w:t xml:space="preserve">0.0376000</w:t>
            </w:r>
          </w:p>
        </w:tc>
      </w:tr>
      <w:tr>
        <w:tc>
          <w:tcPr/>
          <w:p>
            <w:pPr>
              <w:pStyle w:val="Compact"/>
              <w:jc w:val="right"/>
            </w:pPr>
            <w:r>
              <w:t xml:space="preserve">5.5358</w:t>
            </w:r>
          </w:p>
        </w:tc>
        <w:tc>
          <w:tcPr/>
          <w:p>
            <w:pPr>
              <w:pStyle w:val="Compact"/>
              <w:jc w:val="right"/>
            </w:pPr>
            <w:r>
              <w:t xml:space="preserve">0.0435000</w:t>
            </w:r>
          </w:p>
        </w:tc>
      </w:tr>
      <w:tr>
        <w:tc>
          <w:tcPr/>
          <w:p>
            <w:pPr>
              <w:pStyle w:val="Compact"/>
              <w:jc w:val="right"/>
            </w:pPr>
            <w:r>
              <w:t xml:space="preserve">6.4458</w:t>
            </w:r>
          </w:p>
        </w:tc>
        <w:tc>
          <w:tcPr/>
          <w:p>
            <w:pPr>
              <w:pStyle w:val="Compact"/>
              <w:jc w:val="right"/>
            </w:pPr>
            <w:r>
              <w:t xml:space="preserve">0.0592000</w:t>
            </w:r>
          </w:p>
        </w:tc>
      </w:tr>
      <w:tr>
        <w:tc>
          <w:tcPr/>
          <w:p>
            <w:pPr>
              <w:pStyle w:val="Compact"/>
              <w:jc w:val="right"/>
            </w:pPr>
            <w:r>
              <w:t xml:space="preserve">7.5262</w:t>
            </w:r>
          </w:p>
        </w:tc>
        <w:tc>
          <w:tcPr/>
          <w:p>
            <w:pPr>
              <w:pStyle w:val="Compact"/>
              <w:jc w:val="right"/>
            </w:pPr>
            <w:r>
              <w:t xml:space="preserve">0.0764000</w:t>
            </w:r>
          </w:p>
        </w:tc>
      </w:tr>
      <w:tr>
        <w:tc>
          <w:tcPr/>
          <w:p>
            <w:pPr>
              <w:pStyle w:val="Compact"/>
              <w:jc w:val="right"/>
            </w:pPr>
            <w:r>
              <w:t xml:space="preserve">8.5809</w:t>
            </w:r>
          </w:p>
        </w:tc>
        <w:tc>
          <w:tcPr/>
          <w:p>
            <w:pPr>
              <w:pStyle w:val="Compact"/>
              <w:jc w:val="right"/>
            </w:pPr>
            <w:r>
              <w:t xml:space="preserve">0.1071000</w:t>
            </w:r>
          </w:p>
        </w:tc>
      </w:tr>
      <w:tr>
        <w:tc>
          <w:tcPr/>
          <w:p>
            <w:pPr>
              <w:pStyle w:val="Compact"/>
              <w:jc w:val="right"/>
            </w:pPr>
            <w:r>
              <w:t xml:space="preserve">9.6318</w:t>
            </w:r>
          </w:p>
        </w:tc>
        <w:tc>
          <w:tcPr/>
          <w:p>
            <w:pPr>
              <w:pStyle w:val="Compact"/>
              <w:jc w:val="right"/>
            </w:pPr>
            <w:r>
              <w:t xml:space="preserve">0.1182000</w:t>
            </w:r>
          </w:p>
        </w:tc>
      </w:tr>
      <w:tr>
        <w:tc>
          <w:tcPr/>
          <w:p>
            <w:pPr>
              <w:pStyle w:val="Compact"/>
              <w:jc w:val="right"/>
            </w:pPr>
            <w:r>
              <w:t xml:space="preserve">10.8242</w:t>
            </w:r>
          </w:p>
        </w:tc>
        <w:tc>
          <w:tcPr/>
          <w:p>
            <w:pPr>
              <w:pStyle w:val="Compact"/>
              <w:jc w:val="right"/>
            </w:pPr>
            <w:r>
              <w:t xml:space="preserve">0.1278000</w:t>
            </w:r>
          </w:p>
        </w:tc>
      </w:tr>
      <w:tr>
        <w:tc>
          <w:tcPr/>
          <w:p>
            <w:pPr>
              <w:pStyle w:val="Compact"/>
              <w:jc w:val="right"/>
            </w:pPr>
            <w:r>
              <w:t xml:space="preserve">12.0208</w:t>
            </w:r>
          </w:p>
        </w:tc>
        <w:tc>
          <w:tcPr/>
          <w:p>
            <w:pPr>
              <w:pStyle w:val="Compact"/>
              <w:jc w:val="right"/>
            </w:pPr>
            <w:r>
              <w:t xml:space="preserve">0.1600000</w:t>
            </w:r>
          </w:p>
        </w:tc>
      </w:tr>
      <w:tr>
        <w:tc>
          <w:tcPr/>
          <w:p>
            <w:pPr>
              <w:pStyle w:val="Compact"/>
              <w:jc w:val="right"/>
            </w:pPr>
            <w:r>
              <w:t xml:space="preserve">13.1884</w:t>
            </w:r>
          </w:p>
        </w:tc>
        <w:tc>
          <w:tcPr/>
          <w:p>
            <w:pPr>
              <w:pStyle w:val="Compact"/>
              <w:jc w:val="right"/>
            </w:pPr>
            <w:r>
              <w:t xml:space="preserve">0.1885000</w:t>
            </w:r>
          </w:p>
        </w:tc>
      </w:tr>
      <w:tr>
        <w:tc>
          <w:tcPr/>
          <w:p>
            <w:pPr>
              <w:pStyle w:val="Compact"/>
              <w:jc w:val="right"/>
            </w:pPr>
            <w:r>
              <w:t xml:space="preserve">14.2958</w:t>
            </w:r>
          </w:p>
        </w:tc>
        <w:tc>
          <w:tcPr/>
          <w:p>
            <w:pPr>
              <w:pStyle w:val="Compact"/>
              <w:jc w:val="right"/>
            </w:pPr>
            <w:r>
              <w:t xml:space="preserve">0.1989000</w:t>
            </w:r>
          </w:p>
        </w:tc>
      </w:tr>
      <w:tr>
        <w:tc>
          <w:tcPr/>
          <w:p>
            <w:pPr>
              <w:pStyle w:val="Compact"/>
              <w:jc w:val="right"/>
            </w:pPr>
            <w:r>
              <w:t xml:space="preserve">22.7088</w:t>
            </w:r>
          </w:p>
        </w:tc>
        <w:tc>
          <w:tcPr/>
          <w:p>
            <w:pPr>
              <w:pStyle w:val="Compact"/>
              <w:jc w:val="right"/>
            </w:pPr>
            <w:r>
              <w:t xml:space="preserve">0.3173000</w:t>
            </w:r>
          </w:p>
        </w:tc>
      </w:tr>
      <w:tr>
        <w:tc>
          <w:tcPr/>
          <w:p>
            <w:pPr>
              <w:pStyle w:val="Compact"/>
              <w:jc w:val="right"/>
            </w:pPr>
            <w:r>
              <w:t xml:space="preserve">24.8690</w:t>
            </w:r>
          </w:p>
        </w:tc>
        <w:tc>
          <w:tcPr/>
          <w:p>
            <w:pPr>
              <w:pStyle w:val="Compact"/>
              <w:jc w:val="right"/>
            </w:pPr>
            <w:r>
              <w:t xml:space="preserve">0.3486000</w:t>
            </w:r>
          </w:p>
        </w:tc>
      </w:tr>
      <w:tr>
        <w:tc>
          <w:tcPr/>
          <w:p>
            <w:pPr>
              <w:pStyle w:val="Compact"/>
              <w:jc w:val="right"/>
            </w:pPr>
            <w:r>
              <w:t xml:space="preserve">26.7739</w:t>
            </w:r>
          </w:p>
        </w:tc>
        <w:tc>
          <w:tcPr/>
          <w:p>
            <w:pPr>
              <w:pStyle w:val="Compact"/>
              <w:jc w:val="right"/>
            </w:pPr>
            <w:r>
              <w:t xml:space="preserve">0.3784000</w:t>
            </w:r>
          </w:p>
        </w:tc>
      </w:tr>
      <w:tr>
        <w:tc>
          <w:tcPr/>
          <w:p>
            <w:pPr>
              <w:pStyle w:val="Compact"/>
              <w:jc w:val="right"/>
            </w:pPr>
            <w:r>
              <w:t xml:space="preserve">28.9053</w:t>
            </w:r>
          </w:p>
        </w:tc>
        <w:tc>
          <w:tcPr/>
          <w:p>
            <w:pPr>
              <w:pStyle w:val="Compact"/>
              <w:jc w:val="right"/>
            </w:pPr>
            <w:r>
              <w:t xml:space="preserve">0.4075000</w:t>
            </w:r>
          </w:p>
        </w:tc>
      </w:tr>
    </w:tbl>
    <w:bookmarkEnd w:id="57"/>
    <w:sectPr w:rsidR="00C60B4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62310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DBAC2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DC28BB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5ED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8294A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AC0464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38A15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2AE60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215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38D2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9A02AB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49192186" w:numId="1">
    <w:abstractNumId w:val="10"/>
  </w:num>
  <w:num w16cid:durableId="724068132" w:numId="2">
    <w:abstractNumId w:val="9"/>
  </w:num>
  <w:num w16cid:durableId="683360240" w:numId="3">
    <w:abstractNumId w:val="7"/>
  </w:num>
  <w:num w16cid:durableId="920716284" w:numId="4">
    <w:abstractNumId w:val="6"/>
  </w:num>
  <w:num w16cid:durableId="1133792167" w:numId="5">
    <w:abstractNumId w:val="5"/>
  </w:num>
  <w:num w16cid:durableId="926841933" w:numId="6">
    <w:abstractNumId w:val="4"/>
  </w:num>
  <w:num w16cid:durableId="663704253" w:numId="7">
    <w:abstractNumId w:val="8"/>
  </w:num>
  <w:num w16cid:durableId="97913806" w:numId="8">
    <w:abstractNumId w:val="3"/>
  </w:num>
  <w:num w16cid:durableId="1404524246" w:numId="9">
    <w:abstractNumId w:val="2"/>
  </w:num>
  <w:num w16cid:durableId="1553274368" w:numId="10">
    <w:abstractNumId w:val="1"/>
  </w:num>
  <w:num w16cid:durableId="962997762"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017E3"/>
  </w:style>
  <w:style w:styleId="Heading1" w:type="paragraph">
    <w:name w:val="heading 1"/>
    <w:basedOn w:val="Normal"/>
    <w:next w:val="BodyText"/>
    <w:uiPriority w:val="9"/>
    <w:qFormat/>
    <w:rsid w:val="00DA52A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52A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rsid w:val="00DA52A3"/>
    <w:pPr>
      <w:keepNext/>
      <w:keepLines/>
      <w:spacing w:after="0" w:before="200"/>
      <w:outlineLvl w:val="2"/>
    </w:pPr>
    <w:rPr>
      <w:rFonts w:ascii="Times New Roman" w:cstheme="majorBidi" w:eastAsiaTheme="majorEastAsia" w:hAnsi="Times New Roman"/>
      <w:b/>
      <w:bCs/>
      <w:color w:themeColor="accent1" w:val="4F81BD"/>
    </w:rPr>
  </w:style>
  <w:style w:styleId="Heading4" w:type="paragraph">
    <w:name w:val="heading 4"/>
    <w:basedOn w:val="Normal"/>
    <w:next w:val="BodyText"/>
    <w:uiPriority w:val="9"/>
    <w:unhideWhenUsed/>
    <w:qFormat/>
    <w:rsid w:val="00DA52A3"/>
    <w:pPr>
      <w:keepNext/>
      <w:keepLines/>
      <w:spacing w:after="0" w:before="200"/>
      <w:outlineLvl w:val="3"/>
    </w:pPr>
    <w:rPr>
      <w:rFonts w:ascii="Times New Roman" w:cstheme="majorBidi" w:eastAsiaTheme="majorEastAsia" w:hAnsi="Times New Roman"/>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3641F"/>
    <w:pPr>
      <w:spacing w:after="180" w:before="180"/>
      <w:ind w:firstLine="7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017E3"/>
    <w:pPr>
      <w:keepNext/>
      <w:keepLines/>
      <w:spacing w:after="240" w:before="480"/>
      <w:jc w:val="center"/>
    </w:pPr>
    <w:rPr>
      <w:rFonts w:ascii="Times New Roman" w:cstheme="majorBidi" w:eastAsiaTheme="majorEastAsia" w:hAnsi="Times New Roman"/>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017E3"/>
    <w:pPr>
      <w:keepNext/>
      <w:keepLines/>
      <w:jc w:val="center"/>
    </w:pPr>
    <w:rPr>
      <w:rFonts w:ascii="Times New Roman" w:hAnsi="Times New Roman"/>
    </w:rPr>
  </w:style>
  <w:style w:styleId="Date" w:type="paragraph">
    <w:name w:val="Date"/>
    <w:next w:val="BodyText"/>
    <w:qFormat/>
    <w:rsid w:val="003017E3"/>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AHeading" w:type="paragraph">
    <w:name w:val="toa heading"/>
    <w:basedOn w:val="Normal"/>
    <w:next w:val="Normal"/>
    <w:semiHidden/>
    <w:unhideWhenUsed/>
    <w:rsid w:val="003017E3"/>
    <w:pPr>
      <w:spacing w:before="120"/>
    </w:pPr>
    <w:rPr>
      <w:rFonts w:ascii="Times New Roman" w:cstheme="majorBidi" w:eastAsiaTheme="majorEastAsia" w:hAnsi="Times New Roman"/>
      <w:b/>
      <w:bCs/>
    </w:rPr>
  </w:style>
  <w:style w:customStyle="1" w:styleId="BodyTextChar" w:type="character">
    <w:name w:val="Body Text Char"/>
    <w:basedOn w:val="DefaultParagraphFont"/>
    <w:link w:val="BodyText"/>
    <w:rsid w:val="0093641F"/>
    <w:rPr>
      <w:rFonts w:ascii="Times New Roman" w:hAnsi="Times New Roman"/>
    </w:rPr>
  </w:style>
  <w:style w:styleId="BookTitle" w:type="character">
    <w:name w:val="Book Title"/>
    <w:basedOn w:val="DefaultParagraphFont"/>
    <w:rsid w:val="00746F7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55" Target="https://journals.asm.org/doi/epdf/10.1128/jb.60.4.381-392.1950" TargetMode="External" /></Relationships>
</file>

<file path=word/_rels/footnotes.xml.rels><?xml version="1.0" encoding="UTF-8"?><Relationships xmlns="http://schemas.openxmlformats.org/package/2006/relationships"><Relationship Type="http://schemas.openxmlformats.org/officeDocument/2006/relationships/hyperlink" Id="rId55" Target="https://journals.asm.org/doi/epdf/10.1128/jb.60.4.381-392.1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Mechanisms for Human Diseases: Lab 1</dc:title>
  <dc:creator>Peter Yibo Pan, collaborators:</dc:creator>
  <cp:keywords/>
  <dcterms:created xsi:type="dcterms:W3CDTF">2023-02-09T02:59:30Z</dcterms:created>
  <dcterms:modified xsi:type="dcterms:W3CDTF">2023-02-09T02:59:30Z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(2023-02-08)</vt:lpwstr>
  </property>
  <property fmtid="{D5CDD505-2E9C-101B-9397-08002B2CF9AE}" pid="3" name="output">
    <vt:lpwstr/>
  </property>
  <property fmtid="{D5CDD505-2E9C-101B-9397-08002B2CF9AE}" pid="4" name="subtitle">
    <vt:lpwstr>Bacteria’s Brain – Part A</vt:lpwstr>
  </property>
</Properties>
</file>