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 Effect for Delaying Dementia Onset: A Bayesian Meta-Analysis</w:t>
      </w:r>
    </w:p>
    <w:p>
      <w:pPr>
        <w:pStyle w:val="Author"/>
      </w:pPr>
      <w:r>
        <w:t xml:space="preserve">Ziyuan Li</w:t>
      </w:r>
    </w:p>
    <w:p>
      <w:pPr>
        <w:pStyle w:val="Author"/>
      </w:pPr>
      <w:r>
        <w:t xml:space="preserve">Stefano Coretta</w:t>
      </w:r>
    </w:p>
    <w:p>
      <w:pPr>
        <w:pStyle w:val="Date"/>
      </w:pPr>
      <w:r>
        <w:t xml:space="preserve">2025-05-14</w:t>
      </w:r>
    </w:p>
    <w:p>
      <w:pPr>
        <w:pStyle w:val="AbstractTitle"/>
      </w:pPr>
      <w:r>
        <w:t xml:space="preserve">Abstract</w:t>
      </w:r>
    </w:p>
    <w:p>
      <w:pPr>
        <w:pStyle w:val="Abstract"/>
      </w:pPr>
      <w:r>
        <w:t xml:space="preserve">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w:t>
      </w:r>
      <w:r>
        <w:t xml:space="preserve"> </w:t>
      </w:r>
      <w:r>
        <w:rPr>
          <w:color w:val="FF0000"/>
        </w:rPr>
        <w:t>Moreover, subgroup analyses revealed a relatively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aging and brain loss</w:t>
      </w:r>
      <w:r>
        <w:t xml:space="preserve"> </w:t>
      </w:r>
      <w:r>
        <w:t xml:space="preserve">(Berkes &amp; Bialystok, 2022)</w:t>
      </w:r>
      <w:r>
        <w:t xml:space="preserve">. In this sense, there should be several outcomes when comparing high-cognitive reserve and low-cognitive reserve aging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“advantage”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to be involved in complex EF tasks, while posterior and subcortical regions are largely believed to be involved in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w:t>
      </w:r>
      <w:r>
        <w:t xml:space="preserve"> </w:t>
      </w:r>
      <w:r>
        <w:rPr>
          <w:color w:val="FF0000"/>
        </w:rPr>
        <w:t>to what</w:t>
      </w:r>
      <w:r>
        <w:t xml:space="preserve"> </w:t>
      </w:r>
      <w:r>
        <w:t xml:space="preserve">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w:t>
      </w:r>
      <w:r>
        <w:t xml:space="preserve"> </w:t>
      </w:r>
      <w:r>
        <w:rPr>
          <w:color w:val="FF0000"/>
        </w:rPr>
        <w:t>compared to</w:t>
      </w:r>
      <w:r>
        <w:t xml:space="preserve"> </w:t>
      </w:r>
      <w:r>
        <w:t xml:space="preserve">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w:t>
      </w:r>
      <w:r>
        <w:t xml:space="preserve"> </w:t>
      </w:r>
      <w:r>
        <w:rPr>
          <w:color w:val="FF0000"/>
        </w:rPr>
        <w:t>with</w:t>
      </w:r>
      <w:r>
        <w:t xml:space="preserve"> </w:t>
      </w:r>
      <w:r>
        <w:t xml:space="preserve">dementia</w:t>
      </w:r>
      <w:r>
        <w:t xml:space="preserve"> </w:t>
      </w:r>
      <w:r>
        <w:t xml:space="preserve">(Zahodne et al., 2014)</w:t>
      </w:r>
      <w:r>
        <w:t xml:space="preserve">. The results showed that bilingualism was associated with a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“a strategy to delay dementia”</w:t>
      </w:r>
      <w:r>
        <w:t xml:space="preserve"> </w:t>
      </w:r>
      <w:r>
        <w:t xml:space="preserve">(Mukadam et al., 2017, p. 53)</w:t>
      </w:r>
      <w:r>
        <w:t xml:space="preserve">. Yet the present study will argue that their argument is premature and that the difference</w:t>
      </w:r>
      <w:r>
        <w:t xml:space="preserve"> </w:t>
      </w:r>
      <w:r>
        <w:rPr>
          <w:color w:val="FF0000"/>
        </w:rPr>
        <w:t>between</w:t>
      </w:r>
      <w:r>
        <w:t xml:space="preserve"> </w:t>
      </w:r>
      <w:r>
        <w:t xml:space="preserve">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found a bilingual effect on lower dementia risks among non-immigrant populations in India. Given these limitations of previous meta-analyses,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meta-analyses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w:t>
      </w:r>
      <w:r>
        <w:t xml:space="preserve"> </w:t>
      </w:r>
      <w:r>
        <w:rPr>
          <w:color w:val="FF0000"/>
        </w:rPr>
        <w:t>preventive effect of bilingualism</w:t>
      </w:r>
      <w:r>
        <w:t xml:space="preserve"> </w:t>
      </w:r>
      <w:r>
        <w:t xml:space="preserve">on dementia?{.red}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w:t>
      </w:r>
      <w:r>
        <w:t xml:space="preserve"> </w:t>
      </w:r>
      <w:r>
        <w:rPr>
          <w:rStyle w:val="VerbatimChar"/>
        </w:rPr>
        <w:t xml:space="preserve">avg_comparisons()</w:t>
      </w:r>
      <w:r>
        <w:t xml:space="preserve"> </w:t>
      </w:r>
      <w:r>
        <w:t xml:space="preserve">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“bilingualism”</w:t>
      </w:r>
      <w:r>
        <w:t xml:space="preserve"> </w:t>
      </w:r>
      <w:r>
        <w:t xml:space="preserve">OR</w:t>
      </w:r>
      <w:r>
        <w:t xml:space="preserve"> </w:t>
      </w:r>
      <w:r>
        <w:t xml:space="preserve">“multilingualism”</w:t>
      </w:r>
      <w:r>
        <w:t xml:space="preserve">) AND (</w:t>
      </w:r>
      <w:r>
        <w:t xml:space="preserve">“Alzheimer’s disease”</w:t>
      </w:r>
      <w:r>
        <w:t xml:space="preserve"> </w:t>
      </w:r>
      <w:r>
        <w:t xml:space="preserve">OR</w:t>
      </w:r>
      <w:r>
        <w:t xml:space="preserve"> </w:t>
      </w:r>
      <w:r>
        <w:t xml:space="preserve">“dementia”</w:t>
      </w:r>
      <w:r>
        <w:t xml:space="preserve"> </w:t>
      </w:r>
      <w:r>
        <w:t xml:space="preserve">OR</w:t>
      </w:r>
      <w:r>
        <w:t xml:space="preserve"> </w:t>
      </w:r>
      <w:r>
        <w:t xml:space="preserve">“MCI”</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bilingual and monolingual samples. (b). The study should be about dementia or mild cognitive impairment (MCI). (c). The articles included need to provide necessary information for both bilingual and monolingual groups (i.e., for age at onset study: sample size, the mean age of onset and standard deviation of each group; for incidence rate study: sample size, the number of individuals who developed dementia during the study period). Additionally, they have to report the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w:t>
      </w:r>
      <w:r>
        <w:t xml:space="preserve"> </w:t>
      </w:r>
      <w:r>
        <w:rPr>
          <w:color w:val="FF0000"/>
        </w:rPr>
        <w:t>the</w:t>
      </w:r>
      <w:r>
        <w:t xml:space="preserve"> </w:t>
      </w:r>
      <w:r>
        <w:t xml:space="preserve">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about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for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w:t>
      </w:r>
      <w:r>
        <w:t xml:space="preserve"> </w:t>
      </w:r>
      <w:r>
        <w:rPr>
          <w:color w:val="FF0000"/>
        </w:rPr>
        <w:t>bilingual</w:t>
      </w:r>
      <w:r>
        <w:t xml:space="preserve">.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w:t>
      </w:r>
      <w:r>
        <w:t xml:space="preserve"> </w:t>
      </w:r>
      <w:r>
        <w:rPr>
          <w:color w:val="FF0000"/>
        </w:rPr>
        <w:t>that</w:t>
      </w:r>
      <w:r>
        <w:t xml:space="preserve"> </w:t>
      </w:r>
      <w:r>
        <w:t xml:space="preserve">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w:t>
      </w:r>
      <w:r>
        <w:t xml:space="preserve"> </w:t>
      </w:r>
      <w:r>
        <w:rPr>
          <w:color w:val="FF0000"/>
        </w:rPr>
        <w:t>an</w:t>
      </w:r>
      <w:r>
        <w:t xml:space="preserve"> </w:t>
      </w:r>
      <w:r>
        <w:t xml:space="preserve">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this case, age at onset of dementia) would fall within 95% CrI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36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CrI (</w:t>
      </w:r>
      <m:oMath>
        <m:r>
          <m:t>β</m:t>
        </m:r>
      </m:oMath>
      <w:r>
        <w:t xml:space="preserve"> </w:t>
      </w:r>
      <w:r>
        <w:t xml:space="preserve">= 68.39, Est.Error = 1.64). For bilinguals, the estimated age at dementia onset was between 68.82 and 74.61 years at 95% CrI (</w:t>
      </w:r>
      <m:oMath>
        <m:r>
          <m:t>β</m:t>
        </m:r>
      </m:oMath>
      <w:r>
        <w:t xml:space="preserve"> </w:t>
      </w:r>
      <w:r>
        <w:t xml:space="preserve">= 71.68, Est.Error = 1.49).</w:t>
      </w:r>
      <w:r>
        <w:t xml:space="preserve"> </w:t>
      </w:r>
      <w:r>
        <w:rPr>
          <w:color w:val="FF0000"/>
        </w:rPr>
        <w:t>Comparing the posterior draws directly, the posterior probability that bilinguals had a later dementia onset than monolinguals was 1</w:t>
      </w:r>
      <w:r>
        <w:t xml:space="preserve">.</w:t>
      </w:r>
      <w:r>
        <w:t xml:space="preserve"> </w:t>
      </w:r>
      <w:r>
        <w:rPr>
          <w:color w:val="FF0000"/>
        </w:rPr>
        <w:t>We</w:t>
      </w:r>
      <w:r>
        <w:t xml:space="preserve"> </w:t>
      </w:r>
      <w:r>
        <w:t xml:space="preserve">further used the</w:t>
      </w:r>
      <w:r>
        <w:t xml:space="preserve"> </w:t>
      </w:r>
      <w:r>
        <w:rPr>
          <w:rStyle w:val="VerbatimChar"/>
        </w:rPr>
        <w:t xml:space="preserve">avg_comparisons()</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CrI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the predicted average estimate (from avg\_comparisons()) is narrower than those observed in the study-specific estimates in the forest plot. This is because the calculated interval is based on the mean predicted effect of each observation in the dataset, for each MCMC draw.</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CrI [5.24, 9.93], and 6.54 with a 95% CrI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fig-fig4-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dashed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 for the first group of 8 studies was later than the population-level age at onset for around 3 to 8 years</w:t>
      </w:r>
      <w:r>
        <w:t xml:space="preserve"> </w:t>
      </w:r>
      <w:r>
        <w:t xml:space="preserve">(Berkes et al., 2020; Bialystok et al., 2014; Chertkow et al., 2010; Clare et al., 2016; Craik et al., 2010; Ossher et al., 2013; Perani et al., 2017; 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w:t>
      </w:r>
      <w:r>
        <w:t xml:space="preserve"> </w:t>
      </w:r>
      <w:r>
        <w:rPr>
          <w:color w:val="FF0000"/>
        </w:rPr>
        <w:t>the</w:t>
      </w:r>
      <w:r>
        <w:t xml:space="preserve"> </w:t>
      </w:r>
      <w:r>
        <w:t xml:space="preserve">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w:t>
      </w:r>
      <w:r>
        <w:t xml:space="preserve"> </w:t>
      </w:r>
      <w:r>
        <w:rPr>
          <w:color w:val="FF0000"/>
        </w:rPr>
        <w:t>as</w:t>
      </w:r>
      <w:r>
        <w:t xml:space="preserve"> </w:t>
      </w:r>
      <w:r>
        <w:t xml:space="preserve">shown in</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the previous Bayesian linear model. The results showed that the population-level effect of</w:t>
      </w:r>
      <w:r>
        <w:t xml:space="preserve"> </w:t>
      </w:r>
      <w:r>
        <w:t xml:space="preserve">“years of education”</w:t>
      </w:r>
      <w:r>
        <w:t xml:space="preserve"> </w:t>
      </w:r>
      <w:r>
        <w:t xml:space="preserve">on the age at onset of dementia was between -0.63 and 0.36 at 95% CrI (</w:t>
      </w:r>
      <m:oMath>
        <m:r>
          <m:t>β</m:t>
        </m:r>
      </m:oMath>
      <w:r>
        <w:t xml:space="preserve"> </w:t>
      </w:r>
      <w:r>
        <w:t xml:space="preserve">= -0.11, Est.Error = 0.26). It was quite uncertain about the role of Education since the effect involves both negative and positive values. This indicates that we are still uncertain whether</w:t>
      </w:r>
      <w:r>
        <w:t xml:space="preserve"> </w:t>
      </w:r>
      <w:r>
        <w:t xml:space="preserve">“years of education”</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 for monolinguals and bilinguals was 69.62 years with a 95% CrI [63.16, 77.00] and 73.03 years with a 95% CrI [66.05, 80.53] after including years of education into the model.</w:t>
      </w:r>
      <w:r>
        <w:t xml:space="preserve"> </w:t>
      </w:r>
      <w:r>
        <w:rPr>
          <w:color w:val="FF0000"/>
        </w:rPr>
        <w:t>The results from comparing posterior draws showed that the probability of bilinguals having delayed dementia onset was still 100\%.</w:t>
      </w:r>
      <w:r>
        <w:t xml:space="preserve"> </w:t>
      </w:r>
      <w:r>
        <w:t xml:space="preserve">Using</w:t>
      </w:r>
      <w:r>
        <w:t xml:space="preserve"> </w:t>
      </w:r>
      <w:r>
        <w:rPr>
          <w:rStyle w:val="VerbatimChar"/>
        </w:rPr>
        <w:t xml:space="preserve">avg_comparisons()</w:t>
      </w:r>
      <w:r>
        <w:t xml:space="preserve"> </w:t>
      </w:r>
      <w:r>
        <w:t xml:space="preserve">again, the mean average difference between the age at dementia onset for bilinguals and monolinguals was 3.65 years with a 95% CrI [2.55, 4.91]. The result was close to the previous model, where education was not included (3.45 years with a 95% CrI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pPr>
            <w:r>
              <w:t xml:space="preserve">Study</w:t>
            </w:r>
          </w:p>
        </w:tc>
        <w:tc>
          <w:tcPr/>
          <w:p>
            <w:pPr>
              <w:pStyle w:val="Compact"/>
            </w:pPr>
            <w:r>
              <w:t xml:space="preserve">Dementia Diagnosis</w:t>
            </w:r>
          </w:p>
        </w:tc>
        <w:tc>
          <w:tcPr/>
          <w:p>
            <w:pPr>
              <w:pStyle w:val="Compact"/>
            </w:pPr>
            <w:r>
              <w:t xml:space="preserve">Type of Dementia or MCI</w:t>
            </w:r>
          </w:p>
        </w:tc>
        <w:tc>
          <w:tcPr/>
          <w:p>
            <w:pPr>
              <w:pStyle w:val="Compact"/>
            </w:pPr>
            <w:r>
              <w:t xml:space="preserve">Mean Age of Diagnosis &amp; Symptom Onset (SD)</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AD</w:t>
            </w:r>
          </w:p>
        </w:tc>
        <w:tc>
          <w:tcPr/>
          <w:p>
            <w:pPr>
              <w:pStyle w:val="Compact"/>
            </w:pPr>
            <w:r>
              <w:t xml:space="preserve">ML: 65.4 (10.0); BL: 68.6 (9.6)</w:t>
            </w:r>
          </w:p>
        </w:tc>
      </w:tr>
      <w:tr>
        <w:tc>
          <w:tcPr/>
          <w:p>
            <w:pPr>
              <w:pStyle w:val="Compact"/>
            </w:pPr>
            <w:r>
              <w:t xml:space="preserve">Bialystok et al. (2007)</w:t>
            </w:r>
          </w:p>
        </w:tc>
        <w:tc>
          <w:tcPr/>
          <w:p>
            <w:pPr>
              <w:pStyle w:val="Compact"/>
            </w:pPr>
            <w:r>
              <w:t xml:space="preserve">NINCDS-ADRDA</w:t>
            </w:r>
          </w:p>
        </w:tc>
        <w:tc>
          <w:tcPr/>
          <w:p>
            <w:pPr>
              <w:pStyle w:val="Compact"/>
            </w:pPr>
            <w:r>
              <w:t xml:space="preserve">AD</w:t>
            </w:r>
          </w:p>
        </w:tc>
        <w:tc>
          <w:tcPr/>
          <w:p>
            <w:pPr>
              <w:pStyle w:val="Compact"/>
            </w:pPr>
            <w:r>
              <w:t xml:space="preserve">ML: 71.4 (9.6); BL: 75.5 (8.5)</w:t>
            </w:r>
          </w:p>
        </w:tc>
      </w:tr>
      <w:tr>
        <w:tc>
          <w:tcPr/>
          <w:p>
            <w:pPr>
              <w:pStyle w:val="Compact"/>
            </w:pPr>
            <w:r>
              <w:t xml:space="preserve">Bialystok et al. (2014)</w:t>
            </w:r>
          </w:p>
        </w:tc>
        <w:tc>
          <w:tcPr/>
          <w:p>
            <w:pPr>
              <w:pStyle w:val="Compact"/>
            </w:pPr>
            <w:r>
              <w:t xml:space="preserve">NA</w:t>
            </w:r>
          </w:p>
        </w:tc>
        <w:tc>
          <w:tcPr/>
          <w:p>
            <w:pPr>
              <w:pStyle w:val="Compact"/>
            </w:pPr>
            <w:r>
              <w:t xml:space="preserve">AD</w:t>
            </w:r>
          </w:p>
        </w:tc>
        <w:tc>
          <w:tcPr/>
          <w:p>
            <w:pPr>
              <w:pStyle w:val="Compact"/>
            </w:pPr>
            <w:r>
              <w:t xml:space="preserve">ML: 70.9 (11.0); BL: 78.2 (8.9)</w:t>
            </w:r>
          </w:p>
        </w:tc>
      </w:tr>
      <w:tr>
        <w:tc>
          <w:tcPr/>
          <w:p>
            <w:pPr>
              <w:pStyle w:val="Compact"/>
            </w:pPr>
            <w:r>
              <w:t xml:space="preserve">Berkes et al. (2020)</w:t>
            </w:r>
          </w:p>
        </w:tc>
        <w:tc>
          <w:tcPr/>
          <w:p>
            <w:pPr>
              <w:pStyle w:val="Compact"/>
            </w:pPr>
            <w:r>
              <w:t xml:space="preserve">MMSE, MoCA</w:t>
            </w:r>
          </w:p>
        </w:tc>
        <w:tc>
          <w:tcPr/>
          <w:p>
            <w:pPr>
              <w:pStyle w:val="Compact"/>
            </w:pPr>
            <w:r>
              <w:t xml:space="preserve">AD</w:t>
            </w:r>
          </w:p>
        </w:tc>
        <w:tc>
          <w:tcPr/>
          <w:p>
            <w:pPr>
              <w:pStyle w:val="Compact"/>
            </w:pPr>
            <w:r>
              <w:t xml:space="preserve">ML: 78.2 (7.7); BL: 79.8 (8.4)</w:t>
            </w:r>
          </w:p>
        </w:tc>
      </w:tr>
      <w:tr>
        <w:tc>
          <w:tcPr/>
          <w:p>
            <w:pPr>
              <w:pStyle w:val="Compact"/>
            </w:pPr>
            <w:r>
              <w:t xml:space="preserve">Chertkow et al. (2010)</w:t>
            </w:r>
          </w:p>
        </w:tc>
        <w:tc>
          <w:tcPr/>
          <w:p>
            <w:pPr>
              <w:pStyle w:val="Compact"/>
            </w:pPr>
            <w:r>
              <w:t xml:space="preserve">Patient &amp; caregiver interviews</w:t>
            </w:r>
          </w:p>
        </w:tc>
        <w:tc>
          <w:tcPr/>
          <w:p>
            <w:pPr>
              <w:pStyle w:val="Compact"/>
            </w:pPr>
            <w:r>
              <w:t xml:space="preserve">AD</w:t>
            </w:r>
          </w:p>
        </w:tc>
        <w:tc>
          <w:tcPr/>
          <w:p>
            <w:pPr>
              <w:pStyle w:val="Compact"/>
            </w:pPr>
            <w:r>
              <w:t xml:space="preserve">ML: 76.7 (7.8); BL: 77.6 (7.2)</w:t>
            </w:r>
          </w:p>
        </w:tc>
      </w:tr>
      <w:tr>
        <w:tc>
          <w:tcPr/>
          <w:p>
            <w:pPr>
              <w:pStyle w:val="Compact"/>
            </w:pPr>
            <w:r>
              <w:t xml:space="preserve">Clare et al. (2016)</w:t>
            </w:r>
          </w:p>
        </w:tc>
        <w:tc>
          <w:tcPr/>
          <w:p>
            <w:pPr>
              <w:pStyle w:val="Compact"/>
            </w:pPr>
            <w:r>
              <w:t xml:space="preserve">LQ-SV</w:t>
            </w:r>
          </w:p>
        </w:tc>
        <w:tc>
          <w:tcPr/>
          <w:p>
            <w:pPr>
              <w:pStyle w:val="Compact"/>
            </w:pPr>
            <w:r>
              <w:t xml:space="preserve">AD</w:t>
            </w:r>
          </w:p>
        </w:tc>
        <w:tc>
          <w:tcPr/>
          <w:p>
            <w:pPr>
              <w:pStyle w:val="Compact"/>
            </w:pPr>
            <w:r>
              <w:t xml:space="preserve">ML: 76.2 (8.75); BL: 79.3 (6.78)</w:t>
            </w:r>
          </w:p>
        </w:tc>
      </w:tr>
      <w:tr>
        <w:tc>
          <w:tcPr/>
          <w:p>
            <w:pPr>
              <w:pStyle w:val="Compact"/>
            </w:pPr>
            <w:r>
              <w:t xml:space="preserve">Craik et al. (2010)</w:t>
            </w:r>
          </w:p>
        </w:tc>
        <w:tc>
          <w:tcPr/>
          <w:p>
            <w:pPr>
              <w:pStyle w:val="Compact"/>
            </w:pPr>
            <w:r>
              <w:t xml:space="preserve">NA</w:t>
            </w:r>
          </w:p>
        </w:tc>
        <w:tc>
          <w:tcPr/>
          <w:p>
            <w:pPr>
              <w:pStyle w:val="Compact"/>
            </w:pPr>
            <w:r>
              <w:t xml:space="preserve">AD</w:t>
            </w:r>
          </w:p>
        </w:tc>
        <w:tc>
          <w:tcPr/>
          <w:p>
            <w:pPr>
              <w:pStyle w:val="Compact"/>
            </w:pPr>
            <w:r>
              <w:t xml:space="preserve">ML: 72.6 (10); BL: 77.7 (7.9)</w:t>
            </w:r>
          </w:p>
        </w:tc>
      </w:tr>
      <w:tr>
        <w:tc>
          <w:tcPr/>
          <w:p>
            <w:pPr>
              <w:pStyle w:val="Compact"/>
            </w:pPr>
            <w:r>
              <w:t xml:space="preserve">Leon et al. (2020)</w:t>
            </w:r>
          </w:p>
        </w:tc>
        <w:tc>
          <w:tcPr/>
          <w:p>
            <w:pPr>
              <w:pStyle w:val="Compact"/>
            </w:pPr>
            <w:r>
              <w:t xml:space="preserve">NA</w:t>
            </w:r>
          </w:p>
        </w:tc>
        <w:tc>
          <w:tcPr/>
          <w:p>
            <w:pPr>
              <w:pStyle w:val="Compact"/>
            </w:pPr>
            <w:r>
              <w:t xml:space="preserve">AD</w:t>
            </w:r>
          </w:p>
        </w:tc>
        <w:tc>
          <w:tcPr/>
          <w:p>
            <w:pPr>
              <w:pStyle w:val="Compact"/>
            </w:pPr>
            <w:r>
              <w:t xml:space="preserve">ML: 60.3 (9.8); BL: 61.9 (9.8)</w:t>
            </w:r>
          </w:p>
        </w:tc>
      </w:tr>
      <w:tr>
        <w:tc>
          <w:tcPr/>
          <w:p>
            <w:pPr>
              <w:pStyle w:val="Compact"/>
            </w:pPr>
            <w:r>
              <w:t xml:space="preserve">Duncan et al. (2018)</w:t>
            </w:r>
          </w:p>
        </w:tc>
        <w:tc>
          <w:tcPr/>
          <w:p>
            <w:pPr>
              <w:pStyle w:val="Compact"/>
            </w:pPr>
            <w:r>
              <w:t xml:space="preserve">NINCDS-ADRDA</w:t>
            </w:r>
          </w:p>
        </w:tc>
        <w:tc>
          <w:tcPr/>
          <w:p>
            <w:pPr>
              <w:pStyle w:val="Compact"/>
            </w:pPr>
            <w:r>
              <w:t xml:space="preserve">AD</w:t>
            </w:r>
          </w:p>
        </w:tc>
        <w:tc>
          <w:tcPr/>
          <w:p>
            <w:pPr>
              <w:pStyle w:val="Compact"/>
            </w:pPr>
            <w:r>
              <w:t xml:space="preserve">ML: 74.3 (1.5); BL: 72.6 (1.6)</w:t>
            </w:r>
          </w:p>
        </w:tc>
      </w:tr>
      <w:tr>
        <w:tc>
          <w:tcPr/>
          <w:p>
            <w:pPr>
              <w:pStyle w:val="Compact"/>
            </w:pPr>
            <w:r>
              <w:t xml:space="preserve">Kowoll et al. (2016)</w:t>
            </w:r>
          </w:p>
        </w:tc>
        <w:tc>
          <w:tcPr/>
          <w:p>
            <w:pPr>
              <w:pStyle w:val="Compact"/>
            </w:pPr>
            <w:r>
              <w:t xml:space="preserve">NINCDS-ADRDA</w:t>
            </w:r>
          </w:p>
        </w:tc>
        <w:tc>
          <w:tcPr/>
          <w:p>
            <w:pPr>
              <w:pStyle w:val="Compact"/>
            </w:pPr>
            <w:r>
              <w:t xml:space="preserve">AD</w:t>
            </w:r>
          </w:p>
        </w:tc>
        <w:tc>
          <w:tcPr/>
          <w:p>
            <w:pPr>
              <w:pStyle w:val="Compact"/>
            </w:pPr>
            <w:r>
              <w:t xml:space="preserve">ML: 71.6 (7.9); BL: 74.6 (6.8)</w:t>
            </w:r>
          </w:p>
        </w:tc>
      </w:tr>
      <w:tr>
        <w:tc>
          <w:tcPr/>
          <w:p>
            <w:pPr>
              <w:pStyle w:val="Compact"/>
            </w:pPr>
            <w:r>
              <w:t xml:space="preserve">Perani et al. (2017)</w:t>
            </w:r>
          </w:p>
        </w:tc>
        <w:tc>
          <w:tcPr/>
          <w:p>
            <w:pPr>
              <w:pStyle w:val="Compact"/>
            </w:pPr>
            <w:r>
              <w:t xml:space="preserve">NIA-AA</w:t>
            </w:r>
          </w:p>
        </w:tc>
        <w:tc>
          <w:tcPr/>
          <w:p>
            <w:pPr>
              <w:pStyle w:val="Compact"/>
            </w:pPr>
            <w:r>
              <w:t xml:space="preserve">AD</w:t>
            </w:r>
          </w:p>
        </w:tc>
        <w:tc>
          <w:tcPr/>
          <w:p>
            <w:pPr>
              <w:pStyle w:val="Compact"/>
            </w:pPr>
            <w:r>
              <w:t xml:space="preserve">ML: 71.4 (4.88); BL: 77.1 (4.52)</w:t>
            </w:r>
          </w:p>
        </w:tc>
      </w:tr>
      <w:tr>
        <w:tc>
          <w:tcPr/>
          <w:p>
            <w:pPr>
              <w:pStyle w:val="Compact"/>
            </w:pPr>
            <w:r>
              <w:t xml:space="preserve">Mendez et al. (2020)</w:t>
            </w:r>
          </w:p>
        </w:tc>
        <w:tc>
          <w:tcPr/>
          <w:p>
            <w:pPr>
              <w:pStyle w:val="Compact"/>
            </w:pPr>
            <w:r>
              <w:t xml:space="preserve">NIA-AA</w:t>
            </w:r>
          </w:p>
        </w:tc>
        <w:tc>
          <w:tcPr/>
          <w:p>
            <w:pPr>
              <w:pStyle w:val="Compact"/>
            </w:pPr>
            <w:r>
              <w:t xml:space="preserve">AD</w:t>
            </w:r>
          </w:p>
        </w:tc>
        <w:tc>
          <w:tcPr/>
          <w:p>
            <w:pPr>
              <w:pStyle w:val="Compact"/>
            </w:pPr>
            <w:r>
              <w:t xml:space="preserve">ML: 58 (10.7); BL: 62.4 (10.5)</w:t>
            </w:r>
          </w:p>
        </w:tc>
      </w:tr>
      <w:tr>
        <w:tc>
          <w:tcPr/>
          <w:p>
            <w:pPr>
              <w:pStyle w:val="Compact"/>
            </w:pPr>
            <w:r>
              <w:t xml:space="preserve">E. V. Y. Woumans et al. (2015)</w:t>
            </w:r>
          </w:p>
        </w:tc>
        <w:tc>
          <w:tcPr/>
          <w:p>
            <w:pPr>
              <w:pStyle w:val="Compact"/>
            </w:pPr>
            <w:r>
              <w:t xml:space="preserve">Neurologist + Neuropsychologist</w:t>
            </w:r>
          </w:p>
        </w:tc>
        <w:tc>
          <w:tcPr/>
          <w:p>
            <w:pPr>
              <w:pStyle w:val="Compact"/>
            </w:pPr>
            <w:r>
              <w:t xml:space="preserve">AD</w:t>
            </w:r>
          </w:p>
        </w:tc>
        <w:tc>
          <w:tcPr/>
          <w:p>
            <w:pPr>
              <w:pStyle w:val="Compact"/>
            </w:pPr>
            <w:r>
              <w:t xml:space="preserve">ML: 73.8 (8.8); BL: 75.5 (8.2)</w:t>
            </w:r>
          </w:p>
        </w:tc>
      </w:tr>
      <w:tr>
        <w:tc>
          <w:tcPr/>
          <w:p>
            <w:pPr>
              <w:pStyle w:val="Compact"/>
            </w:pPr>
            <w:r>
              <w:t xml:space="preserve">Zheng et al. (2018)</w:t>
            </w:r>
          </w:p>
        </w:tc>
        <w:tc>
          <w:tcPr/>
          <w:p>
            <w:pPr>
              <w:pStyle w:val="Compact"/>
            </w:pPr>
            <w:r>
              <w:t xml:space="preserve">NINCDS-ADRDA</w:t>
            </w:r>
          </w:p>
        </w:tc>
        <w:tc>
          <w:tcPr/>
          <w:p>
            <w:pPr>
              <w:pStyle w:val="Compact"/>
            </w:pPr>
            <w:r>
              <w:t xml:space="preserve">AD</w:t>
            </w:r>
          </w:p>
        </w:tc>
        <w:tc>
          <w:tcPr/>
          <w:p>
            <w:pPr>
              <w:pStyle w:val="Compact"/>
            </w:pPr>
            <w:r>
              <w:t xml:space="preserve">ML: 63.9 (96.5), 63.4 (8.94); BL: 70.9 (9.37)</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FTD</w:t>
            </w:r>
          </w:p>
        </w:tc>
        <w:tc>
          <w:tcPr/>
          <w:p>
            <w:pPr>
              <w:pStyle w:val="Compact"/>
            </w:pPr>
            <w:r>
              <w:t xml:space="preserve">ML: 55.6 (10.5); BL: 61.6 (9)</w:t>
            </w:r>
          </w:p>
        </w:tc>
      </w:tr>
      <w:tr>
        <w:tc>
          <w:tcPr/>
          <w:p>
            <w:pPr>
              <w:pStyle w:val="Compact"/>
            </w:pPr>
            <w:r>
              <w:t xml:space="preserve">Alladi et al. (2017)</w:t>
            </w:r>
          </w:p>
        </w:tc>
        <w:tc>
          <w:tcPr/>
          <w:p>
            <w:pPr>
              <w:pStyle w:val="Compact"/>
            </w:pPr>
            <w:r>
              <w:t xml:space="preserve">MMSE, ACE-R, CDR, FrSBe</w:t>
            </w:r>
          </w:p>
        </w:tc>
        <w:tc>
          <w:tcPr/>
          <w:p>
            <w:pPr>
              <w:pStyle w:val="Compact"/>
            </w:pPr>
            <w:r>
              <w:t xml:space="preserve">FTD</w:t>
            </w:r>
          </w:p>
        </w:tc>
        <w:tc>
          <w:tcPr/>
          <w:p>
            <w:pPr>
              <w:pStyle w:val="Compact"/>
            </w:pPr>
            <w:r>
              <w:t xml:space="preserve">ML: 58.4 (9.3); BL: 61.7 (9.1)</w:t>
            </w:r>
          </w:p>
        </w:tc>
      </w:tr>
      <w:tr>
        <w:tc>
          <w:tcPr/>
          <w:p>
            <w:pPr>
              <w:pStyle w:val="Compact"/>
            </w:pPr>
            <w:r>
              <w:t xml:space="preserve">Leon et al. (2024)</w:t>
            </w:r>
          </w:p>
        </w:tc>
        <w:tc>
          <w:tcPr/>
          <w:p>
            <w:pPr>
              <w:pStyle w:val="Compact"/>
            </w:pPr>
            <w:r>
              <w:t xml:space="preserve">NA</w:t>
            </w:r>
          </w:p>
        </w:tc>
        <w:tc>
          <w:tcPr/>
          <w:p>
            <w:pPr>
              <w:pStyle w:val="Compact"/>
            </w:pPr>
            <w:r>
              <w:t xml:space="preserve">FTD</w:t>
            </w:r>
          </w:p>
        </w:tc>
        <w:tc>
          <w:tcPr/>
          <w:p>
            <w:pPr>
              <w:pStyle w:val="Compact"/>
            </w:pPr>
            <w:r>
              <w:t xml:space="preserve">ML: 59 (9.2); BL: 61.4 (7.9)</w:t>
            </w:r>
          </w:p>
        </w:tc>
      </w:tr>
      <w:tr>
        <w:tc>
          <w:tcPr/>
          <w:p>
            <w:pPr>
              <w:pStyle w:val="Compact"/>
            </w:pPr>
            <w:r>
              <w:t xml:space="preserve">Berkes et al. (2020)</w:t>
            </w:r>
          </w:p>
        </w:tc>
        <w:tc>
          <w:tcPr/>
          <w:p>
            <w:pPr>
              <w:pStyle w:val="Compact"/>
            </w:pPr>
            <w:r>
              <w:t xml:space="preserve">MMSE, MoCA</w:t>
            </w:r>
          </w:p>
        </w:tc>
        <w:tc>
          <w:tcPr/>
          <w:p>
            <w:pPr>
              <w:pStyle w:val="Compact"/>
            </w:pPr>
            <w:r>
              <w:t xml:space="preserve">MCI</w:t>
            </w:r>
          </w:p>
        </w:tc>
        <w:tc>
          <w:tcPr/>
          <w:p>
            <w:pPr>
              <w:pStyle w:val="Compact"/>
            </w:pPr>
            <w:r>
              <w:t xml:space="preserve">ML: 75.5 (7.6); BL: 77.8 (8.2)</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Single Domain aMCI</w:t>
            </w:r>
          </w:p>
        </w:tc>
        <w:tc>
          <w:tcPr/>
          <w:p>
            <w:pPr>
              <w:pStyle w:val="Compact"/>
            </w:pPr>
            <w:r>
              <w:t xml:space="preserve">ML: 74.9 (49); BL: 79.4 (6.3)</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Multiple Domain aMCI</w:t>
            </w:r>
          </w:p>
        </w:tc>
        <w:tc>
          <w:tcPr/>
          <w:p>
            <w:pPr>
              <w:pStyle w:val="Compact"/>
            </w:pPr>
            <w:r>
              <w:t xml:space="preserve">ML: 75.2 (8.5); BL: 72.6 (7.2)</w:t>
            </w:r>
          </w:p>
        </w:tc>
      </w:tr>
      <w:tr>
        <w:tc>
          <w:tcPr/>
          <w:p>
            <w:pPr>
              <w:pStyle w:val="Compact"/>
            </w:pPr>
            <w:r>
              <w:t xml:space="preserve">Ramakrishnan et al. (2017)</w:t>
            </w:r>
          </w:p>
        </w:tc>
        <w:tc>
          <w:tcPr/>
          <w:p>
            <w:pPr>
              <w:pStyle w:val="Compact"/>
            </w:pPr>
            <w:r>
              <w:t xml:space="preserve">Petersen’s criteria</w:t>
            </w:r>
          </w:p>
        </w:tc>
        <w:tc>
          <w:tcPr/>
          <w:p>
            <w:pPr>
              <w:pStyle w:val="Compact"/>
            </w:pPr>
            <w:r>
              <w:t xml:space="preserve">MCI</w:t>
            </w:r>
          </w:p>
        </w:tc>
        <w:tc>
          <w:tcPr/>
          <w:p>
            <w:pPr>
              <w:pStyle w:val="Compac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of 70.39 years with a 95% CrI [66.90, 73.33] while the age at AD onset for bilinguals was 73.68 with a 95% CrI [70.59, 76.69].</w:t>
      </w:r>
      <w:r>
        <w:t xml:space="preserve"> </w:t>
      </w:r>
      <w:r>
        <w:rPr>
          <w:color w:val="FF0000"/>
        </w:rPr>
        <w:t>Comparing the posterior draws directly, the posterior probability that bilinguals had a later dementia onset than monolinguals was 98.8\%.</w:t>
      </w:r>
      <w:r>
        <w:t xml:space="preserve"> </w:t>
      </w:r>
      <w:r>
        <w:t xml:space="preserve">The mean average difference between the age at AD onset for bilinguals and monolinguals was 3.36 with a 95% CrI [2.61, 4.15]. Compared with the main meta-analytic results, the estimated age at AD onset was higher for both monolingual and bilingual populations. Yet, the difference between bilinguals’ and monolinguals’ age at onset (3.36 years) was smaller although very close to the main effect (3.45 years).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 respectively.</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mean | se(SE) ~ 0 + mobi + (0 + mobi | Study) </w:t>
      </w:r>
      <w:r>
        <w:br/>
      </w:r>
      <w:r>
        <w:rPr>
          <w:rStyle w:val="VerbatimChar"/>
        </w:rPr>
        <w:t xml:space="preserve">   Data: FTD (Number of observations: 6)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Multilevel Hyperparameters:</w:t>
      </w:r>
      <w:r>
        <w:br/>
      </w:r>
      <w:r>
        <w:rPr>
          <w:rStyle w:val="VerbatimChar"/>
        </w:rPr>
        <w:t xml:space="preserve">~Study (Number of levels: 3) </w:t>
      </w:r>
      <w:r>
        <w:br/>
      </w:r>
      <w:r>
        <w:rPr>
          <w:rStyle w:val="VerbatimChar"/>
        </w:rPr>
        <w:t xml:space="preserve">                                   Estimate Est.Error l-95% CI u-95% CI Rhat</w:t>
      </w:r>
      <w:r>
        <w:br/>
      </w:r>
      <w:r>
        <w:rPr>
          <w:rStyle w:val="VerbatimChar"/>
        </w:rPr>
        <w:t xml:space="preserve">sd(mobimonolingual)                    2.85      2.47     0.11     9.37 1.00</w:t>
      </w:r>
      <w:r>
        <w:br/>
      </w:r>
      <w:r>
        <w:rPr>
          <w:rStyle w:val="VerbatimChar"/>
        </w:rPr>
        <w:t xml:space="preserve">sd(mobibilingual)                      1.39      1.72     0.04     6.29 1.00</w:t>
      </w:r>
      <w:r>
        <w:br/>
      </w:r>
      <w:r>
        <w:rPr>
          <w:rStyle w:val="VerbatimChar"/>
        </w:rPr>
        <w:t xml:space="preserve">cor(mobimonolingual,mobibilingual)    -0.01      0.46    -0.82     0.85 1.00</w:t>
      </w:r>
      <w:r>
        <w:br/>
      </w:r>
      <w:r>
        <w:rPr>
          <w:rStyle w:val="VerbatimChar"/>
        </w:rPr>
        <w:t xml:space="preserve">                                   Bulk_ESS Tail_ESS</w:t>
      </w:r>
      <w:r>
        <w:br/>
      </w:r>
      <w:r>
        <w:rPr>
          <w:rStyle w:val="VerbatimChar"/>
        </w:rPr>
        <w:t xml:space="preserve">sd(mobimonolingual)                     698      879</w:t>
      </w:r>
      <w:r>
        <w:br/>
      </w:r>
      <w:r>
        <w:rPr>
          <w:rStyle w:val="VerbatimChar"/>
        </w:rPr>
        <w:t xml:space="preserve">sd(mobibilingual)                       848     1019</w:t>
      </w:r>
      <w:r>
        <w:br/>
      </w:r>
      <w:r>
        <w:rPr>
          <w:rStyle w:val="VerbatimChar"/>
        </w:rPr>
        <w:t xml:space="preserve">cor(mobimonolingual,mobibilingual)     1775     1600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mobimonolingual    57.96      1.97    53.16    62.10 1.00      592      285</w:t>
      </w:r>
      <w:r>
        <w:br/>
      </w:r>
      <w:r>
        <w:rPr>
          <w:rStyle w:val="VerbatimChar"/>
        </w:rPr>
        <w:t xml:space="preserve">mobibilingual      61.52      1.24    59.05    63.73 1.00     1137      594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0.00      0.00     0.00     0.00   NA       NA       NA</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the FTD dementia subgroup (see</w:t>
      </w:r>
      <w:r>
        <w:t xml:space="preserve"> </w:t>
      </w:r>
      <w:hyperlink w:anchor="fig-fig6">
        <w:r>
          <w:rPr>
            <w:rStyle w:val="Hyperlink"/>
          </w:rPr>
          <w:t xml:space="preserve">Figure 6</w:t>
        </w:r>
      </w:hyperlink>
      <w:r>
        <w:t xml:space="preserve"> </w:t>
      </w:r>
      <w:r>
        <w:t xml:space="preserve">for the forest plot),</w:t>
      </w:r>
      <w:r>
        <w:t xml:space="preserve"> </w:t>
      </w:r>
      <w:r>
        <w:rPr>
          <w:color w:val="FF0000"/>
        </w:rPr>
        <w:t>the estimated age at FTD onsets for monolinguals and bilinguals were 57.96 with a 95\% CrI [53.16, 62.10] and 61.52 with a 95\% CrI [59.05, 63.73], which were largely lower than the main meta-analytic effect and the AD subgroup’s onset. The comparison of the posterior draws showed that the probability that bilinguals had a later dementia onset than monolinguals was 94.5\%. Using avg\_comparisons() again, the average difference in marginal effects for bilinguals and monolinguals was 3.63 with a 95\% CrI [1.92, 5.26]. This showed that bilinguals are estimated to be 3.63 years older than monolinguals on average when having the first symptom onset for FTD type of dementia.</w:t>
      </w:r>
      <w:r>
        <w:t xml:space="preserve"> </w:t>
      </w:r>
      <w:r>
        <w:t xml:space="preserve">The heterogeneity level was even lower in this group as since the group-level estimated effects for</w:t>
      </w:r>
      <w:r>
        <w:t xml:space="preserve"> </w:t>
      </w:r>
      <w:r>
        <w:rPr>
          <w:color w:val="FF0000"/>
        </w:rPr>
        <w:t>monolingual group and bilingual group were 2.85 and 1.39</w:t>
      </w:r>
      <w:r>
        <w:t xml:space="preserve">. Yet, the relatively low number of studies might have contributed to the low heterogeneity and the wide 95% CrI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 CrI [54.91, 80.60]) for monolinguals and 72.06 (95% CrI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w:t>
      </w:r>
      <w:r>
        <w:t xml:space="preserve"> </w:t>
      </w:r>
      <w:r>
        <w:rPr>
          <w:color w:val="FF0000"/>
        </w:rPr>
        <w:t>comparing the posterior draws, 73\% of the posterior samples favoured a bilingual delayed onset for MCI. The probability is lower than AD (99.8\%) and FTD (94.5\%)</w:t>
      </w:r>
      <w:r>
        <w:t xml:space="preserve">. The average difference in marginal effects estimated through</w:t>
      </w:r>
      <w:r>
        <w:t xml:space="preserve"> </w:t>
      </w:r>
      <w:r>
        <w:rPr>
          <w:rStyle w:val="VerbatimChar"/>
        </w:rPr>
        <w:t xml:space="preserve">avg_comparisons()</w:t>
      </w:r>
      <w:r>
        <w:t xml:space="preserve"> </w:t>
      </w:r>
      <w:r>
        <w:t xml:space="preserve">for bilinguals and monolinguals was 2.88 years with a 95% CrI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assessed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on the left side of the summary effect is the same as the number on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 CrI [62.75, 70.17] and for bilinguals is 70.37 with a 95% CrI [67.03, 73.81]. The estimated average difference in the onset of dementia between bilinguals and monolinguals is 3.88 years with a 95% CrI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 CrI [-3.05, -1.16] and that the estimate for bilingual is -2.27 with a 95% CrI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w:t>
      </w:r>
      <w:r>
        <w:t xml:space="preserve"> </w:t>
      </w:r>
      <w:r>
        <w:rPr>
          <w:rStyle w:val="VerbatimChar"/>
        </w:rPr>
        <w:t xml:space="preserve">avg_comparisons()</w:t>
      </w:r>
      <w:r>
        <w:t xml:space="preserve"> </w:t>
      </w:r>
      <w:r>
        <w:t xml:space="preserve">to show the ratio of the average predicted probability of dementia for bilinguals to the average predicted probability of dementia for monolinguals, which resulted in a 0.844 estimate with a 95% CrI [0.725, 0.984].</w:t>
      </w:r>
      <w:r>
        <w:t xml:space="preserve"> </w:t>
      </w:r>
      <w:r>
        <w:rPr>
          <w:color w:val="FF0000"/>
        </w:rPr>
        <w:t>For the ratio, a result between 0 and 1 indicates lower incidence rate of bilinguals while a result over 1 indicates higher incidence rate of bilinguals.</w:t>
      </w:r>
      <w:r>
        <w:t xml:space="preserve"> </w:t>
      </w:r>
      <w:r>
        <w:t xml:space="preserve">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the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a difference, we reran the Bayesian model without</w:t>
      </w:r>
      <w:r>
        <w:t xml:space="preserve"> </w:t>
      </w:r>
      <w:r>
        <w:t xml:space="preserve">Venugopal et al. (2024)</w:t>
      </w:r>
      <w:r>
        <w:t xml:space="preserve">.</w:t>
      </w:r>
      <w:r>
        <w:t xml:space="preserve"> </w:t>
      </w:r>
      <w:r>
        <w:rPr>
          <w:color w:val="FF0000"/>
        </w:rPr>
        <w:t>Comparing the posterior distribution of this model, the results showed that the probability that bilinguals had lower incidence rate than monolinguals was only 64\%</w:t>
      </w:r>
      <w:r>
        <w:t xml:space="preserve">. The results of</w:t>
      </w:r>
      <w:r>
        <w:t xml:space="preserve"> </w:t>
      </w:r>
      <w:r>
        <w:rPr>
          <w:color w:val="FF0000"/>
        </w:rPr>
        <w:t>avg\_comparisons()</w:t>
      </w:r>
      <w:r>
        <w:t xml:space="preserve"> </w:t>
      </w:r>
      <w:r>
        <w:t xml:space="preserve">showed that the average incidence rate for bilinguals is about 86.6% of the incidence rate of monolinguals with a 95% CrI [0.634, 1.5]. This means that we are relatively uncertain about whether bilinguals have a lower incidence rate than monolinguals at the population-level,</w:t>
      </w:r>
      <w:r>
        <w:t xml:space="preserve"> </w:t>
      </w:r>
      <w:r>
        <w:rPr>
          <w:color w:val="FF0000"/>
        </w:rPr>
        <w:t>since the 95\% credible interval spans a wide range of values both below and above 1, which indicates considerable uncertainty.</w:t>
      </w:r>
    </w:p>
    <w:bookmarkEnd w:id="77"/>
    <w:bookmarkEnd w:id="78"/>
    <w:bookmarkStart w:id="85" w:name="discussion"/>
    <w:p>
      <w:pPr>
        <w:pStyle w:val="Heading1"/>
      </w:pPr>
      <w:r>
        <w:t xml:space="preserve">Discussion</w:t>
      </w:r>
    </w:p>
    <w:p>
      <w:pPr>
        <w:pStyle w:val="FirstParagraph"/>
      </w:pPr>
      <w:r>
        <w:t xml:space="preserve">Numerous studies have investigated whether bilingualism influences aging and neurodegenerative disease,</w:t>
      </w:r>
      <w:r>
        <w:t xml:space="preserve"> </w:t>
      </w:r>
      <w:r>
        <w:rPr>
          <w:color w:val="FF0000"/>
        </w:rPr>
        <w:t>without reaching</w:t>
      </w:r>
      <w:r>
        <w:t xml:space="preserve"> </w:t>
      </w:r>
      <w:r>
        <w:t xml:space="preserve">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effects on delaying the onset of dementia? Is there a preventing effect of bilingualism on dementia? Do education as a confounding variable and dementia type as a modulating variable influence the relation between bilingualism and the age at onset of dementia?</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that of monolinguals at 95% probability with an average estimate of 15.5% lower incidence. This result is largely in line with</w:t>
      </w:r>
      <w:r>
        <w:t xml:space="preserve"> </w:t>
      </w:r>
      <w:r>
        <w:t xml:space="preserve">(Anderson et al., 2020)</w:t>
      </w:r>
      <w:r>
        <w:t xml:space="preserve">, which found weak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w:t>
      </w:r>
      <w:r>
        <w:t xml:space="preserve"> </w:t>
      </w:r>
      <w:r>
        <w:rPr>
          <w:color w:val="FF0000"/>
        </w:rPr>
        <w:t>robust</w:t>
      </w:r>
      <w:r>
        <w:t xml:space="preserve"> </w:t>
      </w:r>
      <w:r>
        <w:t xml:space="preserve">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providing no robust evidence for bilingualism’s preventive effect on dementia. This result (incidence rate: bilinguals/monolinguals 95% CrI [0.634, 1.5]) corresponds to</w:t>
      </w:r>
      <w:r>
        <w:t xml:space="preserve"> </w:t>
      </w:r>
      <w:r>
        <w:t xml:space="preserve">Mukadam et al. (2017)</w:t>
      </w:r>
      <w:r>
        <w:t xml:space="preserve">, which found an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in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(3.63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the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grey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experiences may affect distinct brain areas, which indicates that bilinguals with different language experience may show different</w:t>
      </w:r>
      <w:r>
        <w:t xml:space="preserve"> </w:t>
      </w:r>
      <w:r>
        <w:t xml:space="preserve">“advantages”</w:t>
      </w:r>
      <w:r>
        <w:t xml:space="preserve"> </w:t>
      </w:r>
      <w:r>
        <w:t xml:space="preserve">in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made to investigate the neuropathology of different subtypes of dementia and how different bilingualism experiences affect the onset of symptoms of these subtypes.</w:t>
      </w:r>
    </w:p>
    <w:bookmarkEnd w:id="82"/>
    <w:bookmarkEnd w:id="83"/>
    <w:bookmarkStart w:id="84"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in brain aging. The overlap between the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4"/>
    <w:bookmarkEnd w:id="85"/>
    <w:bookmarkStart w:id="86"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vary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states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6"/>
    <w:bookmarkStart w:id="87" w:name="conclusion"/>
    <w:p>
      <w:pPr>
        <w:pStyle w:val="Heading1"/>
      </w:pPr>
      <w:r>
        <w:t xml:space="preserve">Conclusion</w:t>
      </w:r>
    </w:p>
    <w:p>
      <w:pPr>
        <w:pStyle w:val="FirstParagraph"/>
      </w:pPr>
      <w:r>
        <w:t xml:space="preserve">This meta-analysis investigated the correlates of bilingualism and the age at onset and incidence rate of dementia respectively. The results of the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7"/>
    <w:bookmarkStart w:id="89"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8">
        <w:r>
          <w:rPr>
            <w:rStyle w:val="Hyperlink"/>
          </w:rPr>
          <w:t xml:space="preserve">https://github.com/Peter-Ziyuan/Meta-analysis_Bilingualism-and-Dementia</w:t>
        </w:r>
      </w:hyperlink>
      <w:r>
        <w:t xml:space="preserve">.</w:t>
      </w:r>
    </w:p>
    <w:bookmarkEnd w:id="89"/>
    <w:bookmarkStart w:id="90"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0"/>
    <w:bookmarkStart w:id="178" w:name="references"/>
    <w:p>
      <w:pPr>
        <w:pStyle w:val="Heading1"/>
      </w:pPr>
      <w:r>
        <w:t xml:space="preserve">References</w:t>
      </w:r>
    </w:p>
    <w:bookmarkStart w:id="177" w:name="refs"/>
    <w:bookmarkStart w:id="91"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1"/>
    <w:bookmarkStart w:id="92"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2"/>
    <w:bookmarkStart w:id="93"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3"/>
    <w:bookmarkStart w:id="94"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4"/>
    <w:bookmarkStart w:id="95"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5"/>
    <w:bookmarkStart w:id="96"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6"/>
    <w:bookmarkStart w:id="97"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7"/>
    <w:bookmarkStart w:id="98"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8"/>
    <w:bookmarkStart w:id="99"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9"/>
    <w:bookmarkStart w:id="100"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0"/>
    <w:bookmarkStart w:id="101"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1"/>
    <w:bookmarkStart w:id="102"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2"/>
    <w:bookmarkStart w:id="103"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3"/>
    <w:bookmarkStart w:id="104"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4"/>
    <w:bookmarkStart w:id="105"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5"/>
    <w:bookmarkStart w:id="106"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6"/>
    <w:bookmarkStart w:id="107"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7"/>
    <w:bookmarkStart w:id="108"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8"/>
    <w:bookmarkStart w:id="109"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9"/>
    <w:bookmarkStart w:id="110"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0"/>
    <w:bookmarkStart w:id="111"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1"/>
    <w:bookmarkStart w:id="112"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2"/>
    <w:bookmarkStart w:id="113"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3"/>
    <w:bookmarkStart w:id="114"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4"/>
    <w:bookmarkStart w:id="115"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5"/>
    <w:bookmarkStart w:id="116"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6"/>
    <w:bookmarkStart w:id="117"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7"/>
    <w:bookmarkStart w:id="118"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8"/>
    <w:bookmarkStart w:id="119"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9"/>
    <w:bookmarkStart w:id="120"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0"/>
    <w:bookmarkStart w:id="121"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1"/>
    <w:bookmarkStart w:id="122"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2"/>
    <w:bookmarkStart w:id="123"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3"/>
    <w:bookmarkStart w:id="124"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4"/>
    <w:bookmarkStart w:id="125"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5"/>
    <w:bookmarkStart w:id="126"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6"/>
    <w:bookmarkStart w:id="127"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7"/>
    <w:bookmarkStart w:id="128"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28"/>
    <w:bookmarkStart w:id="129"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9"/>
    <w:bookmarkStart w:id="130"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0"/>
    <w:bookmarkStart w:id="131"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1"/>
    <w:bookmarkStart w:id="132"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2"/>
    <w:bookmarkStart w:id="133"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3"/>
    <w:bookmarkStart w:id="135"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4">
        <w:r>
          <w:rPr>
            <w:rStyle w:val="Hyperlink"/>
          </w:rPr>
          <w:t xml:space="preserve">https://doi.org/10.3389/fpsyt.2016.00062</w:t>
        </w:r>
      </w:hyperlink>
    </w:p>
    <w:bookmarkEnd w:id="135"/>
    <w:bookmarkStart w:id="137"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6">
        <w:r>
          <w:rPr>
            <w:rStyle w:val="Hyperlink"/>
          </w:rPr>
          <w:t xml:space="preserve">https://doi.org/10.1016/j.cortex.2015.02.003</w:t>
        </w:r>
      </w:hyperlink>
    </w:p>
    <w:bookmarkEnd w:id="137"/>
    <w:bookmarkStart w:id="139"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8">
        <w:r>
          <w:rPr>
            <w:rStyle w:val="Hyperlink"/>
          </w:rPr>
          <w:t xml:space="preserve">https://doi.org/10.3389/fnagi.2022.872508</w:t>
        </w:r>
      </w:hyperlink>
    </w:p>
    <w:bookmarkEnd w:id="139"/>
    <w:bookmarkStart w:id="140"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0"/>
    <w:bookmarkStart w:id="141"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1"/>
    <w:bookmarkStart w:id="142"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2"/>
    <w:bookmarkStart w:id="143"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3"/>
    <w:bookmarkStart w:id="145"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4">
        <w:r>
          <w:rPr>
            <w:rStyle w:val="Hyperlink"/>
          </w:rPr>
          <w:t xml:space="preserve">https://doi.org/10.1016/j.neurobiolaging.2012.09.020</w:t>
        </w:r>
      </w:hyperlink>
    </w:p>
    <w:bookmarkEnd w:id="145"/>
    <w:bookmarkStart w:id="146"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6"/>
    <w:bookmarkStart w:id="147"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7"/>
    <w:bookmarkStart w:id="148"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8"/>
    <w:bookmarkStart w:id="149"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9"/>
    <w:bookmarkStart w:id="150"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0"/>
    <w:bookmarkStart w:id="151"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1"/>
    <w:bookmarkStart w:id="152"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2"/>
    <w:bookmarkStart w:id="153"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3"/>
    <w:bookmarkStart w:id="154"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4"/>
    <w:bookmarkStart w:id="155"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5"/>
    <w:bookmarkStart w:id="156"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6"/>
    <w:bookmarkStart w:id="157"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7"/>
    <w:bookmarkStart w:id="158"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8"/>
    <w:bookmarkStart w:id="159"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9"/>
    <w:bookmarkStart w:id="160"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0"/>
    <w:bookmarkStart w:id="161"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1"/>
    <w:bookmarkStart w:id="162"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2"/>
    <w:bookmarkStart w:id="163"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3"/>
    <w:bookmarkStart w:id="164"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4"/>
    <w:bookmarkStart w:id="165"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5"/>
    <w:bookmarkStart w:id="166"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6"/>
    <w:bookmarkStart w:id="167"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7"/>
    <w:bookmarkStart w:id="168"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8"/>
    <w:bookmarkStart w:id="169"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69"/>
    <w:bookmarkStart w:id="171" w:name="ref-who2020"/>
    <w:p>
      <w:pPr>
        <w:pStyle w:val="Bibliography"/>
      </w:pPr>
      <w:r>
        <w:t xml:space="preserve">World Health Organization. (2020).</w:t>
      </w:r>
      <w:r>
        <w:t xml:space="preserve"> </w:t>
      </w:r>
      <w:r>
        <w:rPr>
          <w:i/>
          <w:iCs/>
        </w:rPr>
        <w:t xml:space="preserve">Dementia</w:t>
      </w:r>
      <w:r>
        <w:t xml:space="preserve">.</w:t>
      </w:r>
      <w:r>
        <w:t xml:space="preserve"> </w:t>
      </w:r>
      <w:hyperlink r:id="rId170">
        <w:r>
          <w:rPr>
            <w:rStyle w:val="Hyperlink"/>
          </w:rPr>
          <w:t xml:space="preserve">http://www.who.int/en/news-room/fact-sheets/detail/dementia</w:t>
        </w:r>
      </w:hyperlink>
      <w:r>
        <w:t xml:space="preserve">.</w:t>
      </w:r>
    </w:p>
    <w:bookmarkEnd w:id="171"/>
    <w:bookmarkStart w:id="172"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2"/>
    <w:bookmarkStart w:id="173"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3"/>
    <w:bookmarkStart w:id="174"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4"/>
    <w:bookmarkStart w:id="175"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5"/>
    <w:bookmarkStart w:id="176"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68" Target="media/rId68.png" /><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2025-07-29T12:32:50Z</dcterms:created>
  <dcterms:modified xsi:type="dcterms:W3CDTF">2025-07-29T12:32:50Z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