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7.png" ContentType="image/png"/>
  <Override PartName="/word/media/rId61.png" ContentType="image/png"/>
  <Override PartName="/word/media/rId65.png" ContentType="image/png"/>
  <Override PartName="/word/media/rId76.png" ContentType="image/png"/>
  <Override PartName="/word/media/rId48.png" ContentType="image/png"/>
  <Override PartName="/word/media/rId30.png" ContentType="image/png"/>
  <Override PartName="/word/media/rId38.jpg" ContentType="image/jpeg"/>
  <Override PartName="/word/media/rId51.jpg" ContentType="image/jpe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w:t>
      </w:r>
      <w:r>
        <w:t xml:space="preserve"> </w:t>
      </w:r>
      <w:r>
        <w:t xml:space="preserve">Effect</w:t>
      </w:r>
      <w:r>
        <w:t xml:space="preserve"> </w:t>
      </w:r>
      <w:r>
        <w:t xml:space="preserve">for</w:t>
      </w:r>
      <w:r>
        <w:t xml:space="preserve"> </w:t>
      </w:r>
      <w:r>
        <w:t xml:space="preserve">Delaying</w:t>
      </w:r>
      <w:r>
        <w:t xml:space="preserve"> </w:t>
      </w:r>
      <w:r>
        <w:t xml:space="preserve">Dementia</w:t>
      </w:r>
      <w:r>
        <w:t xml:space="preserve"> </w:t>
      </w:r>
      <w:r>
        <w:t xml:space="preserve">Onset:</w:t>
      </w:r>
      <w:r>
        <w:t xml:space="preserve"> </w:t>
      </w:r>
      <w:r>
        <w:t xml:space="preserve">A</w:t>
      </w:r>
      <w:r>
        <w:t xml:space="preserve"> </w:t>
      </w:r>
      <w:r>
        <w:t xml:space="preserve">Bayesian</w:t>
      </w:r>
      <w:r>
        <w:t xml:space="preserve"> </w:t>
      </w:r>
      <w:r>
        <w:t xml:space="preserve">Meta-Analysis</w:t>
      </w:r>
    </w:p>
    <w:p>
      <w:pPr>
        <w:pStyle w:val="Author"/>
      </w:pPr>
      <w:r>
        <w:t xml:space="preserve">Ziyuan</w:t>
      </w:r>
      <w:r>
        <w:t xml:space="preserve"> </w:t>
      </w:r>
      <w:r>
        <w:t xml:space="preserve">Li</w:t>
      </w:r>
    </w:p>
    <w:p>
      <w:pPr>
        <w:pStyle w:val="Author"/>
      </w:pPr>
      <w:r>
        <w:t xml:space="preserve">Stefano</w:t>
      </w:r>
      <w:r>
        <w:t xml:space="preserve"> </w:t>
      </w:r>
      <w:r>
        <w:t xml:space="preserve">Coretta</w:t>
      </w:r>
    </w:p>
    <w:p>
      <w:pPr>
        <w:pStyle w:val="Date"/>
      </w:pPr>
      <w:r>
        <w:t xml:space="preserve">2025-05-14</w:t>
      </w:r>
    </w:p>
    <w:p>
      <w:pPr>
        <w:pStyle w:val="AbstractTitle"/>
      </w:pPr>
      <w:r>
        <w:t xml:space="preserve">Abstract</w:t>
      </w:r>
    </w:p>
    <w:p>
      <w:pPr>
        <w:pStyle w:val="Abstract"/>
      </w:pPr>
      <w:r>
        <w:t xml:space="preserve">Evidence</w:t>
      </w:r>
      <w:r>
        <w:t xml:space="preserve"> </w:t>
      </w:r>
      <w:r>
        <w:t xml:space="preserve">suggests</w:t>
      </w:r>
      <w:r>
        <w:t xml:space="preserve"> </w:t>
      </w:r>
      <w:r>
        <w:t xml:space="preserve">that</w:t>
      </w:r>
      <w:r>
        <w:t xml:space="preserve"> </w:t>
      </w:r>
      <w:r>
        <w:t xml:space="preserve">lifelong</w:t>
      </w:r>
      <w:r>
        <w:t xml:space="preserve"> </w:t>
      </w:r>
      <w:r>
        <w:t xml:space="preserve">practice</w:t>
      </w:r>
      <w:r>
        <w:t xml:space="preserve"> </w:t>
      </w:r>
      <w:r>
        <w:t xml:space="preserve">of</w:t>
      </w:r>
      <w:r>
        <w:t xml:space="preserve"> </w:t>
      </w:r>
      <w:r>
        <w:t xml:space="preserve">two</w:t>
      </w:r>
      <w:r>
        <w:t xml:space="preserve"> </w:t>
      </w:r>
      <w:r>
        <w:t xml:space="preserve">or</w:t>
      </w:r>
      <w:r>
        <w:t xml:space="preserve"> </w:t>
      </w:r>
      <w:r>
        <w:t xml:space="preserve">more</w:t>
      </w:r>
      <w:r>
        <w:t xml:space="preserve"> </w:t>
      </w:r>
      <w:r>
        <w:t xml:space="preserve">languages</w:t>
      </w:r>
      <w:r>
        <w:t xml:space="preserve"> </w:t>
      </w:r>
      <w:r>
        <w:t xml:space="preserve">may</w:t>
      </w:r>
      <w:r>
        <w:t xml:space="preserve"> </w:t>
      </w:r>
      <w:r>
        <w:t xml:space="preserve">contribute</w:t>
      </w:r>
      <w:r>
        <w:t xml:space="preserve"> </w:t>
      </w:r>
      <w:r>
        <w:t xml:space="preserve">to</w:t>
      </w:r>
      <w:r>
        <w:t xml:space="preserve"> </w:t>
      </w:r>
      <w:r>
        <w:t xml:space="preserve">cognitive</w:t>
      </w:r>
      <w:r>
        <w:t xml:space="preserve"> </w:t>
      </w:r>
      <w:r>
        <w:t xml:space="preserve">reserve</w:t>
      </w:r>
      <w:r>
        <w:t xml:space="preserve"> </w:t>
      </w:r>
      <w:r>
        <w:t xml:space="preserve">and</w:t>
      </w:r>
      <w:r>
        <w:t xml:space="preserve"> </w:t>
      </w:r>
      <w:r>
        <w:t xml:space="preserve">protect</w:t>
      </w:r>
      <w:r>
        <w:t xml:space="preserve"> </w:t>
      </w:r>
      <w:r>
        <w:t xml:space="preserve">against</w:t>
      </w:r>
      <w:r>
        <w:t xml:space="preserve"> </w:t>
      </w:r>
      <w:r>
        <w:t xml:space="preserve">dementia.</w:t>
      </w:r>
      <w:r>
        <w:t xml:space="preserve"> </w:t>
      </w:r>
      <w:r>
        <w:t xml:space="preserve">Most</w:t>
      </w:r>
      <w:r>
        <w:t xml:space="preserve"> </w:t>
      </w:r>
      <w:r>
        <w:t xml:space="preserve">retrospective</w:t>
      </w:r>
      <w:r>
        <w:t xml:space="preserve"> </w:t>
      </w:r>
      <w:r>
        <w:t xml:space="preserve">studies</w:t>
      </w:r>
      <w:r>
        <w:t xml:space="preserve"> </w:t>
      </w:r>
      <w:r>
        <w:t xml:space="preserve">comparing</w:t>
      </w:r>
      <w:r>
        <w:t xml:space="preserve"> </w:t>
      </w:r>
      <w:r>
        <w:t xml:space="preserve">bilinguals’</w:t>
      </w:r>
      <w:r>
        <w:t xml:space="preserve"> </w:t>
      </w:r>
      <w:r>
        <w:t xml:space="preserve">and</w:t>
      </w:r>
      <w:r>
        <w:t xml:space="preserve"> </w:t>
      </w:r>
      <w:r>
        <w:t xml:space="preserve">monolinguals’</w:t>
      </w:r>
      <w:r>
        <w:t xml:space="preserve"> </w:t>
      </w:r>
      <w:r>
        <w:t xml:space="preserve">age</w:t>
      </w:r>
      <w:r>
        <w:t xml:space="preserve"> </w:t>
      </w:r>
      <w:r>
        <w:t xml:space="preserve">at</w:t>
      </w:r>
      <w:r>
        <w:t xml:space="preserve"> </w:t>
      </w:r>
      <w:r>
        <w:t xml:space="preserve">dementia</w:t>
      </w:r>
      <w:r>
        <w:t xml:space="preserve"> </w:t>
      </w:r>
      <w:r>
        <w:t xml:space="preserve">onset</w:t>
      </w:r>
      <w:r>
        <w:t xml:space="preserve"> </w:t>
      </w:r>
      <w:r>
        <w:t xml:space="preserve">report</w:t>
      </w:r>
      <w:r>
        <w:t xml:space="preserve"> </w:t>
      </w:r>
      <w:r>
        <w:t xml:space="preserve">a</w:t>
      </w:r>
      <w:r>
        <w:t xml:space="preserve"> </w:t>
      </w:r>
      <w:r>
        <w:t xml:space="preserve">delay</w:t>
      </w:r>
      <w:r>
        <w:t xml:space="preserve"> </w:t>
      </w:r>
      <w:r>
        <w:t xml:space="preserve">for</w:t>
      </w:r>
      <w:r>
        <w:t xml:space="preserve"> </w:t>
      </w:r>
      <w:r>
        <w:t xml:space="preserve">bilinguals.</w:t>
      </w:r>
      <w:r>
        <w:t xml:space="preserve"> </w:t>
      </w:r>
      <w:r>
        <w:t xml:space="preserve">However,</w:t>
      </w:r>
      <w:r>
        <w:t xml:space="preserve"> </w:t>
      </w:r>
      <w:r>
        <w:t xml:space="preserve">some</w:t>
      </w:r>
      <w:r>
        <w:t xml:space="preserve"> </w:t>
      </w:r>
      <w:r>
        <w:t xml:space="preserve">studies</w:t>
      </w:r>
      <w:r>
        <w:t xml:space="preserve"> </w:t>
      </w:r>
      <w:r>
        <w:t xml:space="preserve">suggest</w:t>
      </w:r>
      <w:r>
        <w:t xml:space="preserve"> </w:t>
      </w:r>
      <w:r>
        <w:t xml:space="preserve">that</w:t>
      </w:r>
      <w:r>
        <w:t xml:space="preserve"> </w:t>
      </w:r>
      <w:r>
        <w:t xml:space="preserve">such</w:t>
      </w:r>
      <w:r>
        <w:t xml:space="preserve"> </w:t>
      </w:r>
      <w:r>
        <w:t xml:space="preserve">protective</w:t>
      </w:r>
      <w:r>
        <w:t xml:space="preserve"> </w:t>
      </w:r>
      <w:r>
        <w:t xml:space="preserve">effects</w:t>
      </w:r>
      <w:r>
        <w:t xml:space="preserve"> </w:t>
      </w:r>
      <w:r>
        <w:t xml:space="preserve">may</w:t>
      </w:r>
      <w:r>
        <w:t xml:space="preserve"> </w:t>
      </w:r>
      <w:r>
        <w:t xml:space="preserve">be</w:t>
      </w:r>
      <w:r>
        <w:t xml:space="preserve"> </w:t>
      </w:r>
      <w:r>
        <w:t xml:space="preserve">specific</w:t>
      </w:r>
      <w:r>
        <w:t xml:space="preserve"> </w:t>
      </w:r>
      <w:r>
        <w:t xml:space="preserve">to</w:t>
      </w:r>
      <w:r>
        <w:t xml:space="preserve"> </w:t>
      </w:r>
      <w:r>
        <w:t xml:space="preserve">certain</w:t>
      </w:r>
      <w:r>
        <w:t xml:space="preserve"> </w:t>
      </w:r>
      <w:r>
        <w:t xml:space="preserve">types</w:t>
      </w:r>
      <w:r>
        <w:t xml:space="preserve"> </w:t>
      </w:r>
      <w:r>
        <w:t xml:space="preserve">of</w:t>
      </w:r>
      <w:r>
        <w:t xml:space="preserve"> </w:t>
      </w:r>
      <w:r>
        <w:t xml:space="preserve">dementia.</w:t>
      </w:r>
      <w:r>
        <w:t xml:space="preserve"> </w:t>
      </w:r>
      <w:r>
        <w:t xml:space="preserve">Meanwhile,</w:t>
      </w:r>
      <w:r>
        <w:t xml:space="preserve"> </w:t>
      </w:r>
      <w:r>
        <w:t xml:space="preserve">several</w:t>
      </w:r>
      <w:r>
        <w:t xml:space="preserve"> </w:t>
      </w:r>
      <w:r>
        <w:t xml:space="preserve">prospective</w:t>
      </w:r>
      <w:r>
        <w:t xml:space="preserve"> </w:t>
      </w:r>
      <w:r>
        <w:t xml:space="preserve">studies</w:t>
      </w:r>
      <w:r>
        <w:t xml:space="preserve"> </w:t>
      </w:r>
      <w:r>
        <w:t xml:space="preserve">which</w:t>
      </w:r>
      <w:r>
        <w:t xml:space="preserve"> </w:t>
      </w:r>
      <w:r>
        <w:t xml:space="preserve">investigated</w:t>
      </w:r>
      <w:r>
        <w:t xml:space="preserve"> </w:t>
      </w:r>
      <w:r>
        <w:t xml:space="preserve">whether</w:t>
      </w:r>
      <w:r>
        <w:t xml:space="preserve"> </w:t>
      </w:r>
      <w:r>
        <w:t xml:space="preserve">bilingualism</w:t>
      </w:r>
      <w:r>
        <w:t xml:space="preserve"> </w:t>
      </w:r>
      <w:r>
        <w:t xml:space="preserve">reduces</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produced</w:t>
      </w:r>
      <w:r>
        <w:t xml:space="preserve"> </w:t>
      </w:r>
      <w:r>
        <w:t xml:space="preserve">null</w:t>
      </w:r>
      <w:r>
        <w:t xml:space="preserve"> </w:t>
      </w:r>
      <w:r>
        <w:t xml:space="preserve">results.</w:t>
      </w:r>
      <w:r>
        <w:t xml:space="preserve"> </w:t>
      </w:r>
      <w:r>
        <w:t xml:space="preserve">Therefore,</w:t>
      </w:r>
      <w:r>
        <w:t xml:space="preserve"> </w:t>
      </w:r>
      <w:r>
        <w:t xml:space="preserve">we</w:t>
      </w:r>
      <w:r>
        <w:t xml:space="preserve"> </w:t>
      </w:r>
      <w:r>
        <w:t xml:space="preserve">conducted</w:t>
      </w:r>
      <w:r>
        <w:t xml:space="preserve"> </w:t>
      </w:r>
      <w:r>
        <w:t xml:space="preserve">the</w:t>
      </w:r>
      <w:r>
        <w:t xml:space="preserve"> </w:t>
      </w:r>
      <w:r>
        <w:t xml:space="preserve">first</w:t>
      </w:r>
      <w:r>
        <w:t xml:space="preserve"> </w:t>
      </w:r>
      <w:r>
        <w:t xml:space="preserve">Bayesian</w:t>
      </w:r>
      <w:r>
        <w:t xml:space="preserve"> </w:t>
      </w:r>
      <w:r>
        <w:t xml:space="preserve">meta-analysis</w:t>
      </w:r>
      <w:r>
        <w:t xml:space="preserve"> </w:t>
      </w:r>
      <w:r>
        <w:t xml:space="preserve">to</w:t>
      </w:r>
      <w:r>
        <w:t xml:space="preserve"> </w:t>
      </w:r>
      <w:r>
        <w:t xml:space="preserve">examine</w:t>
      </w:r>
      <w:r>
        <w:t xml:space="preserve"> </w:t>
      </w:r>
      <w:r>
        <w:t xml:space="preserve">the</w:t>
      </w:r>
      <w:r>
        <w:t xml:space="preserve"> </w:t>
      </w:r>
      <w:r>
        <w:t xml:space="preserve">relationship</w:t>
      </w:r>
      <w:r>
        <w:t xml:space="preserve"> </w:t>
      </w:r>
      <w:r>
        <w:t xml:space="preserve">between</w:t>
      </w:r>
      <w:r>
        <w:t xml:space="preserve"> </w:t>
      </w:r>
      <w:r>
        <w:t xml:space="preserve">bilingualism</w:t>
      </w:r>
      <w:r>
        <w:t xml:space="preserve"> </w:t>
      </w:r>
      <w:r>
        <w:t xml:space="preserve">and</w:t>
      </w:r>
      <w:r>
        <w:t xml:space="preserve"> </w:t>
      </w:r>
      <w:r>
        <w:t xml:space="preserve">age</w:t>
      </w:r>
      <w:r>
        <w:t xml:space="preserve"> </w:t>
      </w:r>
      <w:r>
        <w:t xml:space="preserve">at</w:t>
      </w:r>
      <w:r>
        <w:t xml:space="preserve"> </w:t>
      </w:r>
      <w:r>
        <w:t xml:space="preserve">onset</w:t>
      </w:r>
      <w:r>
        <w:t xml:space="preserve"> </w:t>
      </w:r>
      <w:r>
        <w:t xml:space="preserve">of</w:t>
      </w:r>
      <w:r>
        <w:t xml:space="preserve"> </w:t>
      </w:r>
      <w:r>
        <w:t xml:space="preserve">dementia</w:t>
      </w:r>
      <w:r>
        <w:t xml:space="preserve"> </w:t>
      </w:r>
      <w:r>
        <w:t xml:space="preserve">and</w:t>
      </w:r>
      <w:r>
        <w:t xml:space="preserve"> </w:t>
      </w:r>
      <w:r>
        <w:t xml:space="preserve">bilingualism</w:t>
      </w:r>
      <w:r>
        <w:t xml:space="preserve"> </w:t>
      </w:r>
      <w:r>
        <w:t xml:space="preserve">and</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respectively.</w:t>
      </w:r>
      <w:r>
        <w:t xml:space="preserve"> </w:t>
      </w:r>
      <w:r>
        <w:t xml:space="preserve">The</w:t>
      </w:r>
      <w:r>
        <w:t xml:space="preserve"> </w:t>
      </w:r>
      <w:r>
        <w:t xml:space="preserve">results</w:t>
      </w:r>
      <w:r>
        <w:t xml:space="preserve"> </w:t>
      </w:r>
      <w:r>
        <w:t xml:space="preserve">from</w:t>
      </w:r>
      <w:r>
        <w:t xml:space="preserve"> </w:t>
      </w:r>
      <w:r>
        <w:t xml:space="preserve">18</w:t>
      </w:r>
      <w:r>
        <w:t xml:space="preserve"> </w:t>
      </w:r>
      <w:r>
        <w:t xml:space="preserve">age</w:t>
      </w:r>
      <w:r>
        <w:t xml:space="preserve"> </w:t>
      </w:r>
      <w:r>
        <w:t xml:space="preserve">at</w:t>
      </w:r>
      <w:r>
        <w:t xml:space="preserve"> </w:t>
      </w:r>
      <w:r>
        <w:t xml:space="preserve">onset</w:t>
      </w:r>
      <w:r>
        <w:t xml:space="preserve"> </w:t>
      </w:r>
      <w:r>
        <w:t xml:space="preserve">studies</w:t>
      </w:r>
      <w:r>
        <w:t xml:space="preserve"> </w:t>
      </w:r>
      <w:r>
        <w:t xml:space="preserve">revealed</w:t>
      </w:r>
      <w:r>
        <w:t xml:space="preserve"> </w:t>
      </w:r>
      <w:r>
        <w:t xml:space="preserve">that</w:t>
      </w:r>
      <w:r>
        <w:t xml:space="preserve"> </w:t>
      </w:r>
      <w:r>
        <w:t xml:space="preserve">bilinguals</w:t>
      </w:r>
      <w:r>
        <w:t xml:space="preserve"> </w:t>
      </w:r>
      <w:r>
        <w:t xml:space="preserve">were,</w:t>
      </w:r>
      <w:r>
        <w:t xml:space="preserve"> </w:t>
      </w:r>
      <w:r>
        <w:t xml:space="preserve">on</w:t>
      </w:r>
      <w:r>
        <w:t xml:space="preserve"> </w:t>
      </w:r>
      <w:r>
        <w:t xml:space="preserve">average,</w:t>
      </w:r>
      <w:r>
        <w:t xml:space="preserve"> </w:t>
      </w:r>
      <w:r>
        <w:t xml:space="preserve">3.45</w:t>
      </w:r>
      <w:r>
        <w:t xml:space="preserve"> </w:t>
      </w:r>
      <w:r>
        <w:t xml:space="preserve">years</w:t>
      </w:r>
      <w:r>
        <w:t xml:space="preserve"> </w:t>
      </w:r>
      <w:r>
        <w:t xml:space="preserve">older</w:t>
      </w:r>
      <w:r>
        <w:t xml:space="preserve"> </w:t>
      </w:r>
      <w:r>
        <w:t xml:space="preserve">than</w:t>
      </w:r>
      <w:r>
        <w:t xml:space="preserve"> </w:t>
      </w:r>
      <w:r>
        <w:t xml:space="preserve">monolinguals</w:t>
      </w:r>
      <w:r>
        <w:t xml:space="preserve"> </w:t>
      </w:r>
      <w:r>
        <w:t xml:space="preserve">at</w:t>
      </w:r>
      <w:r>
        <w:t xml:space="preserve"> </w:t>
      </w:r>
      <w:r>
        <w:t xml:space="preserve">symptom</w:t>
      </w:r>
      <w:r>
        <w:t xml:space="preserve"> </w:t>
      </w:r>
      <w:r>
        <w:t xml:space="preserve">onset</w:t>
      </w:r>
      <w:r>
        <w:t xml:space="preserve"> </w:t>
      </w:r>
      <w:r>
        <w:t xml:space="preserve">(95%</w:t>
      </w:r>
      <w:r>
        <w:t xml:space="preserve"> </w:t>
      </w:r>
      <w:r>
        <w:t xml:space="preserve">credible</w:t>
      </w:r>
      <w:r>
        <w:t xml:space="preserve"> </w:t>
      </w:r>
      <w:r>
        <w:t xml:space="preserve">interval</w:t>
      </w:r>
      <w:r>
        <w:t xml:space="preserve"> </w:t>
      </w:r>
      <w:r>
        <w:t xml:space="preserve">[Crl]:</w:t>
      </w:r>
      <w:r>
        <w:t xml:space="preserve"> </w:t>
      </w:r>
      <w:r>
        <w:t xml:space="preserve">[2.8,</w:t>
      </w:r>
      <w:r>
        <w:t xml:space="preserve"> </w:t>
      </w:r>
      <w:r>
        <w:t xml:space="preserve">4.1]).</w:t>
      </w:r>
      <w:r>
        <w:t xml:space="preserve"> </w:t>
      </w:r>
      <w:r>
        <w:t xml:space="preserve">Moreover,</w:t>
      </w:r>
      <w:r>
        <w:t xml:space="preserve"> </w:t>
      </w:r>
      <w:r>
        <w:t xml:space="preserve">the</w:t>
      </w:r>
      <w:r>
        <w:t xml:space="preserve"> </w:t>
      </w:r>
      <w:r>
        <w:t xml:space="preserve">result</w:t>
      </w:r>
      <w:r>
        <w:t xml:space="preserve"> </w:t>
      </w:r>
      <w:r>
        <w:t xml:space="preserve">was</w:t>
      </w:r>
      <w:r>
        <w:t xml:space="preserve"> </w:t>
      </w:r>
      <w:r>
        <w:t xml:space="preserve">only</w:t>
      </w:r>
      <w:r>
        <w:t xml:space="preserve"> </w:t>
      </w:r>
      <w:r>
        <w:t xml:space="preserve">slightly</w:t>
      </w:r>
      <w:r>
        <w:t xml:space="preserve"> </w:t>
      </w:r>
      <w:r>
        <w:t xml:space="preserve">influenced</w:t>
      </w:r>
      <w:r>
        <w:t xml:space="preserve"> </w:t>
      </w:r>
      <w:r>
        <w:t xml:space="preserve">by</w:t>
      </w:r>
      <w:r>
        <w:t xml:space="preserve"> </w:t>
      </w:r>
      <w:r>
        <w:t xml:space="preserve">years</w:t>
      </w:r>
      <w:r>
        <w:t xml:space="preserve"> </w:t>
      </w:r>
      <w:r>
        <w:t xml:space="preserve">of</w:t>
      </w:r>
      <w:r>
        <w:t xml:space="preserve"> </w:t>
      </w:r>
      <w:r>
        <w:t xml:space="preserve">education,</w:t>
      </w:r>
      <w:r>
        <w:t xml:space="preserve"> </w:t>
      </w:r>
      <w:r>
        <w:t xml:space="preserve">although</w:t>
      </w:r>
      <w:r>
        <w:t xml:space="preserve"> </w:t>
      </w:r>
      <w:r>
        <w:t xml:space="preserve">the</w:t>
      </w:r>
      <w:r>
        <w:t xml:space="preserve"> </w:t>
      </w:r>
      <w:r>
        <w:t xml:space="preserve">effect</w:t>
      </w:r>
      <w:r>
        <w:t xml:space="preserve"> </w:t>
      </w:r>
      <w:r>
        <w:t xml:space="preserve">of</w:t>
      </w:r>
      <w:r>
        <w:t xml:space="preserve"> </w:t>
      </w:r>
      <w:r>
        <w:t xml:space="preserve">education</w:t>
      </w:r>
      <w:r>
        <w:t xml:space="preserve"> </w:t>
      </w:r>
      <w:r>
        <w:t xml:space="preserve">on</w:t>
      </w:r>
      <w:r>
        <w:t xml:space="preserve"> </w:t>
      </w:r>
      <w:r>
        <w:t xml:space="preserve">dementia</w:t>
      </w:r>
      <w:r>
        <w:t xml:space="preserve"> </w:t>
      </w:r>
      <w:r>
        <w:t xml:space="preserve">remains</w:t>
      </w:r>
      <w:r>
        <w:t xml:space="preserve"> </w:t>
      </w:r>
      <w:r>
        <w:t xml:space="preserve">uncertain.</w:t>
      </w:r>
      <w:r>
        <w:t xml:space="preserve"> </w:t>
      </w:r>
      <w:r>
        <w:t xml:space="preserve">The</w:t>
      </w:r>
      <w:r>
        <w:t xml:space="preserve"> </w:t>
      </w:r>
      <w:r>
        <w:t xml:space="preserve">results</w:t>
      </w:r>
      <w:r>
        <w:t xml:space="preserve"> </w:t>
      </w:r>
      <w:r>
        <w:t xml:space="preserve">from</w:t>
      </w:r>
      <w:r>
        <w:t xml:space="preserve"> </w:t>
      </w:r>
      <w:r>
        <w:t xml:space="preserve">6</w:t>
      </w:r>
      <w:r>
        <w:t xml:space="preserve"> </w:t>
      </w:r>
      <w:r>
        <w:t xml:space="preserve">incidence</w:t>
      </w:r>
      <w:r>
        <w:t xml:space="preserve"> </w:t>
      </w:r>
      <w:r>
        <w:t xml:space="preserve">rate</w:t>
      </w:r>
      <w:r>
        <w:t xml:space="preserve"> </w:t>
      </w:r>
      <w:r>
        <w:t xml:space="preserve">studies</w:t>
      </w:r>
      <w:r>
        <w:t xml:space="preserve"> </w:t>
      </w:r>
      <w:r>
        <w:t xml:space="preserve">did</w:t>
      </w:r>
      <w:r>
        <w:t xml:space="preserve"> </w:t>
      </w:r>
      <w:r>
        <w:t xml:space="preserve">not</w:t>
      </w:r>
      <w:r>
        <w:t xml:space="preserve"> </w:t>
      </w:r>
      <w:r>
        <w:t xml:space="preserve">provide</w:t>
      </w:r>
      <w:r>
        <w:t xml:space="preserve"> </w:t>
      </w:r>
      <w:r>
        <w:t xml:space="preserve">robust</w:t>
      </w:r>
      <w:r>
        <w:t xml:space="preserve"> </w:t>
      </w:r>
      <w:r>
        <w:t xml:space="preserve">evidence</w:t>
      </w:r>
      <w:r>
        <w:t xml:space="preserve"> </w:t>
      </w:r>
      <w:r>
        <w:t xml:space="preserve">for</w:t>
      </w:r>
      <w:r>
        <w:t xml:space="preserve"> </w:t>
      </w:r>
      <w:r>
        <w:t xml:space="preserve">bilingualism’s</w:t>
      </w:r>
      <w:r>
        <w:t xml:space="preserve"> </w:t>
      </w:r>
      <w:r>
        <w:t xml:space="preserve">preventive</w:t>
      </w:r>
      <w:r>
        <w:t xml:space="preserve"> </w:t>
      </w:r>
      <w:r>
        <w:t xml:space="preserve">effect.</w:t>
      </w:r>
      <w:r>
        <w:t xml:space="preserve"> </w:t>
      </w:r>
      <w:r>
        <w:t xml:space="preserve">Therefore,</w:t>
      </w:r>
      <w:r>
        <w:t xml:space="preserve"> </w:t>
      </w:r>
      <w:r>
        <w:t xml:space="preserve">this</w:t>
      </w:r>
      <w:r>
        <w:t xml:space="preserve"> </w:t>
      </w:r>
      <w:r>
        <w:t xml:space="preserve">meta-analysis</w:t>
      </w:r>
      <w:r>
        <w:t xml:space="preserve"> </w:t>
      </w:r>
      <w:r>
        <w:t xml:space="preserve">demonstrated</w:t>
      </w:r>
      <w:r>
        <w:t xml:space="preserve"> </w:t>
      </w:r>
      <w:r>
        <w:t xml:space="preserve">that</w:t>
      </w:r>
      <w:r>
        <w:t xml:space="preserve"> </w:t>
      </w:r>
      <w:r>
        <w:t xml:space="preserve">bilingualism</w:t>
      </w:r>
      <w:r>
        <w:t xml:space="preserve"> </w:t>
      </w:r>
      <w:r>
        <w:t xml:space="preserve">has</w:t>
      </w:r>
      <w:r>
        <w:t xml:space="preserve"> </w:t>
      </w:r>
      <w:r>
        <w:t xml:space="preserve">potential</w:t>
      </w:r>
      <w:r>
        <w:t xml:space="preserve"> </w:t>
      </w:r>
      <w:r>
        <w:t xml:space="preserve">effects</w:t>
      </w:r>
      <w:r>
        <w:t xml:space="preserve"> </w:t>
      </w:r>
      <w:r>
        <w:t xml:space="preserve">in</w:t>
      </w:r>
      <w:r>
        <w:t xml:space="preserve"> </w:t>
      </w:r>
      <w:r>
        <w:t xml:space="preserve">delaying</w:t>
      </w:r>
      <w:r>
        <w:t xml:space="preserve"> </w:t>
      </w:r>
      <w:r>
        <w:t xml:space="preserve">the</w:t>
      </w:r>
      <w:r>
        <w:t xml:space="preserve"> </w:t>
      </w:r>
      <w:r>
        <w:t xml:space="preserve">onset</w:t>
      </w:r>
      <w:r>
        <w:t xml:space="preserve"> </w:t>
      </w:r>
      <w:r>
        <w:t xml:space="preserve">of</w:t>
      </w:r>
      <w:r>
        <w:t xml:space="preserve"> </w:t>
      </w:r>
      <w:r>
        <w:t xml:space="preserve">dementia</w:t>
      </w:r>
      <w:r>
        <w:t xml:space="preserve"> </w:t>
      </w:r>
      <w:r>
        <w:t xml:space="preserve">but</w:t>
      </w:r>
      <w:r>
        <w:t xml:space="preserve"> </w:t>
      </w:r>
      <w:r>
        <w:t xml:space="preserve">not</w:t>
      </w:r>
      <w:r>
        <w:t xml:space="preserve"> </w:t>
      </w:r>
      <w:r>
        <w:t xml:space="preserve">preventing</w:t>
      </w:r>
      <w:r>
        <w:t xml:space="preserve"> </w:t>
      </w:r>
      <w:r>
        <w:t xml:space="preserve">it.</w:t>
      </w:r>
      <w:r>
        <w:t xml:space="preserve"> </w:t>
      </w:r>
      <w:r>
        <w:rPr>
          <w:color w:val="FF0000"/>
        </w:rPr>
        <w:t>Moreover, subgroup analysis revealed a consistent pattern of delayed symptom onset among bilinguals, though the estimated delays differed across dementia types. However, due to the limited number of studies available for each dementia subtype, uncertainty remains regarding whether bilingualism induces differential effects across dementia types. This highlights the need for further research specifically targeting non-Alzheimer’s dementias to better clarify these potential differences.</w:t>
      </w:r>
    </w:p>
    <w:bookmarkStart w:id="20" w:name="introduction"/>
    <w:p>
      <w:pPr>
        <w:pStyle w:val="Heading1"/>
      </w:pPr>
      <w:r>
        <w:t xml:space="preserve">Introduction</w:t>
      </w:r>
    </w:p>
    <w:p>
      <w:pPr>
        <w:pStyle w:val="FirstParagraph"/>
      </w:pPr>
      <w:r>
        <w:t xml:space="preserve">The ageing adults may face an increasing risk of dementia, a syndrome resulting from a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ageing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ageing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the real-world population are still under debate</w:t>
      </w:r>
      <w:r>
        <w:t xml:space="preserve"> </w:t>
      </w:r>
      <w:r>
        <w:t xml:space="preserve">(Angioni et al., 2024)</w:t>
      </w:r>
      <w:r>
        <w:t xml:space="preserve">.</w:t>
      </w:r>
      <w:r>
        <w:t xml:space="preserve"> </w:t>
      </w:r>
      <w:r>
        <w:rPr>
          <w:color w:val="FF0000"/>
        </w:rPr>
        <w:t>Consequently, exploring non-pharmacological contributors to cognitive resilience remains a crucial avenue of research</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ageing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ageing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ageing and brain loss</w:t>
      </w:r>
      <w:r>
        <w:t xml:space="preserve"> </w:t>
      </w:r>
      <w:r>
        <w:t xml:space="preserve">(Berkes &amp; Bialystok, 2022)</w:t>
      </w:r>
      <w:r>
        <w:t xml:space="preserve">. In this sense, there should be several outcomes when comparing high-cognitive reserve and low-cognitive reserve ageing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w:t>
      </w:r>
      <w:r>
        <w:t xml:space="preserve">advantage</w:t>
      </w:r>
      <w:r>
        <w:t xml:space="preserv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for complex EF tasks while posterior and subcortical regions are largely believed for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 that 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 than 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 dementia</w:t>
      </w:r>
      <w:r>
        <w:t xml:space="preserve"> </w:t>
      </w:r>
      <w:r>
        <w:t xml:space="preserve">(Zahodne et al., 2014)</w:t>
      </w:r>
      <w:r>
        <w:t xml:space="preserve">. The results showed that bilingualism was associated with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w:t>
      </w:r>
      <w:r>
        <w:t xml:space="preserve">a strategy to delay dementia</w:t>
      </w:r>
      <w:r>
        <w:t xml:space="preserve">”</w:t>
      </w:r>
      <w:r>
        <w:t xml:space="preserve"> </w:t>
      </w:r>
      <w:r>
        <w:t xml:space="preserve">(Mukadam et al., 2017, p. 53)</w:t>
      </w:r>
      <w:r>
        <w:t xml:space="preserve">. Yet the present study will argue that their argument is premature and that the difference of bilingualism’s 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committed a bilingual effect on lower dementia risks among non-immigrant populations in India. Given these limitations of previous meta-analysis,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meta-analysis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 bilingualism preventing effect on dementia?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 avg_comparison() 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the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w:t>
      </w:r>
      <w:r>
        <w:t xml:space="preserve">bilingualism</w:t>
      </w:r>
      <w:r>
        <w:t xml:space="preserve">”</w:t>
      </w:r>
      <w:r>
        <w:t xml:space="preserve"> </w:t>
      </w:r>
      <w:r>
        <w:t xml:space="preserve">OR</w:t>
      </w:r>
      <w:r>
        <w:t xml:space="preserve"> </w:t>
      </w:r>
      <w:r>
        <w:t xml:space="preserve">“</w:t>
      </w:r>
      <w:r>
        <w:t xml:space="preserve">multilingualism</w:t>
      </w:r>
      <w:r>
        <w:t xml:space="preserve">”</w:t>
      </w:r>
      <w:r>
        <w:t xml:space="preserve">) AND (</w:t>
      </w:r>
      <w:r>
        <w:t xml:space="preserve">“</w:t>
      </w:r>
      <w:r>
        <w:t xml:space="preserve">Alzheimer’s disease</w:t>
      </w:r>
      <w:r>
        <w:t xml:space="preserve">”</w:t>
      </w:r>
      <w:r>
        <w:t xml:space="preserve"> </w:t>
      </w:r>
      <w:r>
        <w:t xml:space="preserve">OR</w:t>
      </w:r>
      <w:r>
        <w:t xml:space="preserve"> </w:t>
      </w:r>
      <w:r>
        <w:t xml:space="preserve">“</w:t>
      </w:r>
      <w:r>
        <w:t xml:space="preserve">dementia</w:t>
      </w:r>
      <w:r>
        <w:t xml:space="preserve">”</w:t>
      </w:r>
      <w:r>
        <w:t xml:space="preserve"> </w:t>
      </w:r>
      <w:r>
        <w:t xml:space="preserve">OR</w:t>
      </w:r>
      <w:r>
        <w:t xml:space="preserve"> </w:t>
      </w:r>
      <w:r>
        <w:t xml:space="preserve">“</w:t>
      </w:r>
      <w:r>
        <w:t xml:space="preserve">MCI</w:t>
      </w:r>
      <w:r>
        <w:t xml:space="preserve">”</w:t>
      </w:r>
      <w:r>
        <w:t xml:space="preserve">).</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the bilingual and monolingual samples. (b). The study should be about dementia or mild cognitive impairment (MCI). (c). The articles included need to provide necessary information of both bilingual and monolingual groups (i.e., for age at onset study: sample size, the mean age of onset and standard deviation of each group; for incidence rate study: sample size, the number of individuals who developed dementia during the study period). Additionally, they have to report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dementia_type, and years_of_education. In detail, in the Study column, the last name of all the authors (if the number of authors is under three) or the last name of the first author (if the number of authors is above three) and year of publication were extracted for each study. The mean and SD are the mean age at onset/diagnosis for dementia or MCI and its standard deviation. N is the number of participants in each group within each study. The monolingual and bilingual group is represented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of the data. It is better for fields with limited data.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 bilinguals.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r>
        <w:t xml:space="preserve"> </w:t>
      </w:r>
      <w:r>
        <w:rPr>
          <w:color w:val="FF0000"/>
        </w:rPr>
        <w:t>The model for sub-group analysis is similar to the main Bayesian meta-analysis model, with the data restricted to the relevant sub-group.</w:t>
      </w:r>
    </w:p>
    <w:bookmarkEnd w:id="35"/>
    <w:bookmarkEnd w:id="36"/>
    <w:bookmarkEnd w:id="37"/>
    <w:bookmarkStart w:id="81"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 to 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 a 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the case, age at onset of dementia) would fall within 95%Crl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70" w:name="Xd0df9da9ee21d5417233a08b5c4c4fb8729a75c"/>
    <w:p>
      <w:pPr>
        <w:pStyle w:val="Heading2"/>
      </w:pPr>
      <w:r>
        <w:t xml:space="preserve">Results for Meta-analysis of Bilingualism and Age at Onset of Dementia</w:t>
      </w:r>
    </w:p>
    <w:p>
      <w:pPr>
        <w:pStyle w:val="FirstParagraph"/>
      </w:pPr>
      <w:r>
        <w:t xml:space="preserve">We fitted a Bayesian linear regression model with</w:t>
      </w:r>
      <w:r>
        <w:t xml:space="preserve"> </w:t>
      </w:r>
      <w:r>
        <w:rPr>
          <w:color w:val="FF0000"/>
        </w:rPr>
        <w:t>language group (bilingual vs. Monolingual)</w:t>
      </w:r>
      <w:r>
        <w:t xml:space="preserve"> </w:t>
      </w:r>
      <w:r>
        <w:t xml:space="preserve">as the predictor, mean (age at onset) as the outcome variable and measurement error (added with se (SE) at the left side of the model formula).</w:t>
      </w:r>
      <w:r>
        <w:t xml:space="preserve"> </w:t>
      </w:r>
      <w:r>
        <w:rPr>
          <w:color w:val="FF0000"/>
        </w:rPr>
        <w:t>All models converged with acceptable R-hat and acceptable sample size values. The FTD subgroup model and MCI subgroup model finished with 40 and 16 divergent transitions respectively, which we did not deem problematic given the R-hat and effective sample size values.</w:t>
      </w:r>
    </w:p>
    <w:p>
      <w:pPr>
        <w:pStyle w:val="BodyText"/>
      </w:pPr>
      <w:r>
        <w:t xml:space="preserve">The results showed that at the population level, the estimated age at dementia onset for monolinguals was between 65.04 and 71.55 years at 95% Crl (β = 68.39, Est.Error = 1.64). For bilinguals, the estimated age at dementia onset was between 68.82 and 74.61 years at 95% Crl (β = 71.68, Est.Error = 1.49).</w:t>
      </w:r>
      <w:r>
        <w:t xml:space="preserve"> </w:t>
      </w:r>
      <w:r>
        <w:rPr>
          <w:color w:val="FF0000"/>
        </w:rPr>
        <w:t>We</w:t>
      </w:r>
      <w:r>
        <w:t xml:space="preserve"> </w:t>
      </w:r>
      <w:r>
        <w:t xml:space="preserve">further used</w:t>
      </w:r>
      <w:r>
        <w:t xml:space="preserve"> </w:t>
      </w:r>
      <w:r>
        <w:t xml:space="preserve">“</w:t>
      </w:r>
      <w:r>
        <w:t xml:space="preserve">avg_comparisons()</w:t>
      </w:r>
      <w:r>
        <w:t xml:space="preserve">”</w:t>
      </w:r>
      <w:r>
        <w:t xml:space="preserve"> </w:t>
      </w:r>
      <w:r>
        <w:t xml:space="preserve">function to summarise the average marginal effects for bilinguals and monolinguals</w:t>
      </w:r>
      <w:r>
        <w:t xml:space="preserve"> </w:t>
      </w:r>
      <w:r>
        <w:t xml:space="preserve">(Arel-Bundock et al., 2024)</w:t>
      </w:r>
      <w:r>
        <w:t xml:space="preserve">, which showed that the average marginal effect between the age at dementia onset for bilinguals and monolinguals was between 2.8 and 4.1 years at 95% Crl with an estimate of 3.45 years. This suggests that the bilingual population tends to have a later dementia symptom onset of around 3.45 years than monolinguals. A similar</w:t>
      </w:r>
      <w:r>
        <w:t xml:space="preserve"> </w:t>
      </w:r>
      <w:r>
        <w:rPr>
          <w:color w:val="FF0000"/>
        </w:rPr>
        <w:t>trend</w:t>
      </w:r>
      <w:r>
        <w:t xml:space="preserve"> </w:t>
      </w:r>
      <w:r>
        <w:t xml:space="preserve">was also shown in the forest plot of the</w:t>
      </w:r>
      <w:r>
        <w:t xml:space="preserve"> </w:t>
      </w:r>
      <w:r>
        <w:rPr>
          <w:color w:val="FF0000"/>
        </w:rPr>
        <w:t>study-specific</w:t>
      </w:r>
      <w:r>
        <w:t xml:space="preserve"> </w:t>
      </w:r>
      <w:r>
        <w:t xml:space="preserve">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w:t>
      </w:r>
      <w:r>
        <w:t xml:space="preserve"> </w:t>
      </w:r>
      <w:r>
        <w:rPr>
          <w:color w:val="FF0000"/>
        </w:rPr>
        <w:t>It is important to note that the credible interval of population-level average estimate (from avg_comparisons()) is narrower than those observed in the study-specific estimates in the forest plot. This is because the population-level estimate benefits from partial pooling across studies, which reduces uncertainty by borrowing strength from the entire dataset.</w:t>
      </w:r>
    </w:p>
    <w:p>
      <w:pPr>
        <w:pStyle w:val="BodyText"/>
      </w:pPr>
      <w:r>
        <w:t xml:space="preserve">Overall,</w:t>
      </w:r>
      <w:r>
        <w:t xml:space="preserve"> </w:t>
      </w:r>
      <w:r>
        <w:rPr>
          <w:color w:val="FF0000"/>
        </w:rPr>
        <w:t>the meta-analytic effect showed a positive effect, indicating that bilingualism is associated with a delayed onset of dementia</w:t>
      </w:r>
      <w:r>
        <w:t xml:space="preserve">. The following section explores the heterogeneity across the studies.</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5"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w:t>
      </w:r>
      <w:r>
        <w:t xml:space="preserve"> </w:t>
      </w:r>
      <w:r>
        <w:rPr>
          <w:color w:val="FF0000"/>
        </w:rPr>
        <w:t>monolingual group and bilingual group</w:t>
      </w:r>
      <w:r>
        <w:t xml:space="preserve"> </w:t>
      </w:r>
      <w:r>
        <w:t xml:space="preserve">across different study levels. At the group level, the standard deviation for</w:t>
      </w:r>
      <w:r>
        <w:t xml:space="preserve"> </w:t>
      </w:r>
      <w:r>
        <w:rPr>
          <w:color w:val="FF0000"/>
        </w:rPr>
        <w:t>monolingual group and bilingual group</w:t>
      </w:r>
      <w:r>
        <w:t xml:space="preserve"> </w:t>
      </w:r>
      <w:r>
        <w:t xml:space="preserve">was 7.13 with a 95% Crl [5.24, 9.93], and 6.54 with a 95% Crl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w:t>
      </w:r>
      <w:r>
        <w:t xml:space="preserve"> </w:t>
      </w:r>
      <w:hyperlink w:anchor="fig-fig4">
        <w:r>
          <w:rPr>
            <w:rStyle w:val="Hyperlink"/>
          </w:rPr>
          <w:t xml:space="preserve">Figure 4</w:t>
        </w:r>
      </w:hyperlink>
      <w:r>
        <w:t xml:space="preserve">).</w:t>
      </w:r>
    </w:p>
    <w:p>
      <w:pPr>
        <w:pStyle w:val="BodyText"/>
      </w:pPr>
      <w:r>
        <w:drawing>
          <wp:inline>
            <wp:extent cx="5334000" cy="4267200"/>
            <wp:effectExtent b="0" l="0" r="0" t="0"/>
            <wp:docPr descr="" title="" id="49" name="Picture"/>
            <a:graphic>
              <a:graphicData uri="http://schemas.openxmlformats.org/drawingml/2006/picture">
                <pic:pic>
                  <pic:nvPicPr>
                    <pic:cNvPr descr="Bilingualism_and_Dementia_Meta-analysis_files/figure-docx/unnamed-chunk-7-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54" w:name="fig-fig4"/>
          <w:p>
            <w:pPr>
              <w:pStyle w:val="Compact"/>
              <w:jc w:val="center"/>
            </w:pPr>
            <w:r>
              <w:drawing>
                <wp:inline>
                  <wp:extent cx="5334000" cy="3429000"/>
                  <wp:effectExtent b="0" l="0" r="0" t="0"/>
                  <wp:docPr descr="" title="" id="52" name="Picture"/>
                  <a:graphic>
                    <a:graphicData uri="http://schemas.openxmlformats.org/drawingml/2006/picture">
                      <pic:pic>
                        <pic:nvPicPr>
                          <pic:cNvPr descr="images/fig4.jp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bilingual and monolingual group (the dotted line marks the approximate boundaries between the three groups).</w:t>
            </w:r>
          </w:p>
          <w:bookmarkEnd w:id="54"/>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onsets for the first group of 8 studies were later than the population-level age at onset for around 3 to 8 years [</w:t>
      </w:r>
      <w:r>
        <w:t xml:space="preserve">Berkes et al. (2020)</w:t>
      </w:r>
      <w:r>
        <w:t xml:space="preserve">;</w:t>
      </w:r>
      <w:r>
        <w:t xml:space="preserve"> </w:t>
      </w:r>
      <w:r>
        <w:t xml:space="preserve">Bialystok et al. (2014)</w:t>
      </w:r>
      <w:r>
        <w:t xml:space="preserve">;</w:t>
      </w:r>
      <w:r>
        <w:t xml:space="preserve"> </w:t>
      </w:r>
      <w:r>
        <w:t xml:space="preserve">Chertkow et al. (2010)</w:t>
      </w:r>
      <w:r>
        <w:t xml:space="preserve">;</w:t>
      </w:r>
      <w:r>
        <w:t xml:space="preserve"> </w:t>
      </w:r>
      <w:r>
        <w:t xml:space="preserve">Clare et al. (2016)</w:t>
      </w:r>
      <w:r>
        <w:t xml:space="preserve">;</w:t>
      </w:r>
      <w:r>
        <w:t xml:space="preserve"> </w:t>
      </w:r>
      <w:r>
        <w:t xml:space="preserve">Craik et al. (2010)</w:t>
      </w:r>
      <w:r>
        <w:t xml:space="preserve">;</w:t>
      </w:r>
      <w:r>
        <w:t xml:space="preserve"> </w:t>
      </w:r>
      <w:r>
        <w:t xml:space="preserve">Ossher et al. (2013)</w:t>
      </w:r>
      <w:r>
        <w:t xml:space="preserve">;</w:t>
      </w:r>
      <w:r>
        <w:t xml:space="preserve"> </w:t>
      </w:r>
      <w:r>
        <w:t xml:space="preserve">Perani et al. (2017)</w:t>
      </w:r>
      <w:r>
        <w:t xml:space="preserve">;</w:t>
      </w:r>
      <w:r>
        <w:t xml:space="preserve"> </w:t>
      </w:r>
      <w:r>
        <w:t xml:space="preserve">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 its 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 which is shown in the</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 (see 4.3.3).</w:t>
      </w:r>
    </w:p>
    <w:bookmarkEnd w:id="55"/>
    <w:bookmarkStart w:id="56" w:name="the-role-of-education-is-uncertain"/>
    <w:p>
      <w:pPr>
        <w:pStyle w:val="Heading3"/>
      </w:pPr>
      <w:r>
        <w:t xml:space="preserve">The Role of Education is Uncertain</w:t>
      </w:r>
    </w:p>
    <w:p>
      <w:pPr>
        <w:pStyle w:val="FirstParagraph"/>
      </w:pPr>
      <w:r>
        <w:t xml:space="preserve">To examine whether years of education had an influence on the meta-analytic effect,</w:t>
      </w:r>
      <w:r>
        <w:t xml:space="preserve"> </w:t>
      </w:r>
      <w:r>
        <w:rPr>
          <w:color w:val="FF0000"/>
        </w:rPr>
        <w:t>we</w:t>
      </w:r>
      <w:r>
        <w:t xml:space="preserve"> </w:t>
      </w:r>
      <w:r>
        <w:t xml:space="preserve">included years of education into the right side of previous Bayesian linear model. The results showed that the population-level effect of</w:t>
      </w:r>
      <w:r>
        <w:t xml:space="preserve"> </w:t>
      </w:r>
      <w:r>
        <w:t xml:space="preserve">“</w:t>
      </w:r>
      <w:r>
        <w:t xml:space="preserve">years of education</w:t>
      </w:r>
      <w:r>
        <w:t xml:space="preserve">”</w:t>
      </w:r>
      <w:r>
        <w:t xml:space="preserve"> </w:t>
      </w:r>
      <w:r>
        <w:t xml:space="preserve">on the age at onset of dementia was between -0.63 and 0.36 at 95% Crl (β = -0.11, Est.Error = 0.26). It was quite uncertain about the role of Education since the effect involves both negative and positive values. This indicates that we are still uncertain whether</w:t>
      </w:r>
      <w:r>
        <w:t xml:space="preserve"> </w:t>
      </w:r>
      <w:r>
        <w:t xml:space="preserve">“</w:t>
      </w:r>
      <w:r>
        <w:t xml:space="preserve">years of education</w:t>
      </w:r>
      <w:r>
        <w:t xml:space="preserve">”</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onsets for monolinguals and bilinguals was 69.62 years with a 95% Crl [63.16, 77.00] and 73.03 years with a 95% Crl [66.05, 80.53] after including years of education into the model. Using avg_comparisons() again, the mean average difference between the age at dementia onset for bilinguals and monolinguals was 3.65 years with a 95% Crl [2.55, 4.91]. The result was close to the previous model, where education was not included (3.45 years with a 95% Crl [2.8, 4.1]). Therefore, the results from Bayesian linear regression indicated that years of education did not have a strong effect on the effect of bilingualism on age at onset of dementia, although the role of education is uncertain.</w:t>
      </w:r>
    </w:p>
    <w:bookmarkEnd w:id="56"/>
    <w:bookmarkStart w:id="69"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jc w:val="left"/>
            </w:pPr>
            <w:r>
              <w:t xml:space="preserve">Study</w:t>
            </w:r>
          </w:p>
        </w:tc>
        <w:tc>
          <w:tcPr/>
          <w:p>
            <w:pPr>
              <w:pStyle w:val="Compact"/>
              <w:jc w:val="left"/>
            </w:pPr>
            <w:r>
              <w:t xml:space="preserve">Dementia Diagnosis</w:t>
            </w:r>
          </w:p>
        </w:tc>
        <w:tc>
          <w:tcPr/>
          <w:p>
            <w:pPr>
              <w:pStyle w:val="Compact"/>
              <w:jc w:val="left"/>
            </w:pPr>
            <w:r>
              <w:t xml:space="preserve">Type of Dementia or MCI</w:t>
            </w:r>
          </w:p>
        </w:tc>
        <w:tc>
          <w:tcPr/>
          <w:p>
            <w:pPr>
              <w:pStyle w:val="Compact"/>
              <w:jc w:val="left"/>
            </w:pPr>
            <w:r>
              <w:t xml:space="preserve">Mean Age of Diagnosis &amp; Symptom Onset (SD)</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AD</w:t>
            </w:r>
          </w:p>
        </w:tc>
        <w:tc>
          <w:tcPr/>
          <w:p>
            <w:pPr>
              <w:pStyle w:val="Compact"/>
              <w:jc w:val="left"/>
            </w:pPr>
            <w:r>
              <w:t xml:space="preserve">ML: 65.4 (10.0); BL: 68.6 (9.6)</w:t>
            </w:r>
          </w:p>
        </w:tc>
      </w:tr>
      <w:tr>
        <w:tc>
          <w:tcPr/>
          <w:p>
            <w:pPr>
              <w:pStyle w:val="Compact"/>
              <w:jc w:val="left"/>
            </w:pPr>
            <w:r>
              <w:t xml:space="preserve">Bialystok et al. (2007)</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71.4 (9.6); BL: 75.5 (8.5)</w:t>
            </w:r>
          </w:p>
        </w:tc>
      </w:tr>
      <w:tr>
        <w:tc>
          <w:tcPr/>
          <w:p>
            <w:pPr>
              <w:pStyle w:val="Compact"/>
              <w:jc w:val="left"/>
            </w:pPr>
            <w:r>
              <w:t xml:space="preserve">Bialystok et al. (2014)</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70.9 (11.0); BL: 78.2 (8.9)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AD</w:t>
            </w:r>
          </w:p>
        </w:tc>
        <w:tc>
          <w:tcPr/>
          <w:p>
            <w:pPr>
              <w:pStyle w:val="Compact"/>
              <w:jc w:val="left"/>
            </w:pPr>
            <w:r>
              <w:t xml:space="preserve">ML: 78.2 (7.7); BL: 79.8 (8.4)</w:t>
            </w:r>
          </w:p>
        </w:tc>
      </w:tr>
      <w:tr>
        <w:tc>
          <w:tcPr/>
          <w:p>
            <w:pPr>
              <w:pStyle w:val="Compact"/>
              <w:jc w:val="left"/>
            </w:pPr>
            <w:r>
              <w:t xml:space="preserve">Chertkow et al. (2010)</w:t>
            </w:r>
          </w:p>
        </w:tc>
        <w:tc>
          <w:tcPr/>
          <w:p>
            <w:pPr>
              <w:pStyle w:val="Compact"/>
              <w:jc w:val="left"/>
            </w:pPr>
            <w:r>
              <w:t xml:space="preserve">Patient &amp; caregiver interviews</w:t>
            </w:r>
          </w:p>
        </w:tc>
        <w:tc>
          <w:tcPr/>
          <w:p>
            <w:pPr>
              <w:pStyle w:val="Compact"/>
              <w:jc w:val="left"/>
            </w:pPr>
            <w:r>
              <w:t xml:space="preserve">AD</w:t>
            </w:r>
          </w:p>
        </w:tc>
        <w:tc>
          <w:tcPr/>
          <w:p>
            <w:pPr>
              <w:pStyle w:val="Compact"/>
              <w:jc w:val="left"/>
            </w:pPr>
            <w:r>
              <w:t xml:space="preserve">ML: 76.7 (7.8); BL: 77.6 (7.2)</w:t>
            </w:r>
          </w:p>
        </w:tc>
      </w:tr>
      <w:tr>
        <w:tc>
          <w:tcPr/>
          <w:p>
            <w:pPr>
              <w:pStyle w:val="Compact"/>
              <w:jc w:val="left"/>
            </w:pPr>
            <w:r>
              <w:t xml:space="preserve">Clare et al. (2016)</w:t>
            </w:r>
          </w:p>
        </w:tc>
        <w:tc>
          <w:tcPr/>
          <w:p>
            <w:pPr>
              <w:pStyle w:val="Compact"/>
              <w:jc w:val="left"/>
            </w:pPr>
            <w:r>
              <w:t xml:space="preserve">LQ-SV</w:t>
            </w:r>
          </w:p>
        </w:tc>
        <w:tc>
          <w:tcPr/>
          <w:p>
            <w:pPr>
              <w:pStyle w:val="Compact"/>
              <w:jc w:val="left"/>
            </w:pPr>
            <w:r>
              <w:t xml:space="preserve">AD</w:t>
            </w:r>
          </w:p>
        </w:tc>
        <w:tc>
          <w:tcPr/>
          <w:p>
            <w:pPr>
              <w:pStyle w:val="Compact"/>
              <w:jc w:val="left"/>
            </w:pPr>
            <w:r>
              <w:t xml:space="preserve">ML: 76.2 (8.75); BL: 79.3 (6.78)</w:t>
            </w:r>
          </w:p>
        </w:tc>
      </w:tr>
      <w:tr>
        <w:tc>
          <w:tcPr/>
          <w:p>
            <w:pPr>
              <w:pStyle w:val="Compact"/>
              <w:jc w:val="left"/>
            </w:pPr>
            <w:r>
              <w:t xml:space="preserve">Craik et al. (2010)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72.6 (10); BL: 77.7 (7.9)</w:t>
            </w:r>
          </w:p>
        </w:tc>
      </w:tr>
      <w:tr>
        <w:tc>
          <w:tcPr/>
          <w:p>
            <w:pPr>
              <w:pStyle w:val="Compact"/>
              <w:jc w:val="left"/>
            </w:pPr>
            <w:r>
              <w:t xml:space="preserve">Leon et al. (2020)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60.3 (9.8); BL: 61.9 (9.8)</w:t>
            </w:r>
          </w:p>
        </w:tc>
      </w:tr>
      <w:tr>
        <w:tc>
          <w:tcPr/>
          <w:p>
            <w:pPr>
              <w:pStyle w:val="Compact"/>
              <w:jc w:val="left"/>
            </w:pPr>
            <w:r>
              <w:t xml:space="preserve">Duncan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74.3 (1.5); BL: 72.6 (1.6)</w:t>
            </w:r>
          </w:p>
        </w:tc>
      </w:tr>
      <w:tr>
        <w:tc>
          <w:tcPr/>
          <w:p>
            <w:pPr>
              <w:pStyle w:val="Compact"/>
              <w:jc w:val="left"/>
            </w:pPr>
            <w:r>
              <w:t xml:space="preserve">Kowoll et al. (2016)</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71.6 (7.9); BL: 74.6 (6.8)</w:t>
            </w:r>
          </w:p>
        </w:tc>
      </w:tr>
      <w:tr>
        <w:tc>
          <w:tcPr/>
          <w:p>
            <w:pPr>
              <w:pStyle w:val="Compact"/>
              <w:jc w:val="left"/>
            </w:pPr>
            <w:r>
              <w:t xml:space="preserve">Perani et al. (2017)</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71.4 (4.88); BL: 77.1 (4.52)</w:t>
            </w:r>
          </w:p>
        </w:tc>
      </w:tr>
      <w:tr>
        <w:tc>
          <w:tcPr/>
          <w:p>
            <w:pPr>
              <w:pStyle w:val="Compact"/>
              <w:jc w:val="left"/>
            </w:pPr>
            <w:r>
              <w:t xml:space="preserve">Mendez et al. (2020)</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58 (10.7); BL: 62.4 (10.5)</w:t>
            </w:r>
          </w:p>
        </w:tc>
      </w:tr>
      <w:tr>
        <w:tc>
          <w:tcPr/>
          <w:p>
            <w:pPr>
              <w:pStyle w:val="Compact"/>
              <w:jc w:val="left"/>
            </w:pPr>
            <w:r>
              <w:t xml:space="preserve">E. V. Y. Woumans et al. (2015)</w:t>
            </w:r>
          </w:p>
        </w:tc>
        <w:tc>
          <w:tcPr/>
          <w:p>
            <w:pPr>
              <w:pStyle w:val="Compact"/>
              <w:jc w:val="left"/>
            </w:pPr>
            <w:r>
              <w:t xml:space="preserve">Neurologist + Neuropsychologist</w:t>
            </w:r>
          </w:p>
        </w:tc>
        <w:tc>
          <w:tcPr/>
          <w:p>
            <w:pPr>
              <w:pStyle w:val="Compact"/>
              <w:jc w:val="left"/>
            </w:pPr>
            <w:r>
              <w:t xml:space="preserve">AD</w:t>
            </w:r>
          </w:p>
        </w:tc>
        <w:tc>
          <w:tcPr/>
          <w:p>
            <w:pPr>
              <w:pStyle w:val="Compact"/>
              <w:jc w:val="left"/>
            </w:pPr>
            <w:r>
              <w:t xml:space="preserve">ML: 73.8 (8.8); BL: 75.5 (8.2)</w:t>
            </w:r>
          </w:p>
        </w:tc>
      </w:tr>
      <w:tr>
        <w:tc>
          <w:tcPr/>
          <w:p>
            <w:pPr>
              <w:pStyle w:val="Compact"/>
              <w:jc w:val="left"/>
            </w:pPr>
            <w:r>
              <w:t xml:space="preserve">Zheng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63.9 (96.5), 63.4 (8.94); BL: 70.9 (9.37)</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FTD</w:t>
            </w:r>
          </w:p>
        </w:tc>
        <w:tc>
          <w:tcPr/>
          <w:p>
            <w:pPr>
              <w:pStyle w:val="Compact"/>
              <w:jc w:val="left"/>
            </w:pPr>
            <w:r>
              <w:t xml:space="preserve">ML: 55.6 (10.5); BL: 61.6 (9)</w:t>
            </w:r>
          </w:p>
        </w:tc>
      </w:tr>
      <w:tr>
        <w:tc>
          <w:tcPr/>
          <w:p>
            <w:pPr>
              <w:pStyle w:val="Compact"/>
              <w:jc w:val="left"/>
            </w:pPr>
            <w:r>
              <w:t xml:space="preserve">Alladi et al. (2017)</w:t>
            </w:r>
          </w:p>
        </w:tc>
        <w:tc>
          <w:tcPr/>
          <w:p>
            <w:pPr>
              <w:pStyle w:val="Compact"/>
              <w:jc w:val="left"/>
            </w:pPr>
            <w:r>
              <w:t xml:space="preserve">MMSE, ACE-R, CDR, FrSBe</w:t>
            </w:r>
          </w:p>
        </w:tc>
        <w:tc>
          <w:tcPr/>
          <w:p>
            <w:pPr>
              <w:pStyle w:val="Compact"/>
              <w:jc w:val="left"/>
            </w:pPr>
            <w:r>
              <w:t xml:space="preserve">FTD</w:t>
            </w:r>
          </w:p>
        </w:tc>
        <w:tc>
          <w:tcPr/>
          <w:p>
            <w:pPr>
              <w:pStyle w:val="Compact"/>
              <w:jc w:val="left"/>
            </w:pPr>
            <w:r>
              <w:t xml:space="preserve">ML: 58.4 (9.3); BL: 61.7 (9.1)</w:t>
            </w:r>
          </w:p>
        </w:tc>
      </w:tr>
      <w:tr>
        <w:tc>
          <w:tcPr/>
          <w:p>
            <w:pPr>
              <w:pStyle w:val="Compact"/>
              <w:jc w:val="left"/>
            </w:pPr>
            <w:r>
              <w:t xml:space="preserve">Leon et al. (2024)</w:t>
            </w:r>
          </w:p>
        </w:tc>
        <w:tc>
          <w:tcPr/>
          <w:p>
            <w:pPr>
              <w:pStyle w:val="Compact"/>
              <w:jc w:val="left"/>
            </w:pPr>
            <w:r>
              <w:t xml:space="preserve">NA</w:t>
            </w:r>
          </w:p>
        </w:tc>
        <w:tc>
          <w:tcPr/>
          <w:p>
            <w:pPr>
              <w:pStyle w:val="Compact"/>
              <w:jc w:val="left"/>
            </w:pPr>
            <w:r>
              <w:t xml:space="preserve">FTD</w:t>
            </w:r>
          </w:p>
        </w:tc>
        <w:tc>
          <w:tcPr/>
          <w:p>
            <w:pPr>
              <w:pStyle w:val="Compact"/>
              <w:jc w:val="left"/>
            </w:pPr>
            <w:r>
              <w:t xml:space="preserve">ML: 59 (9.2); BL: 61.4 (7.9)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MCI</w:t>
            </w:r>
          </w:p>
        </w:tc>
        <w:tc>
          <w:tcPr/>
          <w:p>
            <w:pPr>
              <w:pStyle w:val="Compact"/>
              <w:jc w:val="left"/>
            </w:pPr>
            <w:r>
              <w:t xml:space="preserve">ML: 75.5 (7.6); BL: 77.8 (8.2)</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Single Domain aMCI</w:t>
            </w:r>
          </w:p>
        </w:tc>
        <w:tc>
          <w:tcPr/>
          <w:p>
            <w:pPr>
              <w:pStyle w:val="Compact"/>
              <w:jc w:val="left"/>
            </w:pPr>
            <w:r>
              <w:t xml:space="preserve">ML: 74.9 (49); BL: 79.4 (6.3)</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Multiple Domain aMCI</w:t>
            </w:r>
          </w:p>
        </w:tc>
        <w:tc>
          <w:tcPr/>
          <w:p>
            <w:pPr>
              <w:pStyle w:val="Compact"/>
              <w:jc w:val="left"/>
            </w:pPr>
            <w:r>
              <w:t xml:space="preserve">ML: 75.2 (8.5); BL: 72.6 (7.2)</w:t>
            </w:r>
          </w:p>
        </w:tc>
      </w:tr>
      <w:tr>
        <w:tc>
          <w:tcPr/>
          <w:p>
            <w:pPr>
              <w:pStyle w:val="Compact"/>
              <w:jc w:val="left"/>
            </w:pPr>
            <w:r>
              <w:t xml:space="preserve">Ramakrishnan et al. (2017)</w:t>
            </w:r>
          </w:p>
        </w:tc>
        <w:tc>
          <w:tcPr/>
          <w:p>
            <w:pPr>
              <w:pStyle w:val="Compact"/>
              <w:jc w:val="left"/>
            </w:pPr>
            <w:r>
              <w:t xml:space="preserve">Petersen’s criteria</w:t>
            </w:r>
          </w:p>
        </w:tc>
        <w:tc>
          <w:tcPr/>
          <w:p>
            <w:pPr>
              <w:pStyle w:val="Compact"/>
              <w:jc w:val="left"/>
            </w:pPr>
            <w:r>
              <w:t xml:space="preserve">MCI</w:t>
            </w:r>
          </w:p>
        </w:tc>
        <w:tc>
          <w:tcPr/>
          <w:p>
            <w:pPr>
              <w:pStyle w:val="Compact"/>
              <w:jc w:val="left"/>
            </w:pPr>
            <w:r>
              <w:t xml:space="preserve">ML: 55.8 (12.2); BL: 63.2 (10.1)</w:t>
            </w:r>
          </w:p>
        </w:tc>
      </w:tr>
    </w:tbl>
    <w:p>
      <w:pPr>
        <w:pStyle w:val="BodyText"/>
      </w:pPr>
      <w:r>
        <w:rPr>
          <w:b/>
          <w:bCs/>
        </w:rPr>
        <w:t xml:space="preserve">Abbreviations</w:t>
      </w:r>
      <w:r>
        <w:t xml:space="preserve">: ML = Monolinguals; BL = Bilinguals; AD = Alzheimer’s Disease, FTD = Frontotemporal Dementia, MCI = Mild Cognitive Impairment; aMCI = Amnestic Mild Cognitive Impairment</w:t>
      </w:r>
      <w:r>
        <w:br/>
      </w:r>
      <w:r>
        <w:t xml:space="preserve">ACE-R = Addenbrooke’s Cognitive Examination-revised; FrSBe = Frontal Systems Behaviour Scale;</w:t>
      </w:r>
      <w:r>
        <w:br/>
      </w:r>
      <w:r>
        <w:rPr>
          <w:color w:val="FF0000"/>
        </w:rPr>
        <w:t>LQ-SV = Language Questionnaire - Short Version</w:t>
      </w:r>
      <w:r>
        <w:t xml:space="preserv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tbl>
      <w:tblPr>
        <w:tblStyle w:val="Table"/>
        <w:tblW w:type="pct" w:w="5000"/>
        <w:tblLayout w:type="fixed"/>
        <w:tblLook w:firstRow="0" w:lastRow="0" w:firstColumn="0" w:lastColumn="0" w:noHBand="0" w:noVBand="0" w:val="0000"/>
      </w:tblPr>
      <w:tblGrid>
        <w:gridCol w:w="7920"/>
      </w:tblGrid>
      <w:tr>
        <w:tc>
          <w:tcPr/>
          <w:bookmarkStart w:id="60" w:name="fig-fig5"/>
          <w:p>
            <w:pPr>
              <w:pStyle w:val="Compact"/>
              <w:jc w:val="center"/>
            </w:pPr>
            <w:r>
              <w:drawing>
                <wp:inline>
                  <wp:extent cx="5334000" cy="4267200"/>
                  <wp:effectExtent b="0" l="0" r="0" t="0"/>
                  <wp:docPr descr="" title="" id="58" name="Picture"/>
                  <a:graphic>
                    <a:graphicData uri="http://schemas.openxmlformats.org/drawingml/2006/picture">
                      <pic:pic>
                        <pic:nvPicPr>
                          <pic:cNvPr descr="Bilingualism_and_Dementia_Meta-analysis_files/figure-docx/fig-fig5-1.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60"/>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at 70.39 years with a 95%Crl [66.90, 73.33] while the age at AD onset for bilinguals was 73.68 with a 95%Crl [70.59, 76.69]. The mean average difference between the age at AD onset for bilinguals and monolinguals was 3.36 with a 95%Crl [2.61, 4.15]. Compared with the main meta-analytic results, the estimated age at AD onset was higher for both monolingual and bilingual populations. Yet, the difference between bilinguals’ and monolinguals’ age at onset (3.36-year) was smaller although very close to the main effect (3.45-year). Moreover, the level of heterogeneity decreased moderately compared with the mean meta-analytic results since the group-level estimated effects for</w:t>
      </w:r>
      <w:r>
        <w:t xml:space="preserve"> </w:t>
      </w:r>
      <w:r>
        <w:rPr>
          <w:color w:val="FF0000"/>
        </w:rPr>
        <w:t>monolingual group and bilingual group</w:t>
      </w:r>
      <w:r>
        <w:t xml:space="preserve"> </w:t>
      </w:r>
      <w:r>
        <w:t xml:space="preserve">were 6.09 and 5.57.</w:t>
      </w:r>
    </w:p>
    <w:tbl>
      <w:tblPr>
        <w:tblStyle w:val="Table"/>
        <w:tblW w:type="pct" w:w="5000"/>
        <w:tblLayout w:type="fixed"/>
        <w:tblLook w:firstRow="0" w:lastRow="0" w:firstColumn="0" w:lastColumn="0" w:noHBand="0" w:noVBand="0" w:val="0000"/>
      </w:tblPr>
      <w:tblGrid>
        <w:gridCol w:w="7920"/>
      </w:tblGrid>
      <w:tr>
        <w:tc>
          <w:tcPr/>
          <w:bookmarkStart w:id="64" w:name="fig-fig6"/>
          <w:p>
            <w:pPr>
              <w:pStyle w:val="Compact"/>
              <w:jc w:val="center"/>
            </w:pPr>
            <w:r>
              <w:drawing>
                <wp:inline>
                  <wp:extent cx="5334000" cy="4267200"/>
                  <wp:effectExtent b="0" l="0" r="0" t="0"/>
                  <wp:docPr descr="" title="" id="62" name="Picture"/>
                  <a:graphic>
                    <a:graphicData uri="http://schemas.openxmlformats.org/drawingml/2006/picture">
                      <pic:pic>
                        <pic:nvPicPr>
                          <pic:cNvPr descr="Bilingualism_and_Dementia_Meta-analysis_files/figure-docx/fig-fig6-1.png" id="63" name="Picture"/>
                          <pic:cNvPicPr>
                            <a:picLocks noChangeArrowheads="1" noChangeAspect="1"/>
                          </pic:cNvPicPr>
                        </pic:nvPicPr>
                        <pic:blipFill>
                          <a:blip r:embed="rId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4"/>
        </w:tc>
      </w:tr>
    </w:tbl>
    <w:p>
      <w:pPr>
        <w:pStyle w:val="SourceCode"/>
      </w:pPr>
      <w:r>
        <w:br/>
      </w:r>
      <w:r>
        <w:rPr>
          <w:rStyle w:val="VerbatimChar"/>
        </w:rPr>
        <w:t xml:space="preserve"> Term                            Contrast Estimate 2.5 % 97.5 %</w:t>
      </w:r>
      <w:r>
        <w:br/>
      </w:r>
      <w:r>
        <w:rPr>
          <w:rStyle w:val="VerbatimChar"/>
        </w:rPr>
        <w:t xml:space="preserve"> mobi mean(bilingual) - mean(monolingual)     3.76  1.46   6.26</w:t>
      </w:r>
      <w:r>
        <w:br/>
      </w:r>
      <w:r>
        <w:br/>
      </w:r>
      <w:r>
        <w:rPr>
          <w:rStyle w:val="VerbatimChar"/>
        </w:rPr>
        <w:t xml:space="preserve">Columns: term, contrast, estimate, conf.low, conf.high, predicted_lo, predicted_hi, predicted, tmp_idx </w:t>
      </w:r>
      <w:r>
        <w:br/>
      </w:r>
      <w:r>
        <w:rPr>
          <w:rStyle w:val="VerbatimChar"/>
        </w:rPr>
        <w:t xml:space="preserve">Type:  response </w:t>
      </w:r>
    </w:p>
    <w:p>
      <w:pPr>
        <w:pStyle w:val="FirstParagraph"/>
      </w:pPr>
      <w:r>
        <w:t xml:space="preserve">For FTD dementia subgroup (see</w:t>
      </w:r>
      <w:r>
        <w:t xml:space="preserve"> </w:t>
      </w:r>
      <w:hyperlink w:anchor="fig-fig6">
        <w:r>
          <w:rPr>
            <w:rStyle w:val="Hyperlink"/>
          </w:rPr>
          <w:t xml:space="preserve">Figure 6</w:t>
        </w:r>
      </w:hyperlink>
      <w:r>
        <w:t xml:space="preserve"> </w:t>
      </w:r>
      <w:r>
        <w:t xml:space="preserve">for the forest plot), the estimated age at FTD onsets for monolinguals and bilinguals were 58.02 with a 95%Crl [52.95, 62.84] and 61.44 with a 95%Crl [57.01, 64.35], which were largely lower than the main meta-analytic effect and AD subgroup’s onset.Using avg_comparisons() again, the average difference in marginal effects for bilinguals and monolinguals was 3.76 with a 95%Crl [1.46, 6.26]. This showed that bilinguals are estimated to be 3.76 years older than monolinguals on average when having the first symptom onset for FTD type of dementia. The heterogeneity level was even lower in this group as since the group-level estimated effects for</w:t>
      </w:r>
      <w:r>
        <w:t xml:space="preserve"> </w:t>
      </w:r>
      <w:r>
        <w:rPr>
          <w:color w:val="FF0000"/>
        </w:rPr>
        <w:t>monolingual group and bilingual group</w:t>
      </w:r>
      <w:r>
        <w:t xml:space="preserve"> </w:t>
      </w:r>
      <w:r>
        <w:t xml:space="preserve">were 2.92 and 1.61. Yet, the relatively low number of studies might have contributed to the low heterogeneity and the wide 95%Crl of the estimated difference between bilinguals and monolinguals at the population level.</w:t>
      </w:r>
    </w:p>
    <w:tbl>
      <w:tblPr>
        <w:tblStyle w:val="Table"/>
        <w:tblW w:type="pct" w:w="5000"/>
        <w:tblLayout w:type="fixed"/>
        <w:tblLook w:firstRow="0" w:lastRow="0" w:firstColumn="0" w:lastColumn="0" w:noHBand="0" w:noVBand="0" w:val="0000"/>
      </w:tblPr>
      <w:tblGrid>
        <w:gridCol w:w="7920"/>
      </w:tblGrid>
      <w:tr>
        <w:tc>
          <w:tcPr/>
          <w:bookmarkStart w:id="68" w:name="fig-fig7"/>
          <w:p>
            <w:pPr>
              <w:pStyle w:val="Compact"/>
              <w:jc w:val="center"/>
            </w:pPr>
            <w:r>
              <w:drawing>
                <wp:inline>
                  <wp:extent cx="5334000" cy="4267200"/>
                  <wp:effectExtent b="0" l="0" r="0" t="0"/>
                  <wp:docPr descr="" title="" id="66" name="Picture"/>
                  <a:graphic>
                    <a:graphicData uri="http://schemas.openxmlformats.org/drawingml/2006/picture">
                      <pic:pic>
                        <pic:nvPicPr>
                          <pic:cNvPr descr="Bilingualism_and_Dementia_Meta-analysis_files/figure-docx/fig-fig7-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8"/>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(95%Crl [54.91, 80.60]) for monolinguals and 72.06 (95%Crl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 the estimated average difference in marginal effects for bilinguals and monolinguals was 2.88 years with a 95%Crl [0.914, 4.84]. This difference between the age at onset of bilinguals and monolinguals was the smallest in the three subgroups. Additionally, the standard deviation for</w:t>
      </w:r>
      <w:r>
        <w:t xml:space="preserve"> </w:t>
      </w:r>
      <w:r>
        <w:rPr>
          <w:color w:val="FF0000"/>
        </w:rPr>
        <w:t>monolingual</w:t>
      </w:r>
      <w:r>
        <w:t xml:space="preserve"> </w:t>
      </w:r>
      <w:r>
        <w:t xml:space="preserve">(11.50) and</w:t>
      </w:r>
      <w:r>
        <w:t xml:space="preserve"> </w:t>
      </w:r>
      <w:r>
        <w:rPr>
          <w:color w:val="FF0000"/>
        </w:rPr>
        <w:t>bilingual</w:t>
      </w:r>
      <w:r>
        <w:t xml:space="preserve"> </w:t>
      </w:r>
      <w:r>
        <w:t xml:space="preserve">(9.19)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9"/>
    <w:bookmarkEnd w:id="70"/>
    <w:bookmarkStart w:id="75"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4" w:name="fig-funnel-sd"/>
          <w:p>
            <w:pPr>
              <w:pStyle w:val="Compact"/>
              <w:jc w:val="center"/>
            </w:pPr>
            <w:r>
              <w:drawing>
                <wp:inline>
                  <wp:extent cx="5334000" cy="3429000"/>
                  <wp:effectExtent b="0" l="0" r="0" t="0"/>
                  <wp:docPr descr="" title="" id="72" name="Picture"/>
                  <a:graphic>
                    <a:graphicData uri="http://schemas.openxmlformats.org/drawingml/2006/picture">
                      <pic:pic>
                        <pic:nvPicPr>
                          <pic:cNvPr descr="images/funnel-sd-diff2.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4"/>
        </w:tc>
      </w:tr>
    </w:tbl>
    <w:p>
      <w:pPr>
        <w:pStyle w:val="BodyText"/>
      </w:pPr>
      <w:r>
        <w:t xml:space="preserve">Potential bias in the meta-analytic estimates was accessed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in the left side of the summary effect is the same as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rPr>
          <w:color w:val="FF0000"/>
        </w:rPr>
        <w:t>We</w:t>
      </w:r>
      <w:r>
        <w:t xml:space="preserve"> </w:t>
      </w:r>
      <w:r>
        <w:t xml:space="preserve">removed the studies that fell outside the funnel shape to rerun the Bayesian linear model. At the population level, the results showed that the estimated age at dementia onset for monolinguals is 66.46 with a 95%Crl [62.75, 70.17] and for bilinguals is 70.37 with a 95%Crl [67.03, 73.81]. The estimated average difference in the onset of dementia between bilinguals and monolinguals is 3.88 years with a 95%Crl [3.11, 4.65], which is even higher than the mean meta-analytic effect, 3.45 years. This provides evidence that the meta-analytic effect was not a total result of bias.</w:t>
      </w:r>
    </w:p>
    <w:bookmarkEnd w:id="75"/>
    <w:bookmarkStart w:id="80"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9" w:name="fig-fig9"/>
          <w:p>
            <w:pPr>
              <w:pStyle w:val="Compact"/>
              <w:jc w:val="center"/>
            </w:pPr>
            <w:r>
              <w:drawing>
                <wp:inline>
                  <wp:extent cx="5334000" cy="4267200"/>
                  <wp:effectExtent b="0" l="0" r="0" t="0"/>
                  <wp:docPr descr="" title="" id="77" name="Picture"/>
                  <a:graphic>
                    <a:graphicData uri="http://schemas.openxmlformats.org/drawingml/2006/picture">
                      <pic:pic>
                        <pic:nvPicPr>
                          <pic:cNvPr descr="Bilingualism_and_Dementia_Meta-analysis_files/figure-docx/fig-fig9-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9"/>
        </w:tc>
      </w:tr>
    </w:tbl>
    <w:p>
      <w:pPr>
        <w:pStyle w:val="SourceCode"/>
      </w:pPr>
      <w:r>
        <w:rPr>
          <w:rStyle w:val="VerbatimChar"/>
        </w:rPr>
        <w:t xml:space="preserve"># A tibble: 1 × 5</w:t>
      </w:r>
      <w:r>
        <w:br/>
      </w:r>
      <w:r>
        <w:rPr>
          <w:rStyle w:val="VerbatimChar"/>
        </w:rPr>
        <w:t xml:space="preserve">  mean_diff lower_95 upper_95 prob_bilingual_less prob_bilingual_greater</w:t>
      </w:r>
      <w:r>
        <w:br/>
      </w:r>
      <w:r>
        <w:rPr>
          <w:rStyle w:val="VerbatimChar"/>
        </w:rPr>
        <w:t xml:space="preserve">      &lt;dbl&gt;    &lt;dbl&gt;    &lt;dbl&gt;               &lt;dbl&gt;                  &lt;dbl&gt;</w:t>
      </w:r>
      <w:r>
        <w:br/>
      </w:r>
      <w:r>
        <w:rPr>
          <w:rStyle w:val="VerbatimChar"/>
        </w:rPr>
        <w:t xml:space="preserve">1    -0.211   -0.975    0.537               0.768                  0.232</w:t>
      </w:r>
    </w:p>
    <w:p>
      <w:pPr>
        <w:pStyle w:val="FirstParagraph"/>
      </w:pPr>
      <w:r>
        <w:t xml:space="preserve">To investigate whether bilingualism is associated with reduced dementia risks, we fitted a Bayesian hierarchical logistic regression model predicting the number of dementia cases out of total number of participants using a binomial likelihood.</w:t>
      </w:r>
      <w:r>
        <w:t xml:space="preserve"> </w:t>
      </w:r>
      <w:r>
        <w:rPr>
          <w:color w:val="FF0000"/>
        </w:rPr>
        <w:t>All models converged with acceptable R-hat and acceptable sample size values.</w:t>
      </w:r>
      <w:r>
        <w:t xml:space="preserve"> </w:t>
      </w:r>
      <w:r>
        <w:t xml:space="preserve">The results showed that the population-level estimate for monolingual is -2.06 with a 95%Crl [-3.05, -1.16] and that the estimate for bilingual is -2.27 with a 95%Crl [-3.09, -1.47].</w:t>
      </w:r>
      <w:r>
        <w:t xml:space="preserve"> </w:t>
      </w:r>
      <w:r>
        <w:rPr>
          <w:color w:val="FF0000"/>
        </w:rPr>
        <w:t>The results from the comparison of posterior distribution for the log-odds of bilinguals and monolinguals showed that 77% of the posterior samples indicated lower odds of dementia for bilinguals</w:t>
      </w:r>
      <w:r>
        <w:t xml:space="preserve">. We also used avg_comparison() to show the ratio of the average predicted probability of dementia for bilinguals to the average predicted probability of dementia for monolinguals, which resulted in a 0.845 estimate with a 95%Crl [0.726, 0.984]. 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w:t>
      </w:r>
      <w:r>
        <w:t xml:space="preserve"> </w:t>
      </w:r>
      <w:r>
        <w:rPr>
          <w:color w:val="FF0000"/>
        </w:rPr>
        <w:t>meta-analysis</w:t>
      </w:r>
      <w:r>
        <w:t xml:space="preserve"> </w:t>
      </w:r>
      <w:r>
        <w:t xml:space="preserve">did not use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cross-sectional study, which is different from the other five longitudinal studies. Considering such difference, we reran the Bayesian model without</w:t>
      </w:r>
      <w:r>
        <w:t xml:space="preserve"> </w:t>
      </w:r>
      <w:r>
        <w:t xml:space="preserve">Venugopal et al. (2024)</w:t>
      </w:r>
      <w:r>
        <w:t xml:space="preserve">. The results of</w:t>
      </w:r>
      <w:r>
        <w:t xml:space="preserve"> </w:t>
      </w:r>
      <w:r>
        <w:rPr>
          <w:color w:val="FF0000"/>
        </w:rPr>
        <w:t>avg_comparison()</w:t>
      </w:r>
      <w:r>
        <w:t xml:space="preserve"> </w:t>
      </w:r>
      <w:r>
        <w:t xml:space="preserve">showed that the average incidence rates for bilinguals is about 86.6% of the incidence rate of monolinguals with a 95% Crl [0.634, 1.5]. This means that we are relatively uncertain about whether bilinguals have a lower incidence rate than monolinguals at the population-level, since the 95% credible interval cross 1.</w:t>
      </w:r>
      <w:r>
        <w:t xml:space="preserve"> </w:t>
      </w:r>
      <w:r>
        <w:rPr>
          <w:color w:val="FF0000"/>
        </w:rPr>
        <w:t>We also compared the posterior distribution of this model. The results showed that the probability that bilinguals had lower incidence rates than monolinguals was only 64%, which also indicates considerable uncertainty</w:t>
      </w:r>
      <w:r>
        <w:t xml:space="preserve">.</w:t>
      </w:r>
    </w:p>
    <w:p>
      <w:pPr>
        <w:pStyle w:val="SourceCode"/>
      </w:pPr>
      <w:r>
        <w:rPr>
          <w:rStyle w:val="VerbatimChar"/>
        </w:rPr>
        <w:t xml:space="preserve"># A tibble: 1 × 5</w:t>
      </w:r>
      <w:r>
        <w:br/>
      </w:r>
      <w:r>
        <w:rPr>
          <w:rStyle w:val="VerbatimChar"/>
        </w:rPr>
        <w:t xml:space="preserve">  mean_diff lower_95 upper_95 prob_bilingual_less prob_bilingual_greater</w:t>
      </w:r>
      <w:r>
        <w:br/>
      </w:r>
      <w:r>
        <w:rPr>
          <w:rStyle w:val="VerbatimChar"/>
        </w:rPr>
        <w:t xml:space="preserve">      &lt;dbl&gt;    &lt;dbl&gt;    &lt;dbl&gt;               &lt;dbl&gt;                  &lt;dbl&gt;</w:t>
      </w:r>
      <w:r>
        <w:br/>
      </w:r>
      <w:r>
        <w:rPr>
          <w:rStyle w:val="VerbatimChar"/>
        </w:rPr>
        <w:t xml:space="preserve">1    -0.207    -1.68     1.03               0.643                  0.357</w:t>
      </w:r>
    </w:p>
    <w:bookmarkEnd w:id="80"/>
    <w:bookmarkEnd w:id="81"/>
    <w:bookmarkStart w:id="88" w:name="discussion"/>
    <w:p>
      <w:pPr>
        <w:pStyle w:val="Heading1"/>
      </w:pPr>
      <w:r>
        <w:t xml:space="preserve">Discussion</w:t>
      </w:r>
    </w:p>
    <w:p>
      <w:pPr>
        <w:pStyle w:val="FirstParagraph"/>
      </w:pPr>
      <w:r>
        <w:t xml:space="preserve">Numerous studies have investigated whether bilingualism influences aging and neurodegenerative disease, which have not reached 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w:t>
      </w:r>
      <w:r>
        <w:t xml:space="preserve"> </w:t>
      </w:r>
      <w:r>
        <w:rPr>
          <w:color w:val="FF0000"/>
        </w:rPr>
        <w:t>study</w:t>
      </w:r>
      <w:r>
        <w:t xml:space="preserve"> </w:t>
      </w:r>
      <w:r>
        <w:t xml:space="preserve">is the first meta-analysis to use Bayesian statistics to explore bilingualism and dementia. Moreover, it addressed the following research questions:</w:t>
      </w:r>
      <w:r>
        <w:t xml:space="preserve"> </w:t>
      </w:r>
      <w:r>
        <w:rPr>
          <w:color w:val="FF0000"/>
        </w:rPr>
        <w:t>Does bilingualism have protective effect on delaying the onset of dementia? Is there a bilingualism’s preventing effect on dementia? Do education as a confounding variable and dementia type as a modulating variable influence the relation between bilingualism and the age at onset of dementia?</w:t>
      </w:r>
    </w:p>
    <w:bookmarkStart w:id="82"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82"/>
    <w:bookmarkStart w:id="83"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w:t>
      </w:r>
      <w:r>
        <w:t xml:space="preserve"> </w:t>
      </w:r>
      <w:r>
        <w:rPr>
          <w:color w:val="FF0000"/>
        </w:rPr>
        <w:t>meta-analysis</w:t>
      </w:r>
      <w:r>
        <w:t xml:space="preserve"> </w:t>
      </w:r>
      <w:r>
        <w:t xml:space="preserve">did not produce robust evidence although the meta-analytic effect favours bilingualism. The meta-analytic effect is that the incidence rate of dementia for bilinguals is 1.6% to 27.4% lower than monolinguals at 95% probability with an average estimate of 15.5% lower incidence. This result is largely in line with</w:t>
      </w:r>
      <w:r>
        <w:t xml:space="preserve"> </w:t>
      </w:r>
      <w:r>
        <w:t xml:space="preserve">(Anderson et al., 2020)</w:t>
      </w:r>
      <w:r>
        <w:t xml:space="preserve">, which found week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 enough 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which provides no evidence for bilingualism’s preventive effect on dementia. This result (incidence rate: bilinguals/monolinguals 95%Crl [0.634, 1.5]) corresponds to</w:t>
      </w:r>
      <w:r>
        <w:t xml:space="preserve"> </w:t>
      </w:r>
      <w:r>
        <w:t xml:space="preserve">Mukadam et al. (2017)</w:t>
      </w:r>
      <w:r>
        <w:t xml:space="preserve">, which found a odds-ratio of [0.74, 1.23] at 95% confidence. Therefore, the present meta-analysis did not find robust evidence for bilingualism’s preventive effect on dementia.</w:t>
      </w:r>
    </w:p>
    <w:bookmarkEnd w:id="83"/>
    <w:bookmarkStart w:id="86" w:name="confounding-and-modulating-variables"/>
    <w:p>
      <w:pPr>
        <w:pStyle w:val="Heading2"/>
      </w:pPr>
      <w:r>
        <w:t xml:space="preserve">Confounding and Modulating Variables</w:t>
      </w:r>
    </w:p>
    <w:bookmarkStart w:id="84" w:name="X21ec72ec4fc5cacfec759bd6f44de5af924cd8a"/>
    <w:p>
      <w:pPr>
        <w:pStyle w:val="Heading3"/>
      </w:pPr>
      <w:r>
        <w:t xml:space="preserve">No Evidence for Education to be a Confounding Variable or not</w:t>
      </w:r>
    </w:p>
    <w:p>
      <w:pPr>
        <w:pStyle w:val="FirstParagraph"/>
      </w:pPr>
      <w:r>
        <w:t xml:space="preserve">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4"/>
    <w:bookmarkStart w:id="85" w:name="Xdb5372643af54de890dbe8f9bdbe19e1549e86d"/>
    <w:p>
      <w:pPr>
        <w:pStyle w:val="Heading3"/>
      </w:pPr>
      <w:r>
        <w:t xml:space="preserve">Bilingualism may Defer Different Types of Dementia Differently,</w:t>
      </w:r>
      <w:r>
        <w:t xml:space="preserve"> </w:t>
      </w:r>
      <w:r>
        <w:rPr>
          <w:color w:val="FF0000"/>
        </w:rPr>
        <w:t>Though Uncertainity Remains</w:t>
      </w:r>
    </w:p>
    <w:p>
      <w:pPr>
        <w:pStyle w:val="FirstParagraph"/>
      </w:pPr>
      <w:r>
        <w:t xml:space="preserve">Many recent studies have pointed out that bilinguals’ delay on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(3.76 years on average) following the AD subtype (3.36 years on average) and MCI (2.88 years on average).</w:t>
      </w:r>
      <w:r>
        <w:t xml:space="preserve"> </w:t>
      </w:r>
      <w:r>
        <w:rPr>
          <w:color w:val="FF0000"/>
        </w:rPr>
        <w:t>While the mean estimates of the three groups suggest possible variation in bilingualism’s effect across dementia types and MCI, the 95% credible intervals for the subgroups overlap, and the number of studies available for each subtype is limited. Therefore, uncertainty remains regarding whether these differences reflect true variation across dementia types.</w:t>
      </w:r>
    </w:p>
    <w:p>
      <w:pPr>
        <w:pStyle w:val="BodyText"/>
      </w:pPr>
      <w:r>
        <w:t xml:space="preserve">One explanation for the potential differences may be that the brain regions that are affected by different subtypes of dementia vary</w:t>
      </w:r>
      <w:r>
        <w:t xml:space="preserve"> </w:t>
      </w:r>
      <w:r>
        <w:t xml:space="preserve">(Lee, 2022)</w:t>
      </w:r>
      <w:r>
        <w:t xml:space="preserve">. For instance, AD subtype mainly affects the neurons in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gray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 may affect distinct brain areas, which indicates that bilinguals with different language experience may show different</w:t>
      </w:r>
      <w:r>
        <w:t xml:space="preserve"> </w:t>
      </w:r>
      <w:r>
        <w:t xml:space="preserve">“</w:t>
      </w:r>
      <w:r>
        <w:t xml:space="preserve">advantage</w:t>
      </w:r>
      <w:r>
        <w:t xml:space="preserve">”</w:t>
      </w:r>
      <w:r>
        <w:t xml:space="preserve"> </w:t>
      </w:r>
      <w:r>
        <w:t xml:space="preserve">on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paid to investigate the neuropathology of different subtypes of dementia and how different bilingualism experiences affect the onset of symptoms of these subtypes.</w:t>
      </w:r>
    </w:p>
    <w:bookmarkEnd w:id="85"/>
    <w:bookmarkEnd w:id="86"/>
    <w:bookmarkStart w:id="87" w:name="X85376713a72a6e91312dfeb585892fa1b4749a7"/>
    <w:p>
      <w:pPr>
        <w:pStyle w:val="Heading2"/>
      </w:pPr>
      <w:r>
        <w:t xml:space="preserve">The Uniqueness of Bilingualism among Cognitive Reserve Factors</w:t>
      </w:r>
    </w:p>
    <w:p>
      <w:pPr>
        <w:pStyle w:val="FirstParagraph"/>
      </w:pPr>
      <w:r>
        <w:rPr>
          <w:color w:val="FF0000"/>
        </w:rPr>
        <w:t>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w:t>
      </w:r>
      <w:r>
        <w:t xml:space="preserve"> </w:t>
      </w:r>
      <w:r>
        <w:t xml:space="preserve">(Sofi et al., 2011)</w:t>
      </w:r>
      <w:r>
        <w:t xml:space="preserve">,</w:t>
      </w:r>
      <w:r>
        <w:t xml:space="preserve"> </w:t>
      </w:r>
      <w:r>
        <w:rPr>
          <w:color w:val="FF0000"/>
        </w:rPr>
        <w:t>playing an instrument</w:t>
      </w:r>
      <w:r>
        <w:t xml:space="preserve"> </w:t>
      </w:r>
      <w:r>
        <w:t xml:space="preserve">(Hanna-Pladdy &amp; MacKay, 2011)</w:t>
      </w:r>
      <w:r>
        <w:t xml:space="preserve">.</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brain aging. The overlap between bilingual language control network and the fronto-parietal network for domain-general control helps bilingual to constantly maintain higher functional and neurostructural integrity during aging</w:t>
      </w:r>
      <w:r>
        <w:t xml:space="preserve"> </w:t>
      </w:r>
      <w:r>
        <w:t xml:space="preserve">(Gallo &amp; Abutalebi, 2024; Wu et al., 2019)</w:t>
      </w:r>
      <w:r>
        <w:t xml:space="preserve">.</w:t>
      </w:r>
      <w:r>
        <w:t xml:space="preserve">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w:t>
      </w:r>
      <w:r>
        <w:t xml:space="preserve">(Gallo &amp; Abutalebi, 2024; Wardle &amp; Steptoe, 2003)</w:t>
      </w:r>
      <w:r>
        <w:t xml:space="preserve">.</w:t>
      </w:r>
      <w:r>
        <w:t xml:space="preserve">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 xml:space="preserve">.</w:t>
      </w:r>
    </w:p>
    <w:bookmarkEnd w:id="87"/>
    <w:bookmarkEnd w:id="88"/>
    <w:bookmarkStart w:id="89" w:name="limitations"/>
    <w:p>
      <w:pPr>
        <w:pStyle w:val="Heading1"/>
      </w:pPr>
      <w:r>
        <w:t xml:space="preserve">Limitations</w:t>
      </w:r>
    </w:p>
    <w:p>
      <w:pPr>
        <w:pStyle w:val="FirstParagraph"/>
      </w:pPr>
      <w:r>
        <w:t xml:space="preserve">One potential limitation of the present</w:t>
      </w:r>
      <w:r>
        <w:t xml:space="preserve"> </w:t>
      </w:r>
      <w:r>
        <w:rPr>
          <w:color w:val="FF0000"/>
        </w:rPr>
        <w:t>meta-analysis</w:t>
      </w:r>
      <w:r>
        <w:t xml:space="preserve"> </w:t>
      </w:r>
      <w:r>
        <w:t xml:space="preserve">is that it does not view bilingualism as a continuum. This is partially because most previous empirical studies employed a dichotomous categorization of bilinguals and monolinguals. For the studies that did use bilingualism as a continuum, measurements also varies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 that it is rare for researchers to collect all the studies that meet the inclusion criteria into the meta-analysis.</w:t>
      </w:r>
      <w:r>
        <w:t xml:space="preserve"> </w:t>
      </w:r>
      <w:r>
        <w:rPr>
          <w:color w:val="FF0000"/>
        </w:rPr>
        <w:t>We are</w:t>
      </w:r>
      <w:r>
        <w:t xml:space="preserve"> </w:t>
      </w:r>
      <w:r>
        <w:t xml:space="preserve">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9"/>
    <w:bookmarkStart w:id="90" w:name="conclusion"/>
    <w:p>
      <w:pPr>
        <w:pStyle w:val="Heading1"/>
      </w:pPr>
      <w:r>
        <w:t xml:space="preserve">Conclusion</w:t>
      </w:r>
    </w:p>
    <w:p>
      <w:pPr>
        <w:pStyle w:val="FirstParagraph"/>
      </w:pPr>
      <w:r>
        <w:t xml:space="preserve">This meta-analysis investigated the correlates of bilingualism and the age at onset and incidence rates of dementia respectively. The results of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w:t>
      </w:r>
      <w:r>
        <w:t xml:space="preserve"> </w:t>
      </w:r>
      <w:r>
        <w:rPr>
          <w:color w:val="FF0000"/>
        </w:rPr>
        <w:t>Yet, the uncertainty reflected in overlapping posterior distributions across groups and the limited number of studies calls for more research into different subtypes of dementia.</w:t>
      </w:r>
      <w:r>
        <w:t xml:space="preserve"> </w:t>
      </w:r>
      <w:r>
        <w:t xml:space="preserve">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90"/>
    <w:bookmarkStart w:id="92"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91">
        <w:r>
          <w:rPr>
            <w:rStyle w:val="Hyperlink"/>
          </w:rPr>
          <w:t xml:space="preserve">https://github.com/Peter-Ziyuan/Meta-analysis_Bilingualism-and-Dementia</w:t>
        </w:r>
      </w:hyperlink>
      <w:r>
        <w:t xml:space="preserve">.</w:t>
      </w:r>
    </w:p>
    <w:bookmarkEnd w:id="92"/>
    <w:bookmarkStart w:id="93"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93"/>
    <w:bookmarkStart w:id="181" w:name="references"/>
    <w:p>
      <w:pPr>
        <w:pStyle w:val="Heading1"/>
      </w:pPr>
      <w:r>
        <w:t xml:space="preserve">References</w:t>
      </w:r>
    </w:p>
    <w:bookmarkStart w:id="180" w:name="refs"/>
    <w:bookmarkStart w:id="94"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4"/>
    <w:bookmarkStart w:id="95"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5"/>
    <w:bookmarkStart w:id="96"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6"/>
    <w:bookmarkStart w:id="97"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7"/>
    <w:bookmarkStart w:id="98"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8"/>
    <w:bookmarkStart w:id="99"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9"/>
    <w:bookmarkStart w:id="100"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100"/>
    <w:bookmarkStart w:id="101"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101"/>
    <w:bookmarkStart w:id="102"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102"/>
    <w:bookmarkStart w:id="103"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103"/>
    <w:bookmarkStart w:id="104"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4"/>
    <w:bookmarkStart w:id="105"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5"/>
    <w:bookmarkStart w:id="106"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6"/>
    <w:bookmarkStart w:id="107"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7"/>
    <w:bookmarkStart w:id="108"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8"/>
    <w:bookmarkStart w:id="109"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9"/>
    <w:bookmarkStart w:id="110"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10"/>
    <w:bookmarkStart w:id="111"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11"/>
    <w:bookmarkStart w:id="112"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12"/>
    <w:bookmarkStart w:id="113"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13"/>
    <w:bookmarkStart w:id="114"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4"/>
    <w:bookmarkStart w:id="115"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5"/>
    <w:bookmarkStart w:id="116"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6"/>
    <w:bookmarkStart w:id="117"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7"/>
    <w:bookmarkStart w:id="118"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8"/>
    <w:bookmarkStart w:id="119"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9"/>
    <w:bookmarkStart w:id="120"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20"/>
    <w:bookmarkStart w:id="121"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21"/>
    <w:bookmarkStart w:id="122"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22"/>
    <w:bookmarkStart w:id="123"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23"/>
    <w:bookmarkStart w:id="124"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4"/>
    <w:bookmarkStart w:id="125"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5"/>
    <w:bookmarkStart w:id="126" w:name="ref-gallo2024"/>
    <w:p>
      <w:pPr>
        <w:pStyle w:val="Bibliography"/>
      </w:pPr>
      <w:r>
        <w:t xml:space="preserve">Gallo, F., &amp; Abutalebi, J. (2024). The unique role of bilingualism among cognitive reserve-enhancing factors.</w:t>
      </w:r>
      <w:r>
        <w:t xml:space="preserve"> </w:t>
      </w:r>
      <w:r>
        <w:rPr>
          <w:i/>
          <w:iCs/>
        </w:rPr>
        <w:t xml:space="preserve">Bilingualism: Language and Cognition</w:t>
      </w:r>
      <w:r>
        <w:t xml:space="preserve">,</w:t>
      </w:r>
      <w:r>
        <w:t xml:space="preserve"> </w:t>
      </w:r>
      <w:r>
        <w:rPr>
          <w:i/>
          <w:iCs/>
        </w:rPr>
        <w:t xml:space="preserve">27</w:t>
      </w:r>
      <w:r>
        <w:t xml:space="preserve">(2), 287–294.</w:t>
      </w:r>
    </w:p>
    <w:bookmarkEnd w:id="126"/>
    <w:bookmarkStart w:id="127"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7"/>
    <w:bookmarkStart w:id="128"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8"/>
    <w:bookmarkStart w:id="129"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9"/>
    <w:bookmarkStart w:id="130"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30"/>
    <w:bookmarkStart w:id="131" w:name="ref-hanna2011"/>
    <w:p>
      <w:pPr>
        <w:pStyle w:val="Bibliography"/>
      </w:pPr>
      <w:r>
        <w:t xml:space="preserve">Hanna-Pladdy, B., &amp; MacKay, A. (2011). The relation between instrumental musical activity and cognitive aging.</w:t>
      </w:r>
      <w:r>
        <w:t xml:space="preserve"> </w:t>
      </w:r>
      <w:r>
        <w:rPr>
          <w:i/>
          <w:iCs/>
        </w:rPr>
        <w:t xml:space="preserve">Neuropsychology</w:t>
      </w:r>
      <w:r>
        <w:t xml:space="preserve">,</w:t>
      </w:r>
      <w:r>
        <w:t xml:space="preserve"> </w:t>
      </w:r>
      <w:r>
        <w:rPr>
          <w:i/>
          <w:iCs/>
        </w:rPr>
        <w:t xml:space="preserve">25</w:t>
      </w:r>
      <w:r>
        <w:t xml:space="preserve">(3), 378.</w:t>
      </w:r>
    </w:p>
    <w:bookmarkEnd w:id="131"/>
    <w:bookmarkStart w:id="132"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32"/>
    <w:bookmarkStart w:id="133"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33"/>
    <w:bookmarkStart w:id="134"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34"/>
    <w:bookmarkStart w:id="135"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5"/>
    <w:bookmarkStart w:id="136"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6"/>
    <w:bookmarkStart w:id="138"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7">
        <w:r>
          <w:rPr>
            <w:rStyle w:val="Hyperlink"/>
          </w:rPr>
          <w:t xml:space="preserve">https://doi.org/10.3389/fpsyt.2016.00062</w:t>
        </w:r>
      </w:hyperlink>
    </w:p>
    <w:bookmarkEnd w:id="138"/>
    <w:bookmarkStart w:id="140"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9">
        <w:r>
          <w:rPr>
            <w:rStyle w:val="Hyperlink"/>
          </w:rPr>
          <w:t xml:space="preserve">https://doi.org/10.1016/j.cortex.2015.02.003</w:t>
        </w:r>
      </w:hyperlink>
    </w:p>
    <w:bookmarkEnd w:id="140"/>
    <w:bookmarkStart w:id="142"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41">
        <w:r>
          <w:rPr>
            <w:rStyle w:val="Hyperlink"/>
          </w:rPr>
          <w:t xml:space="preserve">https://doi.org/10.3389/fnagi.2022.872508</w:t>
        </w:r>
      </w:hyperlink>
    </w:p>
    <w:bookmarkEnd w:id="142"/>
    <w:bookmarkStart w:id="143"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43"/>
    <w:bookmarkStart w:id="144"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44"/>
    <w:bookmarkStart w:id="145"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5"/>
    <w:bookmarkStart w:id="146"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6"/>
    <w:bookmarkStart w:id="148"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7">
        <w:r>
          <w:rPr>
            <w:rStyle w:val="Hyperlink"/>
          </w:rPr>
          <w:t xml:space="preserve">https://doi.org/10.1016/j.neurobiolaging.2012.09.020</w:t>
        </w:r>
      </w:hyperlink>
    </w:p>
    <w:bookmarkEnd w:id="148"/>
    <w:bookmarkStart w:id="149"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9"/>
    <w:bookmarkStart w:id="150"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50"/>
    <w:bookmarkStart w:id="151"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51"/>
    <w:bookmarkStart w:id="152"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52"/>
    <w:bookmarkStart w:id="153"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53"/>
    <w:bookmarkStart w:id="154"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54"/>
    <w:bookmarkStart w:id="155"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5"/>
    <w:bookmarkStart w:id="156"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6"/>
    <w:bookmarkStart w:id="157"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7"/>
    <w:bookmarkStart w:id="158"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8"/>
    <w:bookmarkStart w:id="159"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9"/>
    <w:bookmarkStart w:id="160"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60"/>
    <w:bookmarkStart w:id="161"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61"/>
    <w:bookmarkStart w:id="162"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62"/>
    <w:bookmarkStart w:id="163"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63"/>
    <w:bookmarkStart w:id="164"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64"/>
    <w:bookmarkStart w:id="165"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5"/>
    <w:bookmarkStart w:id="166"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6"/>
    <w:bookmarkStart w:id="167"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7"/>
    <w:bookmarkStart w:id="168"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8"/>
    <w:bookmarkStart w:id="169"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9"/>
    <w:bookmarkStart w:id="170"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70"/>
    <w:bookmarkStart w:id="171"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71"/>
    <w:bookmarkStart w:id="172" w:name="ref-wardle2003"/>
    <w:p>
      <w:pPr>
        <w:pStyle w:val="Bibliography"/>
      </w:pPr>
      <w:r>
        <w:t xml:space="preserve">Wardle, J., &amp; Steptoe, A. (2003). Socioeconomic differences in attitudes and beliefs about healthy lifestyles.</w:t>
      </w:r>
      <w:r>
        <w:t xml:space="preserve"> </w:t>
      </w:r>
      <w:r>
        <w:rPr>
          <w:i/>
          <w:iCs/>
        </w:rPr>
        <w:t xml:space="preserve">Journal of Epidemiology &amp; Community Health</w:t>
      </w:r>
      <w:r>
        <w:t xml:space="preserve">,</w:t>
      </w:r>
      <w:r>
        <w:t xml:space="preserve"> </w:t>
      </w:r>
      <w:r>
        <w:rPr>
          <w:i/>
          <w:iCs/>
        </w:rPr>
        <w:t xml:space="preserve">57</w:t>
      </w:r>
      <w:r>
        <w:t xml:space="preserve">(6), 440–443.</w:t>
      </w:r>
    </w:p>
    <w:bookmarkEnd w:id="172"/>
    <w:bookmarkStart w:id="174" w:name="ref-who2020"/>
    <w:p>
      <w:pPr>
        <w:pStyle w:val="Bibliography"/>
      </w:pPr>
      <w:r>
        <w:t xml:space="preserve">World Health Organization. (2020).</w:t>
      </w:r>
      <w:r>
        <w:t xml:space="preserve"> </w:t>
      </w:r>
      <w:r>
        <w:rPr>
          <w:i/>
          <w:iCs/>
        </w:rPr>
        <w:t xml:space="preserve">Dementia</w:t>
      </w:r>
      <w:r>
        <w:t xml:space="preserve">.</w:t>
      </w:r>
      <w:r>
        <w:t xml:space="preserve"> </w:t>
      </w:r>
      <w:hyperlink r:id="rId173">
        <w:r>
          <w:rPr>
            <w:rStyle w:val="Hyperlink"/>
          </w:rPr>
          <w:t xml:space="preserve">http://www.who.int/en/news-room/fact-sheets/detail/dementia</w:t>
        </w:r>
      </w:hyperlink>
      <w:r>
        <w:t xml:space="preserve">.</w:t>
      </w:r>
    </w:p>
    <w:bookmarkEnd w:id="174"/>
    <w:bookmarkStart w:id="175"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75"/>
    <w:bookmarkStart w:id="176"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6"/>
    <w:bookmarkStart w:id="177" w:name="ref-wu2019"/>
    <w:p>
      <w:pPr>
        <w:pStyle w:val="Bibliography"/>
      </w:pPr>
      <w:r>
        <w:t xml:space="preserve">Wu, J., Yang, J., Chen, M., Li, S., Zhang, Z., Kang, C., Ding, G., &amp; Guo, T. (2019). Brain network reconfiguration for language and domain-general cognitive control in bilinguals.</w:t>
      </w:r>
      <w:r>
        <w:t xml:space="preserve"> </w:t>
      </w:r>
      <w:r>
        <w:rPr>
          <w:i/>
          <w:iCs/>
        </w:rPr>
        <w:t xml:space="preserve">NeuroImage</w:t>
      </w:r>
      <w:r>
        <w:t xml:space="preserve">,</w:t>
      </w:r>
      <w:r>
        <w:t xml:space="preserve"> </w:t>
      </w:r>
      <w:r>
        <w:rPr>
          <w:i/>
          <w:iCs/>
        </w:rPr>
        <w:t xml:space="preserve">199</w:t>
      </w:r>
      <w:r>
        <w:t xml:space="preserve">, 454–465.</w:t>
      </w:r>
    </w:p>
    <w:bookmarkEnd w:id="177"/>
    <w:bookmarkStart w:id="178"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8"/>
    <w:bookmarkStart w:id="179"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9"/>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51" Target="media/rId51.jpg" /><Relationship Type="http://schemas.openxmlformats.org/officeDocument/2006/relationships/image" Id="rId71" Target="media/rId71.png" /><Relationship Type="http://schemas.openxmlformats.org/officeDocument/2006/relationships/hyperlink" Id="rId173" Target="http://www.who.int/en/news-room/fact-sheets/detail/dementia" TargetMode="External" /><Relationship Type="http://schemas.openxmlformats.org/officeDocument/2006/relationships/hyperlink" Id="rId139" Target="https://doi.org/10.1016/j.cortex.2015.02.003" TargetMode="External" /><Relationship Type="http://schemas.openxmlformats.org/officeDocument/2006/relationships/hyperlink" Id="rId147" Target="https://doi.org/10.1016/j.neurobiolaging.2012.09.020" TargetMode="External" /><Relationship Type="http://schemas.openxmlformats.org/officeDocument/2006/relationships/hyperlink" Id="rId141" Target="https://doi.org/10.3389/fnagi.2022.872508" TargetMode="External" /><Relationship Type="http://schemas.openxmlformats.org/officeDocument/2006/relationships/hyperlink" Id="rId137" Target="https://doi.org/10.3389/fpsyt.2016.00062" TargetMode="External" /><Relationship Type="http://schemas.openxmlformats.org/officeDocument/2006/relationships/hyperlink" Id="rId91"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73" Target="http://www.who.int/en/news-room/fact-sheets/detail/dementia" TargetMode="External" /><Relationship Type="http://schemas.openxmlformats.org/officeDocument/2006/relationships/hyperlink" Id="rId139" Target="https://doi.org/10.1016/j.cortex.2015.02.003" TargetMode="External" /><Relationship Type="http://schemas.openxmlformats.org/officeDocument/2006/relationships/hyperlink" Id="rId147" Target="https://doi.org/10.1016/j.neurobiolaging.2012.09.020" TargetMode="External" /><Relationship Type="http://schemas.openxmlformats.org/officeDocument/2006/relationships/hyperlink" Id="rId141" Target="https://doi.org/10.3389/fnagi.2022.872508" TargetMode="External" /><Relationship Type="http://schemas.openxmlformats.org/officeDocument/2006/relationships/hyperlink" Id="rId137" Target="https://doi.org/10.3389/fpsyt.2016.00062" TargetMode="External" /><Relationship Type="http://schemas.openxmlformats.org/officeDocument/2006/relationships/hyperlink" Id="rId91"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2025-07-28T09:03:28Z</dcterms:created>
  <dcterms:modified xsi:type="dcterms:W3CDTF">2025-07-28T09:03:28Z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[Crl]: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