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4D5F9F">
      <w:pPr>
        <w:pStyle w:val="17"/>
      </w:pPr>
      <w:r>
        <w:t>Bilingualism Effect for Delaying Dementia Onset: A Bayesian Meta-Analysis</w:t>
      </w:r>
    </w:p>
    <w:p w14:paraId="27BC7D3A">
      <w:pPr>
        <w:pStyle w:val="27"/>
      </w:pPr>
      <w:r>
        <w:t>Ziyuan Li</w:t>
      </w:r>
    </w:p>
    <w:p w14:paraId="34F35BDE">
      <w:pPr>
        <w:pStyle w:val="27"/>
      </w:pPr>
      <w:r>
        <w:t>Stefano Coretta</w:t>
      </w:r>
    </w:p>
    <w:p w14:paraId="3AA927F9">
      <w:pPr>
        <w:pStyle w:val="14"/>
      </w:pPr>
      <w:r>
        <w:t>2025-05-14</w:t>
      </w:r>
    </w:p>
    <w:p w14:paraId="2EE30287">
      <w:pPr>
        <w:pStyle w:val="28"/>
      </w:pPr>
      <w:r>
        <w:t>Abstract</w:t>
      </w:r>
    </w:p>
    <w:p w14:paraId="72A0186C">
      <w:pPr>
        <w:pStyle w:val="29"/>
        <w:rPr>
          <w:color w:val="FF0000"/>
        </w:rPr>
      </w:pPr>
      <w:r>
        <w:t xml:space="preserve">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[Crl]: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w:t>
      </w:r>
      <w:r>
        <w:rPr>
          <w:color w:val="FF0000"/>
        </w:rPr>
        <w:t>Moreover, subgroup analysis revealed a consistent pattern of delayed symptom onset among bilinguals, though the estimated delays differed across dementia types. However, due to the limited number of studies available for each demenita subtype, uncertainty remains regarding whether bilingualism induces differential effects across dementia types. This highlights the need for further research specifically targeting non-Alzheimer’s dementias to better clarify these potential differences.</w:t>
      </w:r>
    </w:p>
    <w:p w14:paraId="64F4D2FA">
      <w:pPr>
        <w:pStyle w:val="2"/>
      </w:pPr>
      <w:bookmarkStart w:id="0" w:name="introduction"/>
      <w:r>
        <w:t>Introduction</w:t>
      </w:r>
    </w:p>
    <w:p w14:paraId="39AEF56F">
      <w:pPr>
        <w:pStyle w:val="23"/>
      </w:pPr>
      <w:r>
        <w:t xml:space="preserve">The ageing adults may face an increasing risk of dementia, a syndrome resulting from range of neurodegenerative diseases, as a result of deterioration of brain tissue (Mooij et al., 2018) and a loss of functional connectivity between regions (Brier et al., 2012). Such diseases affect language skills, memory and in later stages, bodily functions (Berkes &amp; Bialystok, 2022; Homer et al., 1994). With the ageing population and increased longevity of life, the prevalence of dementia also increases (Anderson et al., 2020; Berkes &amp; Bialystok, 2022). According to the World Health Organization (2020),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 (Kepp, 2016). </w:t>
      </w:r>
      <w:r>
        <w:rPr>
          <w:color w:val="FF0000"/>
        </w:rPr>
        <w:t>While recent pharmacological advances, particularly anti-amyloid monoclonal antibody therapies, have shown significant results in double-blind, placebo-controlled phase III clinical trials</w:t>
      </w:r>
      <w:r>
        <w:t xml:space="preserve"> (Budd Haeberlein et al., 2022; Sims et al., 2023; Van Dyck et al., 2023), </w:t>
      </w:r>
      <w:r>
        <w:rPr>
          <w:color w:val="FF0000"/>
        </w:rPr>
        <w:t>the clinical meaningfulness, the long-term impact of these treatments and the actual therapeutic efficacy and accessibility for real-world population are still under debate</w:t>
      </w:r>
      <w:r>
        <w:t xml:space="preserve"> (Angioni et al., 2024). </w:t>
      </w:r>
      <w:r>
        <w:rPr>
          <w:color w:val="FF0000"/>
        </w:rPr>
        <w:t>Consequently, exploring non-pharmacological contributors to cognitive resilience remains a crucial avenue of research</w:t>
      </w:r>
      <w:r>
        <w:t>. Several socio-behavioural factors may contribute to cognitive reserve, which helps individuals use compensatory mechanisms or functional processes to cope with neurodegeneration and pathology (Bialystok et al., 2007). These factors include education (Stern et al., 1999), complex social networking (Bennett et al., 2006), challenging occupational tasks (Stern et al., 2020), increasing physical activity (Sofi et al., 2011), and bilingualism (Bak, 2016; Jafari et al., 2021).</w:t>
      </w:r>
    </w:p>
    <w:p w14:paraId="1BDF6AAD">
      <w:pPr>
        <w:pStyle w:val="3"/>
      </w:pPr>
      <w:r>
        <w:t>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 (e.g., Bialystok et al., 2007; Craik et al., 2010). Yet, prospective studies revealed inconclusive results on bilingualism’s effect on reducing the risks of dementia (see Lawton et al., 2015 for null results; Zahodne et al., 2014 for positive results) while other retrospective studies showed a shorter delay of onset of dementia (e.g., 1.5 years: Berkes et al., 2020; 0.9 years: Chertkow et al., 2010). Previous meta-analyses also revealed inconsistent results. The meta-analysis by Mukadam et al. (2017) only included four prospective studies and found no evidence for the protective effects of bilingualism on dementia while Anderson et al. (2020) 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 Lee (2022) pointed out that different subtypes of dementia seem to be deferred by different lengths of time in bilinguals compared with monolinguals. For instance, in Alladi et al. (2013),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0"/>
    <w:p w14:paraId="16BF37A7">
      <w:pPr>
        <w:pStyle w:val="2"/>
      </w:pPr>
      <w:bookmarkStart w:id="1" w:name="Xc01f65c9f8d19cb5ce14fa41c1fb45a7f36a491"/>
      <w:r>
        <w:t>Mechanisms behind Bilingualism’s Effect on Dementia</w:t>
      </w:r>
    </w:p>
    <w:p w14:paraId="2F711FE0">
      <w:pPr>
        <w:pStyle w:val="4"/>
      </w:pPr>
      <w:bookmarkStart w:id="2" w:name="introducing-cognitive-reserve"/>
      <w:r>
        <w:t>Introducing Cognitive Reserve</w:t>
      </w:r>
    </w:p>
    <w:p w14:paraId="1CEF9DA4">
      <w:pPr>
        <w:pStyle w:val="23"/>
      </w:pPr>
      <w:r>
        <w:t>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 (Berkes &amp; Bialystok, 2022). Stern et al. (2020) stated that there are different types of reserve, namely brain reserve and cognitive reserve. The former refers to the neurobiological quality such as cortical thickness, quantity of neurons, and total brain volume at a given point in time (Stern et al., 2020). Individuals with high brain reserve are supposed to better withstand ageing and neurological decline since they have more tissue to lose. Such a passive model of reserve is impacted by genetic and lifestyle factors, and it does not invoke active cognitive adaptation (Stern et al., 2020). In contrast, cognitive reserve is thought of as an active reserve form which depends on individuals’ adaptability to cognitive processes (Berkes &amp; Bialystok, 2022). As mentioned before, Individuals can adopt remedial mechanisms to better cope with ageing and brain loss (Berkes &amp; Bialystok, 2022).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14:paraId="2078D434">
      <w:pPr>
        <w:pStyle w:val="3"/>
      </w:pPr>
      <w:r>
        <w:t>There are many factors that may contribute to cognitive reserve, which are limited by two prerequisites (Berkes &amp; Bialystok, 2022). The first one is that these factors should be sufficiently challenging and continuous (Scarmeas &amp; Stern, 2003).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 (Stern, 2002, 2012).</w:t>
      </w:r>
    </w:p>
    <w:bookmarkEnd w:id="2"/>
    <w:p w14:paraId="73B9B753">
      <w:pPr>
        <w:pStyle w:val="4"/>
      </w:pPr>
      <w:bookmarkStart w:id="3" w:name="X2b4e761f43a4a50cd42c16721094b882b7c9d4c"/>
      <w:r>
        <w:t>Bilingualism as a Contributor of Cognitive Reserve</w:t>
      </w:r>
    </w:p>
    <w:p w14:paraId="4AA8D40E">
      <w:pPr>
        <w:pStyle w:val="23"/>
      </w:pPr>
      <w:r>
        <w:t>The use of multiple languages is considered a challenging activity since bilinguals have to constantly deal with the joint activation of both languages (Bialystok et al., 2012). Evidence for such joint activation is found by psycholinguists from cross-language priming, which is the facilitative effect of a word in one language on the retrieval of a semantically related word in another language (e.g., Thierry &amp; Wu, 2007). This means that bilinguals have to select the appropriate language while inhibiting the others for effective language production, which allows bilinguals to possess better inhibitory control than monolinguals. Yet, Bialystok &amp; Craik (2022) 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 (e.g., Blom et al., 2014; Comishen &amp; Bialystok, 2021). The “advantage” is generally more obvious in older adults with null results mostly found in younger adults who may reach the ceiling effect.</w:t>
      </w:r>
    </w:p>
    <w:p w14:paraId="6A9B293E">
      <w:pPr>
        <w:pStyle w:val="3"/>
      </w:pPr>
      <w:r>
        <w:t>From the perspective of neuroscience, one explanation for bilinguals’ enhanced executive function may be that multiple language use reallocates the cognitive demand from anterior regions to posterior lobes and subcortical regions including the basal ganglia (Grundy &amp; Anderson, 2017).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 Abutalebi et al. (2015) used fMRI to record bilingual and monolingual brain signals when they performed flanker tasks. The results show that bilinguals showed better behavioural performance and that they recruited less anterior cingulate cortex (ACC) than monolinguals (Abutalebi et al., 2015). In Waldie et al. (2009), the fMRI results showed that Macedonian-English bilinguals possessed more activation in the basal ganglia area compared with monolinguals when they performed a Stroop task. Since the basal ganglia is a subcortical area that functions as a gate for anterior cortical regions, Waldie et al. (2009) also provide evidence for bilinguals’ reallocation of cognitive resources.</w:t>
      </w:r>
    </w:p>
    <w:p w14:paraId="5833806D">
      <w:pPr>
        <w:pStyle w:val="3"/>
      </w:pPr>
      <w:r>
        <w:t>As adults age, their decreased automatic processing ability requires them to occupy the anterior lobes that are originally responsible for complex EF with simple tasks (Davis et al., 2008; Grady et al., 1994). This should at least partially account for older adults’ difficulty in performing complex tasks and declined cognitive function (Davis et al., 2008). Thus, bilingualism contributes to cognitive reserve by reallocating the cognitive demand from anterior regions to posterior and subcortical regions and sustaining the automatic process, which leaves space for complex EF.</w:t>
      </w:r>
    </w:p>
    <w:bookmarkEnd w:id="3"/>
    <w:p w14:paraId="7DA4951F">
      <w:pPr>
        <w:pStyle w:val="4"/>
      </w:pPr>
      <w:bookmarkStart w:id="4" w:name="Xa082ffd05e3a83ac27f2b8291cdf4d1d05b64ea"/>
      <w:r>
        <w:t>The Limits of Bilingualism Effect on Dementia</w:t>
      </w:r>
    </w:p>
    <w:p w14:paraId="6962E21C">
      <w:pPr>
        <w:pStyle w:val="23"/>
      </w:pPr>
      <w:r>
        <w:t>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14:paraId="680A1815">
      <w:pPr>
        <w:pStyle w:val="3"/>
      </w:pPr>
      <w:r>
        <w:t>As mentioned before, one important prediction from cognitive reserve is that individuals with high reserve will show a delayed onset of impairment than individuals with low reserve (Berkes &amp; Bialystok, 2022). Retrospective studies compared the age of onset or diagnosis of dementia for both bilinguals and monolinguals in clinical samples. Bialystok et al. (2007) were the first to examine such effects on clinical populations with dementia. By examining the records of 184 patients with equivalent progression of Mini-Mnetal State Examination [MMSE; Folstein et al. (1975)] scores in Toronto Canada, they found that bilingual patients developed symptoms of dementia later than their monolingual peers for around 4 years (F (1, 178) = 9.16, p&lt;0.003). The results have been replicated in different populations in various countries such as China (Zheng et al., 2018), India (Alladi et al., 2013), and Belgium (E. V. Y. Woumans et al., 2015). Given the mostly positive results of previous retrospective studies and the moderate effect (Cohen’s d = 0.32) of previous meta-analysis (Anderson et al., 2020), it seems that bilingualism’s delaying effect is less inconclusive than incidence rate studies.</w:t>
      </w:r>
    </w:p>
    <w:p w14:paraId="17D058FE">
      <w:pPr>
        <w:pStyle w:val="3"/>
      </w:pPr>
      <w:r>
        <w:t>Compared to retrospective studies, most prospective studies have a different outcome variable, the dementia incidence rate in certain populations (Grundy &amp; Anderson, 2017). These studies track groups of healthy individuals and collect the rates of dementia in the groups during the study period. Yet, these prospective studies tend to find non-significant results of bilingualism’s preventive effects. For instance, (Zahodne et al., 2014) 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 (Zahodne et al., 2014). The results showed that bilingualism was associated with 0.291 lower log odds of incidence rates. After accounting for other predictors, bilingualism was not correlated with dementia risk despite attending higher education and being female being associated with lower dementia risk (Zahodne et al., 2014). Similarly, Lawton et al. (2015) and Ljungberg et al. (2016) also found no single correlation between reduced dementia risk and bilingualism in the US (x2(1, n=81) = .13, p = .72) and Sweden (bilinguals: Hazard Ratio = 1.43, 95% CI = 0.73 − 2.85, p = .29) respectively. Moreover, Mukadam et al. (2017) 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 “a strategy to delay dementia” (Mukadam et al., 2017, p. 53). Yet the present study will argue that their argument is premature and that the difference of bilingualism’s delaying effect and preventive effect should be drawn.</w:t>
      </w:r>
    </w:p>
    <w:p w14:paraId="2A3E140E">
      <w:pPr>
        <w:pStyle w:val="3"/>
      </w:pPr>
      <w:r>
        <w:t>Since the publication of their meta-analysis (Mukadam et al., 2017), several scholars have criticised their conceptual and methodological approach (Grundy &amp; Anderson, 2017; E. Woumans et al., 2017).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 Mukadam et al. (2017) 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 Venugopal et al. (2024) 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14:paraId="4714A459">
      <w:pPr>
        <w:pStyle w:val="3"/>
      </w:pPr>
      <w:r>
        <w:t>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bookmarkEnd w:id="4"/>
    <w:p w14:paraId="6CC29492">
      <w:pPr>
        <w:pStyle w:val="4"/>
      </w:pPr>
      <w:bookmarkStart w:id="5" w:name="research-questions"/>
      <w:r>
        <w:t>Research Questions</w:t>
      </w:r>
    </w:p>
    <w:p w14:paraId="27EDB394">
      <w:pPr>
        <w:pStyle w:val="23"/>
      </w:pPr>
      <w:r>
        <w:t>(1).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14:paraId="3D6F7B66">
      <w:pPr>
        <w:pStyle w:val="3"/>
      </w:pPr>
      <w:r>
        <w:t>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 function (Arel-Bundock et al., 2024). The inspection for bias will be achieved through the funnel plot (Light &amp; Pillemer, 1984).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bookmarkEnd w:id="1"/>
    <w:bookmarkEnd w:id="5"/>
    <w:p w14:paraId="1C5331F8">
      <w:pPr>
        <w:pStyle w:val="2"/>
      </w:pPr>
      <w:bookmarkStart w:id="6" w:name="methods"/>
      <w:r>
        <w:t>Methods</w:t>
      </w:r>
    </w:p>
    <w:p w14:paraId="52EB5CE2">
      <w:pPr>
        <w:pStyle w:val="4"/>
      </w:pPr>
      <w:bookmarkStart w:id="7" w:name="literature-searching"/>
      <w:r>
        <w:t>Literature Searching</w:t>
      </w:r>
    </w:p>
    <w:p w14:paraId="0EC15674">
      <w:pPr>
        <w:pStyle w:val="23"/>
      </w:pPr>
      <w:r>
        <w:t>The datasets used in the present meta-analysis were PsycInfo, PubMed, and Google Scholar. A search of these databases and data extraction were conducted by Z.L. with the following keywords: (“bilingualism” OR “multilingualism”) AND (“Alzheimer’s disease” OR “dementia” OR “MCI”).</w:t>
      </w:r>
    </w:p>
    <w:bookmarkEnd w:id="7"/>
    <w:p w14:paraId="441169FD">
      <w:pPr>
        <w:pStyle w:val="4"/>
      </w:pPr>
      <w:bookmarkStart w:id="8" w:name="inclusion-and-exclusion-criteria"/>
      <w:r>
        <w:t>Inclusion and Exclusion Criteria</w:t>
      </w:r>
    </w:p>
    <w:p w14:paraId="1F371E54">
      <w:pPr>
        <w:pStyle w:val="23"/>
      </w:pPr>
      <w:r>
        <w:t>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bookmarkEnd w:id="8"/>
    <w:p w14:paraId="709F857B">
      <w:pPr>
        <w:pStyle w:val="4"/>
      </w:pPr>
      <w:bookmarkStart w:id="9" w:name="data-coding"/>
      <w:r>
        <w:t>Data Coding</w:t>
      </w:r>
    </w:p>
    <w:p w14:paraId="23AFF286">
      <w:pPr>
        <w:pStyle w:val="23"/>
      </w:pPr>
      <w:r>
        <w:t>After collecting the included studies, it is necessary to code the data for analysis. For the age at onset study, the column names in the data set include Study, mean, SD, N, mobi,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under the mobi column as monolingual and bilingual.</w:t>
      </w:r>
    </w:p>
    <w:p w14:paraId="33EDF01D">
      <w:pPr>
        <w:pStyle w:val="3"/>
      </w:pPr>
      <w:r>
        <w:t>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9"/>
    <w:p w14:paraId="66411890">
      <w:pPr>
        <w:pStyle w:val="4"/>
      </w:pPr>
      <w:bookmarkStart w:id="10" w:name="statistical-analysis"/>
      <w:r>
        <w:t>Statistical Analysis</w:t>
      </w:r>
    </w:p>
    <w:p w14:paraId="3FC1273A">
      <w:pPr>
        <w:pStyle w:val="23"/>
      </w:pPr>
      <w:r>
        <w:t xml:space="preserve">The present meta-analysis will employ the brm package in R (Bürkner, 2021) 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 (Schmid et al., 2020). Instead, it produces a full posterior probability distribution of parameters which reveals more uncertainty of the data. It is better for fields with limited data and </w:t>
      </w:r>
      <w:r>
        <w:rPr>
          <w:color w:val="FF0000"/>
        </w:rPr>
        <w:t>it will set</w:t>
      </w:r>
      <w:r>
        <w:t xml:space="preserve"> prior information. The prior setting, forest plot and funnel plot drawing will be explained further in the results section.</w:t>
      </w:r>
    </w:p>
    <w:bookmarkEnd w:id="10"/>
    <w:p w14:paraId="4C4ABC2D">
      <w:pPr>
        <w:pStyle w:val="4"/>
      </w:pPr>
      <w:bookmarkStart w:id="11" w:name="X46bed80078d62df1b00135780685e120fc50855"/>
      <w:r>
        <w:t>Confounding Variables and Modulating Factors</w:t>
      </w:r>
    </w:p>
    <w:p w14:paraId="0ED58115">
      <w:pPr>
        <w:pStyle w:val="23"/>
      </w:pPr>
      <w:r>
        <w:t>Apart from generating summary effects for included studies, it is necessary to check the effect of other confounding variables especially when there is an inconsistent relation between an independent variable and an outcome across studies (Frazier et al., 2004).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 (Anderson et al., 2020),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p w14:paraId="3221F965">
      <w:pPr>
        <w:pStyle w:val="5"/>
      </w:pPr>
      <w:bookmarkStart w:id="12" w:name="education-as-a-confounding-variable"/>
      <w:r>
        <w:t>Education as a Confounding Variable</w:t>
      </w:r>
    </w:p>
    <w:p w14:paraId="52F8144C">
      <w:pPr>
        <w:pStyle w:val="23"/>
      </w:pPr>
      <w:r>
        <w:t xml:space="preserve">Bak (2016) states that education and immigration status are two obvious confounding variables of bilingualism research. In a systematic review conducted by Sharp &amp; Gatz (2011), 51 out of 88 studies that examined the relationship between dementia and education showed a significant effect. Their results show that lower education is related to increased risks of dementia, especially in developed countries (Sharp &amp; Gatz, 2011). In some retrospective studies of bilingualism and dementia, the differences between the years of education of bilinguals and monolinguals were often noteworthy. For instance, the mean years of education for monolinguals and bilinguals were 6.9 and 13.9 respectively in Alladi et al. (2017) and 4.92 and 10.97 in Zheng et al. (2018). Some studies argued that bilingualism was still a significant factor in delaying dementia onset after controlling the covariates including education (e.g., Alladi et al., 2013), yet the statistical power may be weak due to the small sample size Paap (2019). Although the significant relationship between the risks of dementia and education was not always replicated Gatz et al. (2001),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 </w:t>
      </w:r>
      <w:r>
        <w:fldChar w:fldCharType="begin"/>
      </w:r>
      <w:r>
        <w:instrText xml:space="preserve"> HYPERLINK \l "fig-dag" \h </w:instrText>
      </w:r>
      <w:r>
        <w:fldChar w:fldCharType="separate"/>
      </w:r>
      <w:r>
        <w:rPr>
          <w:rStyle w:val="20"/>
        </w:rPr>
        <w:t>Figure 1</w:t>
      </w:r>
      <w:r>
        <w:rPr>
          <w:rStyle w:val="20"/>
        </w:rPr>
        <w:fldChar w:fldCharType="end"/>
      </w:r>
      <w:r>
        <w:t>.</w:t>
      </w:r>
    </w:p>
    <w:tbl>
      <w:tblPr>
        <w:tblStyle w:val="41"/>
        <w:tblW w:w="5000" w:type="pct"/>
        <w:tblInd w:w="0" w:type="dxa"/>
        <w:tblLayout w:type="fixed"/>
        <w:tblCellMar>
          <w:top w:w="0" w:type="dxa"/>
          <w:left w:w="108" w:type="dxa"/>
          <w:bottom w:w="0" w:type="dxa"/>
          <w:right w:w="108" w:type="dxa"/>
        </w:tblCellMar>
      </w:tblPr>
      <w:tblGrid>
        <w:gridCol w:w="8856"/>
      </w:tblGrid>
      <w:tr w14:paraId="19EFE4AC">
        <w:tc>
          <w:p w14:paraId="3E14745B">
            <w:pPr>
              <w:pStyle w:val="24"/>
              <w:jc w:val="center"/>
            </w:pPr>
            <w:bookmarkStart w:id="13" w:name="fig-dag"/>
            <w:r>
              <w:drawing>
                <wp:inline distT="0" distB="0" distL="114300" distR="114300">
                  <wp:extent cx="5334000" cy="3642995"/>
                  <wp:effectExtent l="0" t="0" r="0" b="0"/>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5"/>
                          <a:stretch>
                            <a:fillRect/>
                          </a:stretch>
                        </pic:blipFill>
                        <pic:spPr>
                          <a:xfrm>
                            <a:off x="0" y="0"/>
                            <a:ext cx="5334000" cy="3643222"/>
                          </a:xfrm>
                          <a:prstGeom prst="rect">
                            <a:avLst/>
                          </a:prstGeom>
                          <a:noFill/>
                          <a:ln w="9525">
                            <a:noFill/>
                          </a:ln>
                        </pic:spPr>
                      </pic:pic>
                    </a:graphicData>
                  </a:graphic>
                </wp:inline>
              </w:drawing>
            </w:r>
          </w:p>
          <w:p w14:paraId="29055B74">
            <w:pPr>
              <w:pStyle w:val="45"/>
              <w:spacing w:before="200"/>
              <w:jc w:val="left"/>
            </w:pPr>
            <w:r>
              <w:t>Figure 1: Directed Acyclic Graph showing the potential influence of years of education (confounding variable) and dementia type (modulating variable).</w:t>
            </w:r>
          </w:p>
          <w:bookmarkEnd w:id="13"/>
        </w:tc>
      </w:tr>
    </w:tbl>
    <w:p w14:paraId="199FA53F">
      <w:pPr>
        <w:pStyle w:val="3"/>
      </w:pPr>
      <w:r>
        <w:t>Additionally, immigration status has been argued to confound the bilingualism effect since healthier people are more likely to become immigrants, who are also bilingual (Fuller-Thomson &amp; Kuh, 2014).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 (e.g., Alladi et al., 2013; Zheng et al., 2018). In other words, if the bilingualism’s protective effect on dementia is indeed due to the healthy immigrant effect, no bilingualism advantage is supposed to be found in these studies. Secondly, Brini et al. (2020) 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 (Brini et al., 2020). Thus, the present meta-analysis will not repeat the subgroup analysis of immigration status.</w:t>
      </w:r>
    </w:p>
    <w:bookmarkEnd w:id="12"/>
    <w:p w14:paraId="0C069542">
      <w:pPr>
        <w:pStyle w:val="5"/>
      </w:pPr>
      <w:bookmarkStart w:id="14" w:name="dementia-type-as-a-modulating-variable"/>
      <w:r>
        <w:t>Dementia Type as a Modulating Variable</w:t>
      </w:r>
    </w:p>
    <w:p w14:paraId="5F8CC7A4">
      <w:pPr>
        <w:pStyle w:val="23"/>
      </w:pPr>
      <w:r>
        <w:t xml:space="preserve">As mentioned in the introduction, bilingualism’s effect may be different for different types of dementia (Alladi et al., 2013). Even within the same sample, the difference in the delaying effect can be quite large (4 years for FTD dementia and 1.4 years for Mixed dementia in Alladi et al., 2013).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 </w:t>
      </w:r>
      <w:r>
        <w:rPr>
          <w:color w:val="FF0000"/>
        </w:rPr>
        <w:t>The model for sub-group analysis is similar to the main Bayesian meta-analysis model, with the data restricted to the relevant sub-group.</w:t>
      </w:r>
    </w:p>
    <w:bookmarkEnd w:id="6"/>
    <w:bookmarkEnd w:id="11"/>
    <w:bookmarkEnd w:id="14"/>
    <w:p w14:paraId="035E4598">
      <w:pPr>
        <w:pStyle w:val="2"/>
      </w:pPr>
      <w:bookmarkStart w:id="15" w:name="results"/>
      <w:r>
        <w:t>Results</w:t>
      </w:r>
    </w:p>
    <w:p w14:paraId="5B15DA7E">
      <w:pPr>
        <w:pStyle w:val="4"/>
      </w:pPr>
      <w:bookmarkStart w:id="16" w:name="literature-searching-1"/>
      <w:r>
        <w:t>Literature Searching</w:t>
      </w:r>
    </w:p>
    <w:p w14:paraId="39EB3671">
      <w:pPr>
        <w:pStyle w:val="23"/>
      </w:pPr>
      <w:r>
        <w:t xml:space="preserve">Shown in </w:t>
      </w:r>
      <w:r>
        <w:fldChar w:fldCharType="begin"/>
      </w:r>
      <w:r>
        <w:instrText xml:space="preserve"> HYPERLINK \l "fig-prisma" \h </w:instrText>
      </w:r>
      <w:r>
        <w:fldChar w:fldCharType="separate"/>
      </w:r>
      <w:r>
        <w:rPr>
          <w:rStyle w:val="20"/>
        </w:rPr>
        <w:t>Figure 2</w:t>
      </w:r>
      <w:r>
        <w:rPr>
          <w:rStyle w:val="20"/>
        </w:rPr>
        <w:fldChar w:fldCharType="end"/>
      </w:r>
      <w:r>
        <w:t>,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41"/>
        <w:tblW w:w="5000" w:type="pct"/>
        <w:tblInd w:w="0" w:type="dxa"/>
        <w:tblLayout w:type="fixed"/>
        <w:tblCellMar>
          <w:top w:w="0" w:type="dxa"/>
          <w:left w:w="108" w:type="dxa"/>
          <w:bottom w:w="0" w:type="dxa"/>
          <w:right w:w="108" w:type="dxa"/>
        </w:tblCellMar>
      </w:tblPr>
      <w:tblGrid>
        <w:gridCol w:w="8856"/>
      </w:tblGrid>
      <w:tr w14:paraId="4FF9E0EA">
        <w:tc>
          <w:p w14:paraId="6DB6E9CB">
            <w:pPr>
              <w:pStyle w:val="24"/>
              <w:jc w:val="center"/>
            </w:pPr>
            <w:bookmarkStart w:id="17" w:name="fig-prisma"/>
            <w:r>
              <w:drawing>
                <wp:inline distT="0" distB="0" distL="114300" distR="114300">
                  <wp:extent cx="5334000" cy="5432425"/>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6"/>
                          <a:stretch>
                            <a:fillRect/>
                          </a:stretch>
                        </pic:blipFill>
                        <pic:spPr>
                          <a:xfrm>
                            <a:off x="0" y="0"/>
                            <a:ext cx="5334000" cy="5432777"/>
                          </a:xfrm>
                          <a:prstGeom prst="rect">
                            <a:avLst/>
                          </a:prstGeom>
                          <a:noFill/>
                          <a:ln w="9525">
                            <a:noFill/>
                          </a:ln>
                        </pic:spPr>
                      </pic:pic>
                    </a:graphicData>
                  </a:graphic>
                </wp:inline>
              </w:drawing>
            </w:r>
          </w:p>
          <w:p w14:paraId="74DAAF1D">
            <w:pPr>
              <w:pStyle w:val="45"/>
              <w:spacing w:before="200"/>
              <w:jc w:val="left"/>
            </w:pPr>
            <w:r>
              <w:t>Figure 2: Prisma flow diagram showing the number of studies included in the meta-analysis according to PRISMA (Preferred Reporting Items for Systematic reviews and Meta-Analysis) 2020.</w:t>
            </w:r>
          </w:p>
          <w:bookmarkEnd w:id="17"/>
        </w:tc>
      </w:tr>
    </w:tbl>
    <w:p w14:paraId="06E895DB">
      <w:pPr>
        <w:pStyle w:val="3"/>
      </w:pPr>
      <w:r>
        <w:t>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 Zheng et al. (2018) included two monolingual groups: Mandarin and Cantonese. Different from previous meta-analyses to combine them into one monolingual group (Brini et al., 2020), the Bayesian linear model allows for two monolingual groups and one bilingual group. For the age at onset/diagnosis model, the final included sample was 23 pairs of participants (N = 3674, including 2023 monolinguals and 1641 bilinguals).</w:t>
      </w:r>
    </w:p>
    <w:bookmarkEnd w:id="16"/>
    <w:p w14:paraId="1E950B4A">
      <w:pPr>
        <w:pStyle w:val="4"/>
      </w:pPr>
      <w:bookmarkStart w:id="18" w:name="prior-distribution-setting"/>
      <w:r>
        <w:t>Prior Distribution Setting</w:t>
      </w:r>
    </w:p>
    <w:p w14:paraId="2B21A220">
      <w:pPr>
        <w:pStyle w:val="23"/>
      </w:pPr>
      <w:r>
        <w:t>For a specified Bayesian model, the posterior inference relies on both the likelihood and the prior (Schmid et al., 2020). The present Bayesian random-effect model for age at onset studies specifies three priors. First, it specifies a LKJ (2) prior on the correlation matrix (Nicenboim et al., 2024).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 (Turner et al., 2009). Also, the 95 credible intervals of 20 and 110 provide enough variability for the age onset of adult neurodegenerative disease.</w:t>
      </w:r>
    </w:p>
    <w:bookmarkEnd w:id="18"/>
    <w:p w14:paraId="61C4B7EE">
      <w:pPr>
        <w:pStyle w:val="4"/>
      </w:pPr>
      <w:bookmarkStart w:id="19" w:name="Xd0df9da9ee21d5417233a08b5c4c4fb8729a75c"/>
      <w:r>
        <w:t>Results for Meta-analysis of Bilingualism and Age at Onset of Dementia</w:t>
      </w:r>
    </w:p>
    <w:p w14:paraId="42C8C2B9">
      <w:pPr>
        <w:pStyle w:val="23"/>
      </w:pPr>
      <w:r>
        <w:t xml:space="preserve">We fitted a Bayesian linear regression model with </w:t>
      </w:r>
      <w:r>
        <w:rPr>
          <w:color w:val="FF0000"/>
        </w:rPr>
        <w:t>language group (bilingual vs. Monolingual)</w:t>
      </w:r>
      <w:r>
        <w:t xml:space="preserve"> as the predictor, mean (age at onset) as the outcome variable and measurement error (added with se (SE) at the left side of the model formula). </w:t>
      </w:r>
      <w:r>
        <w:rPr>
          <w:color w:val="FF0000"/>
        </w:rPr>
        <w:t>All models converged with acceptable R-hat and acceptable sample size values. The FTD subgroup model and MCI subgroup model finished with 40 and 16 divergent transitions respectively, which we did not deem problematic given the R-hat and effective sample size values.</w:t>
      </w:r>
    </w:p>
    <w:p w14:paraId="73894E6C">
      <w:pPr>
        <w:pStyle w:val="3"/>
      </w:pPr>
      <w:r>
        <w:t xml:space="preserve">The results showed that at the population level, the estimated age at dementia onset for monolinguals was between 65.04 and 71.55 years at 95% Crl (β = 68.39, Est.Error = 1.64). For bilinguals, the estimated age at dementia onset was between 68.82 and 74.61 years at 95% Crl (β = 71.68, Est.Error = 1.49). </w:t>
      </w:r>
      <w:r>
        <w:rPr>
          <w:color w:val="FF0000"/>
        </w:rPr>
        <w:t>We</w:t>
      </w:r>
      <w:r>
        <w:t xml:space="preserve"> further used “avg_comparisons()” function to summarise the average marginal effects for bilinguals and monolinguals (Arel-Bundock et al., 2024), which showed that the average difference between the age at dementia onset for bilinguals and monolinguals was between 2.8 and 4.1 years at 95% Crl with an estimate of 3.45 years. This meant that the bilingual population tends to have a later dementia symptom onset of around 3.45 years than monolinguals based on the provided data. A similar result was also shown in the forest plot of the </w:t>
      </w:r>
      <w:r>
        <w:rPr>
          <w:color w:val="FF0000"/>
        </w:rPr>
        <w:t>study-specific</w:t>
      </w:r>
      <w:r>
        <w:t xml:space="preserve"> difference in effect for bilinguals and monolinguals in which the majority of the studies have a positive value that favours bilingualism (see </w:t>
      </w:r>
      <w:r>
        <w:fldChar w:fldCharType="begin"/>
      </w:r>
      <w:r>
        <w:instrText xml:space="preserve"> HYPERLINK \l "fig-fig3" \h </w:instrText>
      </w:r>
      <w:r>
        <w:fldChar w:fldCharType="separate"/>
      </w:r>
      <w:r>
        <w:rPr>
          <w:rStyle w:val="20"/>
        </w:rPr>
        <w:t>Figure 3</w:t>
      </w:r>
      <w:r>
        <w:rPr>
          <w:rStyle w:val="20"/>
        </w:rPr>
        <w:fldChar w:fldCharType="end"/>
      </w:r>
      <w:r>
        <w:t>). The majority of studies’ 95% credible interval was positive. Only one study (Duncan et al., 2018) resulted in a negative effect that monolinguals have a later dementia onset than bilinguals by around 1.42 years. Overall, the meta-analytic effect showed a relatively positive result that favoured bilinguals’ delayed onset of dementia. The following section will check the heterogeneity across the studies.</w:t>
      </w:r>
    </w:p>
    <w:tbl>
      <w:tblPr>
        <w:tblStyle w:val="41"/>
        <w:tblW w:w="5000" w:type="pct"/>
        <w:tblInd w:w="0" w:type="dxa"/>
        <w:tblLayout w:type="fixed"/>
        <w:tblCellMar>
          <w:top w:w="0" w:type="dxa"/>
          <w:left w:w="108" w:type="dxa"/>
          <w:bottom w:w="0" w:type="dxa"/>
          <w:right w:w="108" w:type="dxa"/>
        </w:tblCellMar>
      </w:tblPr>
      <w:tblGrid>
        <w:gridCol w:w="8856"/>
      </w:tblGrid>
      <w:tr w14:paraId="5DA413E4">
        <w:tc>
          <w:p w14:paraId="58F79876">
            <w:pPr>
              <w:pStyle w:val="24"/>
              <w:jc w:val="center"/>
            </w:pPr>
            <w:bookmarkStart w:id="20" w:name="fig-fig3"/>
            <w:r>
              <w:drawing>
                <wp:inline distT="0" distB="0" distL="114300" distR="114300">
                  <wp:extent cx="5334000" cy="4267200"/>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7"/>
                          <a:stretch>
                            <a:fillRect/>
                          </a:stretch>
                        </pic:blipFill>
                        <pic:spPr>
                          <a:xfrm>
                            <a:off x="0" y="0"/>
                            <a:ext cx="5334000" cy="4267200"/>
                          </a:xfrm>
                          <a:prstGeom prst="rect">
                            <a:avLst/>
                          </a:prstGeom>
                          <a:noFill/>
                          <a:ln w="9525">
                            <a:noFill/>
                          </a:ln>
                        </pic:spPr>
                      </pic:pic>
                    </a:graphicData>
                  </a:graphic>
                </wp:inline>
              </w:drawing>
            </w:r>
          </w:p>
          <w:p w14:paraId="06C3EC7E">
            <w:pPr>
              <w:pStyle w:val="45"/>
              <w:spacing w:before="200"/>
              <w:jc w:val="left"/>
            </w:pPr>
            <w:r>
              <w:t>Figure 3: Forest plot of Bilingualism and Age at Onset of Dementia (Note: The estimates and 95% CrI are the differences between bilinguals and monolinguals, so a positive number indicates later onsets for bilinguals.)</w:t>
            </w:r>
          </w:p>
          <w:bookmarkEnd w:id="20"/>
        </w:tc>
      </w:tr>
    </w:tbl>
    <w:p w14:paraId="10DDAD52">
      <w:pPr>
        <w:pStyle w:val="5"/>
      </w:pPr>
      <w:bookmarkStart w:id="21" w:name="heterogeneity-across-studies"/>
      <w:r>
        <w:t>Heterogeneity across Studies</w:t>
      </w:r>
    </w:p>
    <w:p w14:paraId="6EA608D8">
      <w:pPr>
        <w:pStyle w:val="23"/>
      </w:pPr>
      <w:r>
        <w:t xml:space="preserve">In the present Bayesian meta-analysis model, heterogeneity was mainly expressed by the random effects at the group level, which was the difference in age at onset for </w:t>
      </w:r>
      <w:r>
        <w:rPr>
          <w:color w:val="FF0000"/>
        </w:rPr>
        <w:t>monolingual group and bilingual group</w:t>
      </w:r>
      <w:r>
        <w:t xml:space="preserve"> across different study levels. At the group level, the standard deviation for </w:t>
      </w:r>
      <w:r>
        <w:rPr>
          <w:color w:val="FF0000"/>
        </w:rPr>
        <w:t>monolingual group and bilingual group</w:t>
      </w:r>
      <w:r>
        <w:t xml:space="preserve"> 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 (Kay &amp; Mastny, 2023) to draw two new forest plots that show the difference between the population-level mean age at dementia onset and each study’s age at dementia onset for bilinguals and monolinguals respectively (see Figure 4).</w:t>
      </w:r>
    </w:p>
    <w:p w14:paraId="2D235081">
      <w:pPr>
        <w:pStyle w:val="3"/>
      </w:pPr>
      <w:r>
        <w:drawing>
          <wp:inline distT="0" distB="0" distL="114300" distR="114300">
            <wp:extent cx="5334000" cy="4267200"/>
            <wp:effectExtent l="0" t="0" r="0" b="0"/>
            <wp:docPr id="4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8"/>
                    <a:stretch>
                      <a:fillRect/>
                    </a:stretch>
                  </pic:blipFill>
                  <pic:spPr>
                    <a:xfrm>
                      <a:off x="0" y="0"/>
                      <a:ext cx="5334000" cy="4267200"/>
                    </a:xfrm>
                    <a:prstGeom prst="rect">
                      <a:avLst/>
                    </a:prstGeom>
                    <a:noFill/>
                    <a:ln w="9525">
                      <a:noFill/>
                    </a:ln>
                  </pic:spPr>
                </pic:pic>
              </a:graphicData>
            </a:graphic>
          </wp:inline>
        </w:drawing>
      </w:r>
    </w:p>
    <w:tbl>
      <w:tblPr>
        <w:tblStyle w:val="41"/>
        <w:tblW w:w="5000" w:type="pct"/>
        <w:tblInd w:w="0" w:type="dxa"/>
        <w:tblLayout w:type="fixed"/>
        <w:tblCellMar>
          <w:top w:w="0" w:type="dxa"/>
          <w:left w:w="108" w:type="dxa"/>
          <w:bottom w:w="0" w:type="dxa"/>
          <w:right w:w="108" w:type="dxa"/>
        </w:tblCellMar>
      </w:tblPr>
      <w:tblGrid>
        <w:gridCol w:w="8856"/>
      </w:tblGrid>
      <w:tr w14:paraId="3A21EED4">
        <w:tc>
          <w:p w14:paraId="578838A7">
            <w:pPr>
              <w:pStyle w:val="24"/>
              <w:jc w:val="center"/>
            </w:pPr>
            <w:bookmarkStart w:id="22" w:name="fig-fig4"/>
            <w:r>
              <w:drawing>
                <wp:inline distT="0" distB="0" distL="114300" distR="114300">
                  <wp:extent cx="5334000" cy="3429000"/>
                  <wp:effectExtent l="0" t="0" r="0" b="0"/>
                  <wp:docPr id="5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pic:cNvPicPr>
                            <a:picLocks noChangeAspect="1" noChangeArrowheads="1"/>
                          </pic:cNvPicPr>
                        </pic:nvPicPr>
                        <pic:blipFill>
                          <a:blip r:embed="rId9"/>
                          <a:stretch>
                            <a:fillRect/>
                          </a:stretch>
                        </pic:blipFill>
                        <pic:spPr>
                          <a:xfrm>
                            <a:off x="0" y="0"/>
                            <a:ext cx="5334000" cy="3429000"/>
                          </a:xfrm>
                          <a:prstGeom prst="rect">
                            <a:avLst/>
                          </a:prstGeom>
                          <a:noFill/>
                          <a:ln w="9525">
                            <a:noFill/>
                          </a:ln>
                        </pic:spPr>
                      </pic:pic>
                    </a:graphicData>
                  </a:graphic>
                </wp:inline>
              </w:drawing>
            </w:r>
          </w:p>
          <w:p w14:paraId="15A27CCD">
            <w:pPr>
              <w:pStyle w:val="45"/>
              <w:spacing w:before="200"/>
              <w:jc w:val="left"/>
            </w:pPr>
            <w:r>
              <w:t>Figure 4: Forest plot showing the estimated difference between each study’s estimate and population-level estimate grouped by bilingual and monolingual group (the dotted line marks the approximate boundaries between the three groups).</w:t>
            </w:r>
          </w:p>
          <w:bookmarkEnd w:id="22"/>
        </w:tc>
      </w:tr>
    </w:tbl>
    <w:p w14:paraId="19D023A1">
      <w:pPr>
        <w:pStyle w:val="3"/>
      </w:pPr>
      <w:r>
        <w:t xml:space="preserve">As illustrated in </w:t>
      </w:r>
      <w:r>
        <w:fldChar w:fldCharType="begin"/>
      </w:r>
      <w:r>
        <w:instrText xml:space="preserve"> HYPERLINK \l "fig-fig4" \h </w:instrText>
      </w:r>
      <w:r>
        <w:fldChar w:fldCharType="separate"/>
      </w:r>
      <w:r>
        <w:rPr>
          <w:rStyle w:val="20"/>
        </w:rPr>
        <w:t>Figure 4</w:t>
      </w:r>
      <w:r>
        <w:rPr>
          <w:rStyle w:val="20"/>
        </w:rPr>
        <w:fldChar w:fldCharType="end"/>
      </w:r>
      <w:r>
        <w:t xml:space="preserve">, the studies seemed to be divided into three groups for each of the two plots. The estimated mean age at onsets for the first group of 8 studies were later than the population-level age at onset for around 3 to 8 years [Berkes et al. (2020); Bialystok et al. (2014); Chertkow et al. (2010); Clare et al. (2016); Craik et al. (2010); Ossher et al. (2013); Perani et al. (2017); E. V. Y. Woumans et al. (2015)). For the second group of 6 studies, the mean age at onsets were earlier than the population-level age at onset for around 6 to 10 years (Alladi et al. (2013); Alladi et al. (2017); Leon et al. (2020); Leon et al. (2024); Ramakrishnan et al. (2017); Mendez et al. (2020)). The third group of 4 studies (in the middle of the plot) were more complex, which clustered around the estimated population-level age at onset yet with different patterns for bilinguals and monolinguals (Bialystok et al., 2007; Duncan et al., 2018; Kowoll et al., 2016; Zheng et al., 2018). For instance, in Duncan et al. (2018), the estimated mean effect for the bilingual group was close to the population-level effect, but its monolinguals’ estimation was more than 5 years later than the population-level effect for monolinguals. Such a difference in monolingual and bilingual groups made Duncan et al. (2018) the only study that had a bilingual early mean dementia onset estimation, which is shown in the </w:t>
      </w:r>
      <w:r>
        <w:fldChar w:fldCharType="begin"/>
      </w:r>
      <w:r>
        <w:instrText xml:space="preserve"> HYPERLINK \l "fig-fig3" \h </w:instrText>
      </w:r>
      <w:r>
        <w:fldChar w:fldCharType="separate"/>
      </w:r>
      <w:r>
        <w:rPr>
          <w:rStyle w:val="20"/>
        </w:rPr>
        <w:t>Figure 3</w:t>
      </w:r>
      <w:r>
        <w:rPr>
          <w:rStyle w:val="20"/>
        </w:rPr>
        <w:fldChar w:fldCharType="end"/>
      </w:r>
      <w:r>
        <w:t>.</w:t>
      </w:r>
    </w:p>
    <w:p w14:paraId="52B26294">
      <w:pPr>
        <w:pStyle w:val="3"/>
      </w:pPr>
      <w:r>
        <w:t>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 (see 4.3.3).</w:t>
      </w:r>
    </w:p>
    <w:bookmarkEnd w:id="21"/>
    <w:p w14:paraId="06B1297D">
      <w:pPr>
        <w:pStyle w:val="5"/>
      </w:pPr>
      <w:bookmarkStart w:id="23" w:name="the-role-of-education-is-uncertain"/>
      <w:r>
        <w:t>The Role of Education is Uncertain</w:t>
      </w:r>
    </w:p>
    <w:p w14:paraId="05721154">
      <w:pPr>
        <w:pStyle w:val="23"/>
      </w:pPr>
      <w:r>
        <w:t>To examine whether years of education had an influence on the meta-analytic effect, I included years of education into the right side of previous Bayesian linear model. The results showed that the population-level effect of “years of education” on the age at onset of dementia was between -0.63 and 0.36 at 95% Crl (β = -0.11, Est.Error = 0.26). It was quite uncertain about the role of Education since the effect involves both negative and positive values. This indicates that we are still uncertain whether “years of education” has an effect on age at onset of dementia (either positive or negative) or not, based on the data in the meta-analysis.</w:t>
      </w:r>
    </w:p>
    <w:p w14:paraId="4B250422">
      <w:pPr>
        <w:pStyle w:val="3"/>
      </w:pPr>
      <w:r>
        <w:t>Additionally, the estimated mean age at dementia onsets for monolinguals and bilinguals was 69.62 years with a 95% Crl [63.16, 77.00] and 73.03 years with a 95% Crl [66.05, 80.53] after including years of education into the model. 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bookmarkEnd w:id="23"/>
    <w:p w14:paraId="5A34096E">
      <w:pPr>
        <w:pStyle w:val="5"/>
      </w:pPr>
      <w:bookmarkStart w:id="24" w:name="subgroup-analysis-of-dementia-type"/>
      <w:r>
        <w:t>Subgroup Analysis of Dementia Type</w:t>
      </w:r>
    </w:p>
    <w:p w14:paraId="6EDDCCBE">
      <w:pPr>
        <w:pStyle w:val="44"/>
      </w:pPr>
      <w:r>
        <w:t>Cross-sectional Studies of Three Dementia Subgroups</w:t>
      </w:r>
    </w:p>
    <w:tbl>
      <w:tblPr>
        <w:tblStyle w:val="41"/>
        <w:tblW w:w="5000" w:type="pct"/>
        <w:tblCaption w:val="Cross-sectional Studies of Three Dementia Subgroups"/>
        <w:tblInd w:w="0" w:type="dxa"/>
        <w:tblLayout w:type="fixed"/>
        <w:tblCellMar>
          <w:top w:w="0" w:type="dxa"/>
          <w:left w:w="108" w:type="dxa"/>
          <w:bottom w:w="0" w:type="dxa"/>
          <w:right w:w="108" w:type="dxa"/>
        </w:tblCellMar>
      </w:tblPr>
      <w:tblGrid>
        <w:gridCol w:w="2091"/>
        <w:gridCol w:w="2214"/>
        <w:gridCol w:w="2091"/>
        <w:gridCol w:w="2460"/>
      </w:tblGrid>
      <w:tr w14:paraId="1A9CCDC8">
        <w:trPr>
          <w:tblHeader/>
        </w:trPr>
        <w:tc>
          <w:p w14:paraId="12DADD75">
            <w:pPr>
              <w:pStyle w:val="24"/>
              <w:jc w:val="left"/>
            </w:pPr>
            <w:r>
              <w:t>Study</w:t>
            </w:r>
          </w:p>
        </w:tc>
        <w:tc>
          <w:p w14:paraId="528CE776">
            <w:pPr>
              <w:pStyle w:val="24"/>
              <w:jc w:val="left"/>
            </w:pPr>
            <w:r>
              <w:t>Dementia Diagnosis</w:t>
            </w:r>
          </w:p>
        </w:tc>
        <w:tc>
          <w:p w14:paraId="348B770C">
            <w:pPr>
              <w:pStyle w:val="24"/>
              <w:jc w:val="left"/>
            </w:pPr>
            <w:r>
              <w:t>Type of Dementia or MCI</w:t>
            </w:r>
          </w:p>
        </w:tc>
        <w:tc>
          <w:p w14:paraId="36EA5F40">
            <w:pPr>
              <w:pStyle w:val="24"/>
              <w:jc w:val="left"/>
            </w:pPr>
            <w:r>
              <w:t>Mean Age of Diagnosis &amp; Symptom Onset (SD)</w:t>
            </w:r>
          </w:p>
        </w:tc>
      </w:tr>
      <w:tr w14:paraId="60A0A0A3">
        <w:tc>
          <w:p w14:paraId="1C9A5084">
            <w:pPr>
              <w:pStyle w:val="24"/>
              <w:jc w:val="left"/>
            </w:pPr>
            <w:r>
              <w:t>Alladi et al. (2013)</w:t>
            </w:r>
          </w:p>
        </w:tc>
        <w:tc>
          <w:p w14:paraId="3156A22E">
            <w:pPr>
              <w:pStyle w:val="24"/>
              <w:jc w:val="left"/>
            </w:pPr>
            <w:r>
              <w:t>Cambridge Memory Clinic model</w:t>
            </w:r>
          </w:p>
        </w:tc>
        <w:tc>
          <w:p w14:paraId="54CBB56B">
            <w:pPr>
              <w:pStyle w:val="24"/>
              <w:jc w:val="left"/>
            </w:pPr>
            <w:r>
              <w:t>AD</w:t>
            </w:r>
          </w:p>
        </w:tc>
        <w:tc>
          <w:p w14:paraId="2B016B4A">
            <w:pPr>
              <w:pStyle w:val="24"/>
              <w:jc w:val="left"/>
            </w:pPr>
            <w:r>
              <w:t>ML: 65.4 (10.0); BL: 68.6 (9.6)</w:t>
            </w:r>
          </w:p>
        </w:tc>
      </w:tr>
      <w:tr w14:paraId="2A74092F">
        <w:tc>
          <w:p w14:paraId="1BA11A8F">
            <w:pPr>
              <w:pStyle w:val="24"/>
              <w:jc w:val="left"/>
            </w:pPr>
            <w:r>
              <w:t>Bialystok et al. (2007)</w:t>
            </w:r>
          </w:p>
        </w:tc>
        <w:tc>
          <w:p w14:paraId="736EADB6">
            <w:pPr>
              <w:pStyle w:val="24"/>
              <w:jc w:val="left"/>
            </w:pPr>
            <w:r>
              <w:t>NINCDS-ADRDA</w:t>
            </w:r>
          </w:p>
        </w:tc>
        <w:tc>
          <w:p w14:paraId="266D8CD1">
            <w:pPr>
              <w:pStyle w:val="24"/>
              <w:jc w:val="left"/>
            </w:pPr>
            <w:r>
              <w:t>AD</w:t>
            </w:r>
          </w:p>
        </w:tc>
        <w:tc>
          <w:p w14:paraId="4EE904A3">
            <w:pPr>
              <w:pStyle w:val="24"/>
              <w:jc w:val="left"/>
            </w:pPr>
            <w:r>
              <w:t>ML: 71.4 (9.6); BL: 75.5 (8.5)</w:t>
            </w:r>
          </w:p>
        </w:tc>
      </w:tr>
      <w:tr w14:paraId="0C3D7C9C">
        <w:tc>
          <w:p w14:paraId="59FD6AEE">
            <w:pPr>
              <w:pStyle w:val="24"/>
              <w:jc w:val="left"/>
            </w:pPr>
            <w:r>
              <w:t>Bialystok et al. (2014)</w:t>
            </w:r>
          </w:p>
        </w:tc>
        <w:tc>
          <w:p w14:paraId="2B9ECD7B">
            <w:pPr>
              <w:pStyle w:val="24"/>
              <w:jc w:val="left"/>
            </w:pPr>
            <w:r>
              <w:t>NA</w:t>
            </w:r>
          </w:p>
        </w:tc>
        <w:tc>
          <w:p w14:paraId="408517DB">
            <w:pPr>
              <w:pStyle w:val="24"/>
              <w:jc w:val="left"/>
            </w:pPr>
            <w:r>
              <w:t>AD</w:t>
            </w:r>
          </w:p>
        </w:tc>
        <w:tc>
          <w:p w14:paraId="1504EDD2">
            <w:pPr>
              <w:pStyle w:val="24"/>
              <w:jc w:val="left"/>
            </w:pPr>
            <w:r>
              <w:t>ML: 70.9 (11.0); BL: 78.2 (8.9)</w:t>
            </w:r>
          </w:p>
        </w:tc>
      </w:tr>
      <w:tr w14:paraId="67886E0B">
        <w:tc>
          <w:p w14:paraId="6EA4AED0">
            <w:pPr>
              <w:pStyle w:val="24"/>
              <w:jc w:val="left"/>
            </w:pPr>
            <w:r>
              <w:t>Berkes et al. (2020)</w:t>
            </w:r>
          </w:p>
        </w:tc>
        <w:tc>
          <w:p w14:paraId="0617442C">
            <w:pPr>
              <w:pStyle w:val="24"/>
              <w:jc w:val="left"/>
            </w:pPr>
            <w:r>
              <w:t>MMSE, MoCA</w:t>
            </w:r>
          </w:p>
        </w:tc>
        <w:tc>
          <w:p w14:paraId="01689F37">
            <w:pPr>
              <w:pStyle w:val="24"/>
              <w:jc w:val="left"/>
            </w:pPr>
            <w:r>
              <w:t>AD</w:t>
            </w:r>
          </w:p>
        </w:tc>
        <w:tc>
          <w:p w14:paraId="18B8AFE5">
            <w:pPr>
              <w:pStyle w:val="24"/>
              <w:jc w:val="left"/>
            </w:pPr>
            <w:r>
              <w:t>ML: 78.2 (7.7); BL: 79.8 (8.4)</w:t>
            </w:r>
          </w:p>
        </w:tc>
      </w:tr>
      <w:tr w14:paraId="63F73000">
        <w:tc>
          <w:p w14:paraId="64A43036">
            <w:pPr>
              <w:pStyle w:val="24"/>
              <w:jc w:val="left"/>
            </w:pPr>
            <w:r>
              <w:t>Chertkow et al. (2010)</w:t>
            </w:r>
          </w:p>
        </w:tc>
        <w:tc>
          <w:p w14:paraId="65C985B6">
            <w:pPr>
              <w:pStyle w:val="24"/>
              <w:jc w:val="left"/>
            </w:pPr>
            <w:r>
              <w:t>Patient &amp; caregiver interviews</w:t>
            </w:r>
          </w:p>
        </w:tc>
        <w:tc>
          <w:p w14:paraId="50C4F890">
            <w:pPr>
              <w:pStyle w:val="24"/>
              <w:jc w:val="left"/>
            </w:pPr>
            <w:r>
              <w:t>AD</w:t>
            </w:r>
          </w:p>
        </w:tc>
        <w:tc>
          <w:p w14:paraId="48C054A1">
            <w:pPr>
              <w:pStyle w:val="24"/>
              <w:jc w:val="left"/>
            </w:pPr>
            <w:r>
              <w:t>ML: 76.7 (7.8); BL: 77.6 (7.2)</w:t>
            </w:r>
          </w:p>
        </w:tc>
      </w:tr>
      <w:tr w14:paraId="39A00DA1">
        <w:tc>
          <w:p w14:paraId="02E049DB">
            <w:pPr>
              <w:pStyle w:val="24"/>
              <w:jc w:val="left"/>
            </w:pPr>
            <w:r>
              <w:t>Clare et al. (2016)</w:t>
            </w:r>
          </w:p>
        </w:tc>
        <w:tc>
          <w:p w14:paraId="1104E620">
            <w:pPr>
              <w:pStyle w:val="24"/>
              <w:jc w:val="left"/>
            </w:pPr>
            <w:r>
              <w:t>LQ-SV</w:t>
            </w:r>
          </w:p>
        </w:tc>
        <w:tc>
          <w:p w14:paraId="53C76C60">
            <w:pPr>
              <w:pStyle w:val="24"/>
              <w:jc w:val="left"/>
            </w:pPr>
            <w:r>
              <w:t>AD</w:t>
            </w:r>
          </w:p>
        </w:tc>
        <w:tc>
          <w:p w14:paraId="6E7D72EC">
            <w:pPr>
              <w:pStyle w:val="24"/>
              <w:jc w:val="left"/>
            </w:pPr>
            <w:r>
              <w:t>ML: 76.2 (8.75); BL: 79.3 (6.78)</w:t>
            </w:r>
          </w:p>
        </w:tc>
      </w:tr>
      <w:tr w14:paraId="32A6F7A1">
        <w:tc>
          <w:p w14:paraId="6AF191DE">
            <w:pPr>
              <w:pStyle w:val="24"/>
              <w:jc w:val="left"/>
            </w:pPr>
            <w:r>
              <w:t>Craik et al. (2010)</w:t>
            </w:r>
          </w:p>
        </w:tc>
        <w:tc>
          <w:p w14:paraId="5829C7AF">
            <w:pPr>
              <w:pStyle w:val="24"/>
              <w:jc w:val="left"/>
            </w:pPr>
            <w:r>
              <w:t>NA</w:t>
            </w:r>
          </w:p>
        </w:tc>
        <w:tc>
          <w:p w14:paraId="4B1478C8">
            <w:pPr>
              <w:pStyle w:val="24"/>
              <w:jc w:val="left"/>
            </w:pPr>
            <w:r>
              <w:t>AD</w:t>
            </w:r>
          </w:p>
        </w:tc>
        <w:tc>
          <w:p w14:paraId="2C111829">
            <w:pPr>
              <w:pStyle w:val="24"/>
              <w:jc w:val="left"/>
            </w:pPr>
            <w:r>
              <w:t>ML: 72.6 (10); BL: 77.7 (7.9)</w:t>
            </w:r>
          </w:p>
        </w:tc>
      </w:tr>
      <w:tr w14:paraId="0921562A">
        <w:tc>
          <w:p w14:paraId="15CE3166">
            <w:pPr>
              <w:pStyle w:val="24"/>
              <w:jc w:val="left"/>
            </w:pPr>
            <w:r>
              <w:t>Leon et al. (2020)</w:t>
            </w:r>
          </w:p>
        </w:tc>
        <w:tc>
          <w:p w14:paraId="5CED314A">
            <w:pPr>
              <w:pStyle w:val="24"/>
              <w:jc w:val="left"/>
            </w:pPr>
            <w:r>
              <w:t>NA</w:t>
            </w:r>
          </w:p>
        </w:tc>
        <w:tc>
          <w:p w14:paraId="0088AEB4">
            <w:pPr>
              <w:pStyle w:val="24"/>
              <w:jc w:val="left"/>
            </w:pPr>
            <w:r>
              <w:t>AD</w:t>
            </w:r>
          </w:p>
        </w:tc>
        <w:tc>
          <w:p w14:paraId="41926DA7">
            <w:pPr>
              <w:pStyle w:val="24"/>
              <w:jc w:val="left"/>
            </w:pPr>
            <w:r>
              <w:t>ML: 60.3 (9.8); BL: 61.9 (9.8)</w:t>
            </w:r>
          </w:p>
        </w:tc>
      </w:tr>
      <w:tr w14:paraId="13300E6A">
        <w:tc>
          <w:p w14:paraId="2AF4F0E0">
            <w:pPr>
              <w:pStyle w:val="24"/>
              <w:jc w:val="left"/>
            </w:pPr>
            <w:r>
              <w:t>Duncan et al. (2018)</w:t>
            </w:r>
          </w:p>
        </w:tc>
        <w:tc>
          <w:p w14:paraId="45066D87">
            <w:pPr>
              <w:pStyle w:val="24"/>
              <w:jc w:val="left"/>
            </w:pPr>
            <w:r>
              <w:t>NINCDS-ADRDA</w:t>
            </w:r>
          </w:p>
        </w:tc>
        <w:tc>
          <w:p w14:paraId="015DCBE0">
            <w:pPr>
              <w:pStyle w:val="24"/>
              <w:jc w:val="left"/>
            </w:pPr>
            <w:r>
              <w:t>AD</w:t>
            </w:r>
          </w:p>
        </w:tc>
        <w:tc>
          <w:p w14:paraId="7A454DCD">
            <w:pPr>
              <w:pStyle w:val="24"/>
              <w:jc w:val="left"/>
            </w:pPr>
            <w:r>
              <w:t>ML: 74.3 (1.5); BL: 72.6 (1.6)</w:t>
            </w:r>
          </w:p>
        </w:tc>
      </w:tr>
      <w:tr w14:paraId="1B07FDF5">
        <w:tc>
          <w:p w14:paraId="5FF22DD6">
            <w:pPr>
              <w:pStyle w:val="24"/>
              <w:jc w:val="left"/>
            </w:pPr>
            <w:r>
              <w:t>Kowoll et al. (2016)</w:t>
            </w:r>
          </w:p>
        </w:tc>
        <w:tc>
          <w:p w14:paraId="2CB20005">
            <w:pPr>
              <w:pStyle w:val="24"/>
              <w:jc w:val="left"/>
            </w:pPr>
            <w:r>
              <w:t>NINCDS-ADRDA</w:t>
            </w:r>
          </w:p>
        </w:tc>
        <w:tc>
          <w:p w14:paraId="434917D9">
            <w:pPr>
              <w:pStyle w:val="24"/>
              <w:jc w:val="left"/>
            </w:pPr>
            <w:r>
              <w:t>AD</w:t>
            </w:r>
          </w:p>
        </w:tc>
        <w:tc>
          <w:p w14:paraId="16901EE6">
            <w:pPr>
              <w:pStyle w:val="24"/>
              <w:jc w:val="left"/>
            </w:pPr>
            <w:r>
              <w:t>ML: 71.6 (7.9); BL: 74.6 (6.8)</w:t>
            </w:r>
          </w:p>
        </w:tc>
      </w:tr>
      <w:tr w14:paraId="428C688C">
        <w:tc>
          <w:p w14:paraId="47F14E17">
            <w:pPr>
              <w:pStyle w:val="24"/>
              <w:jc w:val="left"/>
            </w:pPr>
            <w:r>
              <w:t>Perani et al. (2017)</w:t>
            </w:r>
          </w:p>
        </w:tc>
        <w:tc>
          <w:p w14:paraId="62D9EF4D">
            <w:pPr>
              <w:pStyle w:val="24"/>
              <w:jc w:val="left"/>
            </w:pPr>
            <w:r>
              <w:t>NIA-AA</w:t>
            </w:r>
          </w:p>
        </w:tc>
        <w:tc>
          <w:p w14:paraId="3A4641B5">
            <w:pPr>
              <w:pStyle w:val="24"/>
              <w:jc w:val="left"/>
            </w:pPr>
            <w:r>
              <w:t>AD</w:t>
            </w:r>
          </w:p>
        </w:tc>
        <w:tc>
          <w:p w14:paraId="61AF823C">
            <w:pPr>
              <w:pStyle w:val="24"/>
              <w:jc w:val="left"/>
            </w:pPr>
            <w:r>
              <w:t>ML: 71.4 (4.88); BL: 77.1 (4.52)</w:t>
            </w:r>
          </w:p>
        </w:tc>
      </w:tr>
      <w:tr w14:paraId="0A94050D">
        <w:tc>
          <w:p w14:paraId="48269B84">
            <w:pPr>
              <w:pStyle w:val="24"/>
              <w:jc w:val="left"/>
            </w:pPr>
            <w:r>
              <w:t>Mendez et al. (2020)</w:t>
            </w:r>
          </w:p>
        </w:tc>
        <w:tc>
          <w:p w14:paraId="49B9CCD4">
            <w:pPr>
              <w:pStyle w:val="24"/>
              <w:jc w:val="left"/>
            </w:pPr>
            <w:r>
              <w:t>NIA-AA</w:t>
            </w:r>
          </w:p>
        </w:tc>
        <w:tc>
          <w:p w14:paraId="6A0F0ED2">
            <w:pPr>
              <w:pStyle w:val="24"/>
              <w:jc w:val="left"/>
            </w:pPr>
            <w:r>
              <w:t>AD</w:t>
            </w:r>
          </w:p>
        </w:tc>
        <w:tc>
          <w:p w14:paraId="113D4E81">
            <w:pPr>
              <w:pStyle w:val="24"/>
              <w:jc w:val="left"/>
            </w:pPr>
            <w:r>
              <w:t>ML: 58 (10.7); BL: 62.4 (10.5)</w:t>
            </w:r>
          </w:p>
        </w:tc>
      </w:tr>
      <w:tr w14:paraId="65C7DB77">
        <w:tc>
          <w:p w14:paraId="157A0AA7">
            <w:pPr>
              <w:pStyle w:val="24"/>
              <w:jc w:val="left"/>
            </w:pPr>
            <w:r>
              <w:t>E. V. Y. Woumans et al. (2015)</w:t>
            </w:r>
          </w:p>
        </w:tc>
        <w:tc>
          <w:p w14:paraId="08147BFD">
            <w:pPr>
              <w:pStyle w:val="24"/>
              <w:jc w:val="left"/>
            </w:pPr>
            <w:r>
              <w:t>Neurologist + Neuropsychologist</w:t>
            </w:r>
          </w:p>
        </w:tc>
        <w:tc>
          <w:p w14:paraId="3261B660">
            <w:pPr>
              <w:pStyle w:val="24"/>
              <w:jc w:val="left"/>
            </w:pPr>
            <w:r>
              <w:t>AD</w:t>
            </w:r>
          </w:p>
        </w:tc>
        <w:tc>
          <w:p w14:paraId="7778D13F">
            <w:pPr>
              <w:pStyle w:val="24"/>
              <w:jc w:val="left"/>
            </w:pPr>
            <w:r>
              <w:t>ML: 73.8 (8.8); BL: 75.5 (8.2)</w:t>
            </w:r>
          </w:p>
        </w:tc>
      </w:tr>
      <w:tr w14:paraId="15353BFA">
        <w:tc>
          <w:p w14:paraId="0C7FCF97">
            <w:pPr>
              <w:pStyle w:val="24"/>
              <w:jc w:val="left"/>
            </w:pPr>
            <w:r>
              <w:t>Zheng et al. (2018)</w:t>
            </w:r>
          </w:p>
        </w:tc>
        <w:tc>
          <w:p w14:paraId="355B8916">
            <w:pPr>
              <w:pStyle w:val="24"/>
              <w:jc w:val="left"/>
            </w:pPr>
            <w:r>
              <w:t>NINCDS-ADRDA</w:t>
            </w:r>
          </w:p>
        </w:tc>
        <w:tc>
          <w:p w14:paraId="29230379">
            <w:pPr>
              <w:pStyle w:val="24"/>
              <w:jc w:val="left"/>
            </w:pPr>
            <w:r>
              <w:t>AD</w:t>
            </w:r>
          </w:p>
        </w:tc>
        <w:tc>
          <w:p w14:paraId="349A4AAB">
            <w:pPr>
              <w:pStyle w:val="24"/>
              <w:jc w:val="left"/>
            </w:pPr>
            <w:r>
              <w:t>ML: 63.9 (96.5), 63.4 (8.94); BL: 70.9 (9.37)</w:t>
            </w:r>
          </w:p>
        </w:tc>
      </w:tr>
      <w:tr w14:paraId="0D877F2A">
        <w:tc>
          <w:p w14:paraId="3AD1DA20">
            <w:pPr>
              <w:pStyle w:val="24"/>
              <w:jc w:val="left"/>
            </w:pPr>
            <w:r>
              <w:t>Alladi et al. (2013)</w:t>
            </w:r>
          </w:p>
        </w:tc>
        <w:tc>
          <w:p w14:paraId="6076A605">
            <w:pPr>
              <w:pStyle w:val="24"/>
              <w:jc w:val="left"/>
            </w:pPr>
            <w:r>
              <w:t>Cambridge Memory Clinic model</w:t>
            </w:r>
          </w:p>
        </w:tc>
        <w:tc>
          <w:p w14:paraId="67676523">
            <w:pPr>
              <w:pStyle w:val="24"/>
              <w:jc w:val="left"/>
            </w:pPr>
            <w:r>
              <w:t>FTD</w:t>
            </w:r>
          </w:p>
        </w:tc>
        <w:tc>
          <w:p w14:paraId="47C4B743">
            <w:pPr>
              <w:pStyle w:val="24"/>
              <w:jc w:val="left"/>
            </w:pPr>
            <w:r>
              <w:t>ML: 55.6 (10.5); BL: 61.6 (9)</w:t>
            </w:r>
          </w:p>
        </w:tc>
      </w:tr>
      <w:tr w14:paraId="2ABD9164">
        <w:tc>
          <w:p w14:paraId="20698EB9">
            <w:pPr>
              <w:pStyle w:val="24"/>
              <w:jc w:val="left"/>
            </w:pPr>
            <w:r>
              <w:t>Alladi et al. (2017)</w:t>
            </w:r>
          </w:p>
        </w:tc>
        <w:tc>
          <w:p w14:paraId="37EB1AE4">
            <w:pPr>
              <w:pStyle w:val="24"/>
              <w:jc w:val="left"/>
            </w:pPr>
            <w:r>
              <w:t>MMSE, ACE-R, CDR, FrSBe</w:t>
            </w:r>
          </w:p>
        </w:tc>
        <w:tc>
          <w:p w14:paraId="457D5F3C">
            <w:pPr>
              <w:pStyle w:val="24"/>
              <w:jc w:val="left"/>
            </w:pPr>
            <w:r>
              <w:t>FTD</w:t>
            </w:r>
          </w:p>
        </w:tc>
        <w:tc>
          <w:p w14:paraId="4F422815">
            <w:pPr>
              <w:pStyle w:val="24"/>
              <w:jc w:val="left"/>
            </w:pPr>
            <w:r>
              <w:t>ML: 58.4 (9.3); BL: 61.7 (9.1)</w:t>
            </w:r>
          </w:p>
        </w:tc>
      </w:tr>
      <w:tr w14:paraId="3D6EF32A">
        <w:tc>
          <w:p w14:paraId="7D35B44A">
            <w:pPr>
              <w:pStyle w:val="24"/>
              <w:jc w:val="left"/>
            </w:pPr>
            <w:r>
              <w:t>Leon et al. (2024)</w:t>
            </w:r>
          </w:p>
        </w:tc>
        <w:tc>
          <w:p w14:paraId="456BD37D">
            <w:pPr>
              <w:pStyle w:val="24"/>
              <w:jc w:val="left"/>
            </w:pPr>
            <w:r>
              <w:t>NA</w:t>
            </w:r>
          </w:p>
        </w:tc>
        <w:tc>
          <w:p w14:paraId="29403C0C">
            <w:pPr>
              <w:pStyle w:val="24"/>
              <w:jc w:val="left"/>
            </w:pPr>
            <w:r>
              <w:t>FTD</w:t>
            </w:r>
          </w:p>
        </w:tc>
        <w:tc>
          <w:p w14:paraId="78B8E0F5">
            <w:pPr>
              <w:pStyle w:val="24"/>
              <w:jc w:val="left"/>
            </w:pPr>
            <w:r>
              <w:t>ML: 59 (9.2); BL: 61.4 (7.9)</w:t>
            </w:r>
          </w:p>
        </w:tc>
      </w:tr>
      <w:tr w14:paraId="19103898">
        <w:tc>
          <w:p w14:paraId="36B3D80D">
            <w:pPr>
              <w:pStyle w:val="24"/>
              <w:jc w:val="left"/>
            </w:pPr>
            <w:r>
              <w:t>Berkes et al. (2020)</w:t>
            </w:r>
          </w:p>
        </w:tc>
        <w:tc>
          <w:p w14:paraId="79AE0F32">
            <w:pPr>
              <w:pStyle w:val="24"/>
              <w:jc w:val="left"/>
            </w:pPr>
            <w:r>
              <w:t>MMSE, MoCA</w:t>
            </w:r>
          </w:p>
        </w:tc>
        <w:tc>
          <w:p w14:paraId="537A0CB9">
            <w:pPr>
              <w:pStyle w:val="24"/>
              <w:jc w:val="left"/>
            </w:pPr>
            <w:r>
              <w:t>MCI</w:t>
            </w:r>
          </w:p>
        </w:tc>
        <w:tc>
          <w:p w14:paraId="78A01B3C">
            <w:pPr>
              <w:pStyle w:val="24"/>
              <w:jc w:val="left"/>
            </w:pPr>
            <w:r>
              <w:t>ML: 75.5 (7.6); BL: 77.8 (8.2)</w:t>
            </w:r>
          </w:p>
        </w:tc>
      </w:tr>
      <w:tr w14:paraId="0F959AD2">
        <w:tc>
          <w:p w14:paraId="31F0B27A">
            <w:pPr>
              <w:pStyle w:val="24"/>
              <w:jc w:val="left"/>
            </w:pPr>
            <w:r>
              <w:t>Ossher et al. (2013)</w:t>
            </w:r>
          </w:p>
        </w:tc>
        <w:tc>
          <w:p w14:paraId="4A0566FB">
            <w:pPr>
              <w:pStyle w:val="24"/>
              <w:jc w:val="left"/>
            </w:pPr>
            <w:r>
              <w:t>Neuropsychological interview</w:t>
            </w:r>
          </w:p>
        </w:tc>
        <w:tc>
          <w:p w14:paraId="7E10398E">
            <w:pPr>
              <w:pStyle w:val="24"/>
              <w:jc w:val="left"/>
            </w:pPr>
            <w:r>
              <w:t>Single Domain aMCI</w:t>
            </w:r>
          </w:p>
        </w:tc>
        <w:tc>
          <w:p w14:paraId="4029AC65">
            <w:pPr>
              <w:pStyle w:val="24"/>
              <w:jc w:val="left"/>
            </w:pPr>
            <w:r>
              <w:t>ML: 74.9 (49); BL: 79.4 (6.3)</w:t>
            </w:r>
          </w:p>
        </w:tc>
      </w:tr>
      <w:tr w14:paraId="691F9B94">
        <w:tc>
          <w:p w14:paraId="2411972F">
            <w:pPr>
              <w:pStyle w:val="24"/>
              <w:jc w:val="left"/>
            </w:pPr>
            <w:r>
              <w:t>Ossher et al. (2013)</w:t>
            </w:r>
          </w:p>
        </w:tc>
        <w:tc>
          <w:p w14:paraId="4C1495E4">
            <w:pPr>
              <w:pStyle w:val="24"/>
              <w:jc w:val="left"/>
            </w:pPr>
            <w:r>
              <w:t>Neuropsychological interview</w:t>
            </w:r>
          </w:p>
        </w:tc>
        <w:tc>
          <w:p w14:paraId="6560AC70">
            <w:pPr>
              <w:pStyle w:val="24"/>
              <w:jc w:val="left"/>
            </w:pPr>
            <w:r>
              <w:t>Multiple Domain aMCI</w:t>
            </w:r>
          </w:p>
        </w:tc>
        <w:tc>
          <w:p w14:paraId="432075F1">
            <w:pPr>
              <w:pStyle w:val="24"/>
              <w:jc w:val="left"/>
            </w:pPr>
            <w:r>
              <w:t>ML: 75.2 (8.5); BL: 72.6 (7.2)</w:t>
            </w:r>
          </w:p>
        </w:tc>
      </w:tr>
      <w:tr w14:paraId="0F5F31EE">
        <w:tc>
          <w:p w14:paraId="2142B4FC">
            <w:pPr>
              <w:pStyle w:val="24"/>
              <w:jc w:val="left"/>
            </w:pPr>
            <w:r>
              <w:t>Ramakrishnan et al. (2017)</w:t>
            </w:r>
          </w:p>
        </w:tc>
        <w:tc>
          <w:p w14:paraId="3FA8D027">
            <w:pPr>
              <w:pStyle w:val="24"/>
              <w:jc w:val="left"/>
            </w:pPr>
            <w:r>
              <w:t>Petersen’s criteria</w:t>
            </w:r>
          </w:p>
        </w:tc>
        <w:tc>
          <w:p w14:paraId="0E1A71FB">
            <w:pPr>
              <w:pStyle w:val="24"/>
              <w:jc w:val="left"/>
            </w:pPr>
            <w:r>
              <w:t>MCI</w:t>
            </w:r>
          </w:p>
        </w:tc>
        <w:tc>
          <w:p w14:paraId="58F35904">
            <w:pPr>
              <w:pStyle w:val="24"/>
              <w:jc w:val="left"/>
            </w:pPr>
            <w:r>
              <w:t>ML: 55.8 (12.2); BL: 63.2 (10.1)</w:t>
            </w:r>
          </w:p>
        </w:tc>
      </w:tr>
    </w:tbl>
    <w:p w14:paraId="21A17B68">
      <w:pPr>
        <w:pStyle w:val="3"/>
      </w:pPr>
      <w:r>
        <w:rPr>
          <w:b/>
          <w:bCs/>
        </w:rPr>
        <w:t>Abbreviations</w:t>
      </w:r>
      <w:r>
        <w:t>: ML = Monolinguals; BL = Bilinguals; AD = Alzheimer’s Disease, FTD = Frontotemporal Dementia, MCI = Mild Cognitive Impairment; aMCI = Amnestic Mild Cognitive Impairment</w:t>
      </w:r>
      <w:r>
        <w:rPr>
          <w:rFonts w:hint="eastAsia" w:eastAsia="宋体"/>
          <w:lang w:val="en-US" w:eastAsia="zh-CN"/>
        </w:rPr>
        <w:t>;</w:t>
      </w:r>
      <w:r>
        <w:br w:type="textWrapping"/>
      </w:r>
      <w:r>
        <w:t>ACE-R = Addenbrooke’s Cognitive Examination-revised; FrSBe = Frontal Systems Behaviour Scale;</w:t>
      </w:r>
      <w:r>
        <w:rPr>
          <w:rFonts w:hint="eastAsia" w:eastAsia="宋体"/>
          <w:lang w:val="en-US" w:eastAsia="zh-CN"/>
        </w:rPr>
        <w:t xml:space="preserve"> </w:t>
      </w:r>
      <w:r>
        <w:rPr>
          <w:color w:val="FF0000"/>
        </w:rPr>
        <w:t>LQ-SV = Language Questionnaire - Short Version</w:t>
      </w:r>
      <w:r>
        <w:t>;</w:t>
      </w:r>
      <w:r>
        <w:br w:type="textWrapping"/>
      </w:r>
      <w:r>
        <w:t>MMSE = Mini-Mental State Examination; MoCA = Montreal Cognitive Assessment;</w:t>
      </w:r>
      <w:r>
        <w:rPr>
          <w:rFonts w:hint="eastAsia" w:eastAsia="宋体"/>
          <w:lang w:val="en-US" w:eastAsia="zh-CN"/>
        </w:rPr>
        <w:t xml:space="preserve"> </w:t>
      </w:r>
      <w:r>
        <w:t>NINCDS-ADRDA = National Institute on Aging-Alzheimer’s Association consensus criteria</w:t>
      </w:r>
    </w:p>
    <w:p w14:paraId="6B3D378B">
      <w:pPr>
        <w:pStyle w:val="3"/>
      </w:pPr>
      <w:r>
        <w:t>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 (Alladi et al., 2013; Berkes et al., 2020) involved more than one type of dementia. For each subgroup, a Bayesian linear regression model which is similar to the main meta-analysis was employed with the same priors that had been set before.</w:t>
      </w:r>
    </w:p>
    <w:tbl>
      <w:tblPr>
        <w:tblStyle w:val="41"/>
        <w:tblW w:w="5000" w:type="pct"/>
        <w:tblInd w:w="0" w:type="dxa"/>
        <w:tblLayout w:type="fixed"/>
        <w:tblCellMar>
          <w:top w:w="0" w:type="dxa"/>
          <w:left w:w="108" w:type="dxa"/>
          <w:bottom w:w="0" w:type="dxa"/>
          <w:right w:w="108" w:type="dxa"/>
        </w:tblCellMar>
      </w:tblPr>
      <w:tblGrid>
        <w:gridCol w:w="8856"/>
      </w:tblGrid>
      <w:tr w14:paraId="2FA33632">
        <w:tc>
          <w:p w14:paraId="6017FC21">
            <w:pPr>
              <w:pStyle w:val="24"/>
              <w:jc w:val="center"/>
            </w:pPr>
            <w:bookmarkStart w:id="25" w:name="fig-fig5"/>
            <w:r>
              <w:drawing>
                <wp:inline distT="0" distB="0" distL="114300" distR="114300">
                  <wp:extent cx="5334000" cy="4267200"/>
                  <wp:effectExtent l="0" t="0" r="0" b="0"/>
                  <wp:docPr id="5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pic:cNvPicPr>
                            <a:picLocks noChangeAspect="1" noChangeArrowheads="1"/>
                          </pic:cNvPicPr>
                        </pic:nvPicPr>
                        <pic:blipFill>
                          <a:blip r:embed="rId10"/>
                          <a:stretch>
                            <a:fillRect/>
                          </a:stretch>
                        </pic:blipFill>
                        <pic:spPr>
                          <a:xfrm>
                            <a:off x="0" y="0"/>
                            <a:ext cx="5334000" cy="4267200"/>
                          </a:xfrm>
                          <a:prstGeom prst="rect">
                            <a:avLst/>
                          </a:prstGeom>
                          <a:noFill/>
                          <a:ln w="9525">
                            <a:noFill/>
                          </a:ln>
                        </pic:spPr>
                      </pic:pic>
                    </a:graphicData>
                  </a:graphic>
                </wp:inline>
              </w:drawing>
            </w:r>
          </w:p>
          <w:p w14:paraId="4975E496">
            <w:pPr>
              <w:pStyle w:val="45"/>
              <w:spacing w:before="200"/>
              <w:jc w:val="left"/>
            </w:pPr>
            <w:r>
              <w:t>Figure 5: AD Subgroup: Forest plot of Bilingualism and Age at Onset of Dementia</w:t>
            </w:r>
          </w:p>
          <w:bookmarkEnd w:id="25"/>
        </w:tc>
      </w:tr>
    </w:tbl>
    <w:p w14:paraId="7E4651F6">
      <w:pPr>
        <w:pStyle w:val="3"/>
      </w:pPr>
      <w:r>
        <w:t xml:space="preserve">For the AD dementia subgroup (see </w:t>
      </w:r>
      <w:r>
        <w:fldChar w:fldCharType="begin"/>
      </w:r>
      <w:r>
        <w:instrText xml:space="preserve"> HYPERLINK \l "fig-fig5" \h </w:instrText>
      </w:r>
      <w:r>
        <w:fldChar w:fldCharType="separate"/>
      </w:r>
      <w:r>
        <w:rPr>
          <w:rStyle w:val="20"/>
        </w:rPr>
        <w:t>Figure 5</w:t>
      </w:r>
      <w:r>
        <w:rPr>
          <w:rStyle w:val="20"/>
        </w:rPr>
        <w:fldChar w:fldCharType="end"/>
      </w:r>
      <w:r>
        <w:t xml:space="preserve"> for the forest plot), the results showed that at the population-level, monolinguals had an age at AD onset at 70.39 years with a 95%Crl [66.90, 73.33] while the age at AD onset for bilinguals was 73.68 with a 95%Crl [70.59, 76.69]. 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the group-level estimated effects for </w:t>
      </w:r>
      <w:r>
        <w:rPr>
          <w:color w:val="FF0000"/>
        </w:rPr>
        <w:t>monolingual group and bilingual group</w:t>
      </w:r>
      <w:r>
        <w:t xml:space="preserve"> were 6.09 and 5.57.</w:t>
      </w:r>
    </w:p>
    <w:tbl>
      <w:tblPr>
        <w:tblStyle w:val="41"/>
        <w:tblW w:w="5000" w:type="pct"/>
        <w:tblInd w:w="0" w:type="dxa"/>
        <w:tblLayout w:type="fixed"/>
        <w:tblCellMar>
          <w:top w:w="0" w:type="dxa"/>
          <w:left w:w="108" w:type="dxa"/>
          <w:bottom w:w="0" w:type="dxa"/>
          <w:right w:w="108" w:type="dxa"/>
        </w:tblCellMar>
      </w:tblPr>
      <w:tblGrid>
        <w:gridCol w:w="8856"/>
      </w:tblGrid>
      <w:tr w14:paraId="7CD4A1EE">
        <w:tc>
          <w:p w14:paraId="4B11FC4C">
            <w:pPr>
              <w:pStyle w:val="24"/>
              <w:jc w:val="center"/>
            </w:pPr>
            <w:bookmarkStart w:id="26" w:name="fig-fig6"/>
            <w:r>
              <w:drawing>
                <wp:inline distT="0" distB="0" distL="114300" distR="114300">
                  <wp:extent cx="5334000" cy="4267200"/>
                  <wp:effectExtent l="0" t="0" r="0" b="0"/>
                  <wp:docPr id="6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stretch>
                            <a:fillRect/>
                          </a:stretch>
                        </pic:blipFill>
                        <pic:spPr>
                          <a:xfrm>
                            <a:off x="0" y="0"/>
                            <a:ext cx="5334000" cy="4267200"/>
                          </a:xfrm>
                          <a:prstGeom prst="rect">
                            <a:avLst/>
                          </a:prstGeom>
                          <a:noFill/>
                          <a:ln w="9525">
                            <a:noFill/>
                          </a:ln>
                        </pic:spPr>
                      </pic:pic>
                    </a:graphicData>
                  </a:graphic>
                </wp:inline>
              </w:drawing>
            </w:r>
          </w:p>
          <w:p w14:paraId="7EEFB46D">
            <w:pPr>
              <w:pStyle w:val="45"/>
              <w:spacing w:before="200"/>
              <w:jc w:val="left"/>
            </w:pPr>
            <w:r>
              <w:t>Figure 6: FTD Subgroup: Forest plot of Bilingualism and Age at Onset of Dementia</w:t>
            </w:r>
          </w:p>
          <w:bookmarkEnd w:id="26"/>
        </w:tc>
      </w:tr>
    </w:tbl>
    <w:p w14:paraId="72EFACC8">
      <w:pPr>
        <w:pStyle w:val="49"/>
      </w:pPr>
      <w:r>
        <w:br w:type="textWrapping"/>
      </w:r>
      <w:r>
        <w:rPr>
          <w:rStyle w:val="48"/>
        </w:rPr>
        <w:t xml:space="preserve"> Term                            Contrast Estimate 2.5 % 97.5 %</w:t>
      </w:r>
      <w:r>
        <w:br w:type="textWrapping"/>
      </w:r>
      <w:r>
        <w:rPr>
          <w:rStyle w:val="48"/>
        </w:rPr>
        <w:t xml:space="preserve"> mobi mean(bilingual) - mean(monolingual)     3.76  1.46   6.26</w:t>
      </w:r>
      <w:r>
        <w:br w:type="textWrapping"/>
      </w:r>
      <w:r>
        <w:br w:type="textWrapping"/>
      </w:r>
      <w:r>
        <w:rPr>
          <w:rStyle w:val="48"/>
        </w:rPr>
        <w:t xml:space="preserve">Columns: term, contrast, estimate, conf.low, conf.high, predicted_lo, predicted_hi, predicted, tmp_idx </w:t>
      </w:r>
      <w:r>
        <w:br w:type="textWrapping"/>
      </w:r>
      <w:r>
        <w:rPr>
          <w:rStyle w:val="48"/>
        </w:rPr>
        <w:t xml:space="preserve">Type:  response </w:t>
      </w:r>
    </w:p>
    <w:p w14:paraId="209E7FDD">
      <w:pPr>
        <w:pStyle w:val="23"/>
      </w:pPr>
      <w:r>
        <w:t xml:space="preserve">For FTD dementia subgroup (see </w:t>
      </w:r>
      <w:r>
        <w:fldChar w:fldCharType="begin"/>
      </w:r>
      <w:r>
        <w:instrText xml:space="preserve"> HYPERLINK \l "fig-fig6" \h </w:instrText>
      </w:r>
      <w:r>
        <w:fldChar w:fldCharType="separate"/>
      </w:r>
      <w:r>
        <w:rPr>
          <w:rStyle w:val="20"/>
        </w:rPr>
        <w:t>Figure 6</w:t>
      </w:r>
      <w:r>
        <w:rPr>
          <w:rStyle w:val="20"/>
        </w:rPr>
        <w:fldChar w:fldCharType="end"/>
      </w:r>
      <w:r>
        <w:t xml:space="preserve"> for the forest plot), the estimated age at FTD onsets for monolinguals and bilinguals were 58.02 with a 95%Crl [52.95, 62.84] and 61.44 with a 95%Crl [57.01, 64.35], which were largely lower than the main meta-analytic effect and AD subgroup’s onset.Using avg_comparisons() again, the average difference in marginal effects for bilinguals and monolinguals was 3.76 with a 95%Crl [1.46, 6.26]. This showed that bilinguals are estimated to be 3.76 years older than monolinguals on average when having the first symptom onset for FTD type of dementia. The heterogeneity level was even lower in this group as since the group-level estimated effects for </w:t>
      </w:r>
      <w:r>
        <w:rPr>
          <w:color w:val="FF0000"/>
        </w:rPr>
        <w:t>monolingual group and bilingual group</w:t>
      </w:r>
      <w:r>
        <w:t xml:space="preserve"> were 2.92 and 1.61. Yet, the relatively low number of studies might have contributed to the low heterogeneity and the wide 95%Crl of the estimated difference between bilinguals and monolinguals at the population level.</w:t>
      </w:r>
    </w:p>
    <w:tbl>
      <w:tblPr>
        <w:tblStyle w:val="41"/>
        <w:tblW w:w="5000" w:type="pct"/>
        <w:tblInd w:w="0" w:type="dxa"/>
        <w:tblLayout w:type="fixed"/>
        <w:tblCellMar>
          <w:top w:w="0" w:type="dxa"/>
          <w:left w:w="108" w:type="dxa"/>
          <w:bottom w:w="0" w:type="dxa"/>
          <w:right w:w="108" w:type="dxa"/>
        </w:tblCellMar>
      </w:tblPr>
      <w:tblGrid>
        <w:gridCol w:w="8856"/>
      </w:tblGrid>
      <w:tr w14:paraId="0E321028">
        <w:tc>
          <w:p w14:paraId="67DB1663">
            <w:pPr>
              <w:pStyle w:val="24"/>
              <w:jc w:val="center"/>
            </w:pPr>
            <w:bookmarkStart w:id="27" w:name="fig-fig7"/>
            <w:r>
              <w:drawing>
                <wp:inline distT="0" distB="0" distL="114300" distR="114300">
                  <wp:extent cx="5334000" cy="4267200"/>
                  <wp:effectExtent l="0" t="0" r="0" b="0"/>
                  <wp:docPr id="6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pic:cNvPicPr>
                            <a:picLocks noChangeAspect="1" noChangeArrowheads="1"/>
                          </pic:cNvPicPr>
                        </pic:nvPicPr>
                        <pic:blipFill>
                          <a:blip r:embed="rId12"/>
                          <a:stretch>
                            <a:fillRect/>
                          </a:stretch>
                        </pic:blipFill>
                        <pic:spPr>
                          <a:xfrm>
                            <a:off x="0" y="0"/>
                            <a:ext cx="5334000" cy="4267200"/>
                          </a:xfrm>
                          <a:prstGeom prst="rect">
                            <a:avLst/>
                          </a:prstGeom>
                          <a:noFill/>
                          <a:ln w="9525">
                            <a:noFill/>
                          </a:ln>
                        </pic:spPr>
                      </pic:pic>
                    </a:graphicData>
                  </a:graphic>
                </wp:inline>
              </w:drawing>
            </w:r>
          </w:p>
          <w:p w14:paraId="3279667E">
            <w:pPr>
              <w:pStyle w:val="45"/>
              <w:spacing w:before="200"/>
              <w:jc w:val="left"/>
            </w:pPr>
            <w:r>
              <w:t>Figure 7: MCI Subgroup: Forest plot of Bilingualism and Age at Onset of Dementia</w:t>
            </w:r>
          </w:p>
          <w:bookmarkEnd w:id="27"/>
        </w:tc>
      </w:tr>
    </w:tbl>
    <w:p w14:paraId="646B81F2">
      <w:pPr>
        <w:pStyle w:val="49"/>
      </w:pPr>
      <w:r>
        <w:br w:type="textWrapping"/>
      </w:r>
      <w:r>
        <w:rPr>
          <w:rStyle w:val="48"/>
        </w:rPr>
        <w:t xml:space="preserve"> Term                            Contrast Estimate 2.5 % 97.5 %</w:t>
      </w:r>
      <w:r>
        <w:br w:type="textWrapping"/>
      </w:r>
      <w:r>
        <w:rPr>
          <w:rStyle w:val="48"/>
        </w:rPr>
        <w:t xml:space="preserve"> mobi mean(bilingual) - mean(monolingual)     2.88 0.914   4.84</w:t>
      </w:r>
      <w:r>
        <w:br w:type="textWrapping"/>
      </w:r>
      <w:r>
        <w:br w:type="textWrapping"/>
      </w:r>
      <w:r>
        <w:rPr>
          <w:rStyle w:val="48"/>
        </w:rPr>
        <w:t xml:space="preserve">Columns: term, contrast, estimate, conf.low, conf.high, predicted_lo, predicted_hi, predicted, tmp_idx </w:t>
      </w:r>
      <w:r>
        <w:br w:type="textWrapping"/>
      </w:r>
      <w:r>
        <w:rPr>
          <w:rStyle w:val="48"/>
        </w:rPr>
        <w:t xml:space="preserve">Type:  response </w:t>
      </w:r>
    </w:p>
    <w:p w14:paraId="10881A9A">
      <w:pPr>
        <w:pStyle w:val="23"/>
      </w:pPr>
      <w:r>
        <w:t xml:space="preserve">For the MCI subgroup (see </w:t>
      </w:r>
      <w:r>
        <w:fldChar w:fldCharType="begin"/>
      </w:r>
      <w:r>
        <w:instrText xml:space="preserve"> HYPERLINK \l "fig-fig7" \h </w:instrText>
      </w:r>
      <w:r>
        <w:fldChar w:fldCharType="separate"/>
      </w:r>
      <w:r>
        <w:rPr>
          <w:rStyle w:val="20"/>
        </w:rPr>
        <w:t>Figure 7</w:t>
      </w:r>
      <w:r>
        <w:rPr>
          <w:rStyle w:val="20"/>
        </w:rPr>
        <w:fldChar w:fldCharType="end"/>
      </w:r>
      <w:r>
        <w:t xml:space="preserve"> 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 (Frank &amp; Petersen, 2008). However, the estimated average difference in marginal effects for bilinguals and monolinguals was 2.88 years with a 95%Crl [0.914, 4.84]. This difference between the age at onset of bilinguals and monolinguals was the smallest in the three subgroups. Additionally, the standard deviation for </w:t>
      </w:r>
      <w:r>
        <w:rPr>
          <w:color w:val="FF0000"/>
        </w:rPr>
        <w:t>monolingual</w:t>
      </w:r>
      <w:r>
        <w:t xml:space="preserve"> (11.50) and </w:t>
      </w:r>
      <w:r>
        <w:rPr>
          <w:color w:val="FF0000"/>
        </w:rPr>
        <w:t>bilingual</w:t>
      </w:r>
      <w:r>
        <w:t xml:space="preserve"> (9.19) (group-level effects) were the largest among the three groups. This indicated that there were large variations between the age at onset across different studies in the MCI subgroups. It could be because one study’s (Ramakrishnan et al., 2017) age at MCI onset was extremely lower than the other two (Berkes et al., 2020; Ossher et al., 2013).</w:t>
      </w:r>
    </w:p>
    <w:p w14:paraId="59F06205">
      <w:pPr>
        <w:pStyle w:val="3"/>
      </w:pPr>
      <w:r>
        <w:t>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19"/>
    <w:bookmarkEnd w:id="24"/>
    <w:p w14:paraId="0AC4B849">
      <w:pPr>
        <w:pStyle w:val="4"/>
      </w:pPr>
      <w:bookmarkStart w:id="28" w:name="addressing-bias"/>
      <w:r>
        <w:t>Addressing Bias</w:t>
      </w:r>
    </w:p>
    <w:tbl>
      <w:tblPr>
        <w:tblStyle w:val="41"/>
        <w:tblW w:w="5000" w:type="pct"/>
        <w:tblInd w:w="0" w:type="dxa"/>
        <w:tblLayout w:type="fixed"/>
        <w:tblCellMar>
          <w:top w:w="0" w:type="dxa"/>
          <w:left w:w="108" w:type="dxa"/>
          <w:bottom w:w="0" w:type="dxa"/>
          <w:right w:w="108" w:type="dxa"/>
        </w:tblCellMar>
      </w:tblPr>
      <w:tblGrid>
        <w:gridCol w:w="8856"/>
      </w:tblGrid>
      <w:tr w14:paraId="4AEA612A">
        <w:tc>
          <w:p w14:paraId="5CCB537E">
            <w:pPr>
              <w:pStyle w:val="24"/>
              <w:jc w:val="center"/>
            </w:pPr>
            <w:bookmarkStart w:id="29" w:name="fig-funnel-sd"/>
            <w:r>
              <w:drawing>
                <wp:inline distT="0" distB="0" distL="114300" distR="114300">
                  <wp:extent cx="5334000" cy="3429000"/>
                  <wp:effectExtent l="0" t="0" r="0" b="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3"/>
                          <a:stretch>
                            <a:fillRect/>
                          </a:stretch>
                        </pic:blipFill>
                        <pic:spPr>
                          <a:xfrm>
                            <a:off x="0" y="0"/>
                            <a:ext cx="5334000" cy="3429000"/>
                          </a:xfrm>
                          <a:prstGeom prst="rect">
                            <a:avLst/>
                          </a:prstGeom>
                          <a:noFill/>
                          <a:ln w="9525">
                            <a:noFill/>
                          </a:ln>
                        </pic:spPr>
                      </pic:pic>
                    </a:graphicData>
                  </a:graphic>
                </wp:inline>
              </w:drawing>
            </w:r>
          </w:p>
          <w:p w14:paraId="64D8F188">
            <w:pPr>
              <w:pStyle w:val="45"/>
              <w:spacing w:before="200"/>
              <w:jc w:val="left"/>
            </w:pPr>
            <w:r>
              <w:t>Figure 8: Funnel plot showing standard deviation differences between bilinguals and monolinguals in age at onset of dementia.</w:t>
            </w:r>
          </w:p>
          <w:bookmarkEnd w:id="29"/>
        </w:tc>
      </w:tr>
    </w:tbl>
    <w:p w14:paraId="31C0145F">
      <w:pPr>
        <w:pStyle w:val="3"/>
      </w:pPr>
      <w:r>
        <w:t xml:space="preserve">Potential bias in the meta-analytic estimates was accessed using the funnel plot method (Light &amp; Pillemer, 1984). The funnel plot </w:t>
      </w:r>
      <w:r>
        <w:fldChar w:fldCharType="begin"/>
      </w:r>
      <w:r>
        <w:instrText xml:space="preserve"> HYPERLINK \l "fig-funnel-sd" \h </w:instrText>
      </w:r>
      <w:r>
        <w:fldChar w:fldCharType="separate"/>
      </w:r>
      <w:r>
        <w:rPr>
          <w:rStyle w:val="20"/>
        </w:rPr>
        <w:t>Figure 8</w:t>
      </w:r>
      <w:r>
        <w:rPr>
          <w:rStyle w:val="20"/>
        </w:rPr>
        <w:fldChar w:fldCharType="end"/>
      </w:r>
      <w:r>
        <w:t xml:space="preserve"> 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r>
        <w:fldChar w:fldCharType="begin"/>
      </w:r>
      <w:r>
        <w:instrText xml:space="preserve"> HYPERLINK \l "fig-funnel-sd" \h </w:instrText>
      </w:r>
      <w:r>
        <w:fldChar w:fldCharType="separate"/>
      </w:r>
      <w:r>
        <w:rPr>
          <w:rStyle w:val="20"/>
        </w:rPr>
        <w:t>Figure 8</w:t>
      </w:r>
      <w:r>
        <w:rPr>
          <w:rStyle w:val="20"/>
        </w:rPr>
        <w:fldChar w:fldCharType="end"/>
      </w:r>
      <w:r>
        <w:t>), the dots are not symmetrically distributed around the summary effect although the number of studies in the left side of the summary effect is the same as the right side. Moreover, two studies on the left (Chertkow et al., 2010; Duncan et al., 2018) and one study on the right (Perani et al., 2017) were not covered in the funnel shape. This means that there is potential bias caused by the selected studies. Therefore, it was necessary to check whether the meta-analytic effect was greatly influenced by potential bias.</w:t>
      </w:r>
    </w:p>
    <w:p w14:paraId="1006AC79">
      <w:pPr>
        <w:pStyle w:val="3"/>
      </w:pPr>
      <w:r>
        <w:rPr>
          <w:color w:val="FF0000"/>
        </w:rPr>
        <w:t>We</w:t>
      </w:r>
      <w:r>
        <w:t xml:space="preserve"> 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bookmarkEnd w:id="28"/>
    <w:p w14:paraId="37699C43">
      <w:pPr>
        <w:pStyle w:val="4"/>
      </w:pPr>
      <w:bookmarkStart w:id="30" w:name="X97f3400c5758a52180f132a2118a35be6a27bb0"/>
      <w:r>
        <w:t>Results for Meta-analysis of Bilingualism and Dementia Prevalence Studies</w:t>
      </w:r>
    </w:p>
    <w:tbl>
      <w:tblPr>
        <w:tblStyle w:val="41"/>
        <w:tblW w:w="5000" w:type="pct"/>
        <w:tblInd w:w="0" w:type="dxa"/>
        <w:tblLayout w:type="fixed"/>
        <w:tblCellMar>
          <w:top w:w="0" w:type="dxa"/>
          <w:left w:w="108" w:type="dxa"/>
          <w:bottom w:w="0" w:type="dxa"/>
          <w:right w:w="108" w:type="dxa"/>
        </w:tblCellMar>
      </w:tblPr>
      <w:tblGrid>
        <w:gridCol w:w="8856"/>
      </w:tblGrid>
      <w:tr w14:paraId="3151544B">
        <w:tc>
          <w:p w14:paraId="70A247A8">
            <w:pPr>
              <w:pStyle w:val="24"/>
              <w:jc w:val="center"/>
            </w:pPr>
            <w:bookmarkStart w:id="31" w:name="fig-fig9"/>
            <w:r>
              <w:drawing>
                <wp:inline distT="0" distB="0" distL="114300" distR="114300">
                  <wp:extent cx="5334000" cy="4267200"/>
                  <wp:effectExtent l="0" t="0" r="0" b="0"/>
                  <wp:docPr id="7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pic:cNvPicPr>
                            <a:picLocks noChangeAspect="1" noChangeArrowheads="1"/>
                          </pic:cNvPicPr>
                        </pic:nvPicPr>
                        <pic:blipFill>
                          <a:blip r:embed="rId14"/>
                          <a:stretch>
                            <a:fillRect/>
                          </a:stretch>
                        </pic:blipFill>
                        <pic:spPr>
                          <a:xfrm>
                            <a:off x="0" y="0"/>
                            <a:ext cx="5334000" cy="4267200"/>
                          </a:xfrm>
                          <a:prstGeom prst="rect">
                            <a:avLst/>
                          </a:prstGeom>
                          <a:noFill/>
                          <a:ln w="9525">
                            <a:noFill/>
                          </a:ln>
                        </pic:spPr>
                      </pic:pic>
                    </a:graphicData>
                  </a:graphic>
                </wp:inline>
              </w:drawing>
            </w:r>
          </w:p>
          <w:p w14:paraId="1EB03F9B">
            <w:pPr>
              <w:pStyle w:val="45"/>
              <w:spacing w:before="200"/>
              <w:jc w:val="left"/>
            </w:pPr>
            <w:r>
              <w:t>Figure 9: Forest plot of the estimated difference in dementia risk between bilinguals and monolinguals in each study.</w:t>
            </w:r>
          </w:p>
          <w:bookmarkEnd w:id="31"/>
        </w:tc>
      </w:tr>
    </w:tbl>
    <w:p w14:paraId="6B06FF71">
      <w:pPr>
        <w:pStyle w:val="49"/>
      </w:pPr>
      <w:r>
        <w:rPr>
          <w:rStyle w:val="48"/>
        </w:rPr>
        <w:t># A tibble: 1 × 5</w:t>
      </w:r>
      <w:r>
        <w:br w:type="textWrapping"/>
      </w:r>
      <w:r>
        <w:rPr>
          <w:rStyle w:val="48"/>
        </w:rPr>
        <w:t xml:space="preserve">  mean_diff lower_95 upper_95 prob_bilingual_less prob_bilingual_greater</w:t>
      </w:r>
      <w:r>
        <w:br w:type="textWrapping"/>
      </w:r>
      <w:r>
        <w:rPr>
          <w:rStyle w:val="48"/>
        </w:rPr>
        <w:t xml:space="preserve">      &lt;dbl&gt;    &lt;dbl&gt;    &lt;dbl&gt;               &lt;dbl&gt;                  &lt;dbl&gt;</w:t>
      </w:r>
      <w:r>
        <w:br w:type="textWrapping"/>
      </w:r>
      <w:r>
        <w:rPr>
          <w:rStyle w:val="48"/>
        </w:rPr>
        <w:t>1    -0.211   -0.975    0.537               0.768                  0.232</w:t>
      </w:r>
    </w:p>
    <w:p w14:paraId="55D9C26E">
      <w:pPr>
        <w:pStyle w:val="23"/>
      </w:pPr>
      <w:r>
        <w:t xml:space="preserve">To investigate whether bilingualism is associated with reduced dementia risks, we fitted a Bayesian hierarchical logistic regression model predicting the number of dementia cases out of total number of participants using a binomial likelihood. </w:t>
      </w:r>
      <w:r>
        <w:rPr>
          <w:color w:val="FF0000"/>
        </w:rPr>
        <w:t>All models converged with acceptable R-hat and acceptable sample size values.</w:t>
      </w:r>
      <w:r>
        <w:t xml:space="preserve"> The results showed that the population-level estimate for monolingual is -2.06 with a 95%Crl [-3.05, -1.16] and that the estimate for bilingual is -2.27 with a 95%Crl [-3.09, -1.47]. </w:t>
      </w:r>
      <w:r>
        <w:rPr>
          <w:color w:val="FF0000"/>
        </w:rPr>
        <w:t>The results from the comparison of posterior distribution for the log-odds of bilinguals and monolinguals showed that 77% of the posterior samples indicated lower odds of dementia for bilinguals</w:t>
      </w:r>
      <w:r>
        <w:t xml:space="preserve">. We also used avg_comparison() to show the ratio of the average predicted probability of dementia for bilinguals to the average predicted probability of dementia for monolinguals, which resulted in a 0.845 estimate with a 95%Crl [0.726, 0.984]. 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 </w:t>
      </w:r>
      <w:r>
        <w:fldChar w:fldCharType="begin"/>
      </w:r>
      <w:r>
        <w:instrText xml:space="preserve"> HYPERLINK \l "fig-fig9" \h </w:instrText>
      </w:r>
      <w:r>
        <w:fldChar w:fldCharType="separate"/>
      </w:r>
      <w:r>
        <w:rPr>
          <w:rStyle w:val="20"/>
        </w:rPr>
        <w:t>Figure 9</w:t>
      </w:r>
      <w:r>
        <w:rPr>
          <w:rStyle w:val="20"/>
        </w:rPr>
        <w:fldChar w:fldCharType="end"/>
      </w:r>
      <w:r>
        <w:t xml:space="preserve"> for forest plot). It is possible that such a result was influenced by bias given the relatively small number of studies. Yet, the funnel plot is believed not to be reliable if the number of studies is under 10 (Sedgwick &amp; Marston, 2015). Therefore, the present </w:t>
      </w:r>
      <w:r>
        <w:rPr>
          <w:color w:val="FF0000"/>
        </w:rPr>
        <w:t>meta-analysis</w:t>
      </w:r>
      <w:r>
        <w:t xml:space="preserve"> did not use funnel plot to address the potential bias.</w:t>
      </w:r>
    </w:p>
    <w:p w14:paraId="064D8947">
      <w:pPr>
        <w:pStyle w:val="3"/>
      </w:pPr>
      <w:r>
        <w:t>Nevertheless, a detailed inspection of the context of these studies and the forest plot (</w:t>
      </w:r>
      <w:r>
        <w:fldChar w:fldCharType="begin"/>
      </w:r>
      <w:r>
        <w:instrText xml:space="preserve"> HYPERLINK \l "fig-fig9" \h </w:instrText>
      </w:r>
      <w:r>
        <w:fldChar w:fldCharType="separate"/>
      </w:r>
      <w:r>
        <w:rPr>
          <w:rStyle w:val="20"/>
        </w:rPr>
        <w:t>Figure 9</w:t>
      </w:r>
      <w:r>
        <w:rPr>
          <w:rStyle w:val="20"/>
        </w:rPr>
        <w:fldChar w:fldCharType="end"/>
      </w:r>
      <w:r>
        <w:t xml:space="preserve">) revealed that one study had great influence on the results (Venugopal et al., 2024). The estimated difference in dementia risk of bilinguals and monolinguals is between -1.27 and -0.43 log-odds at 95% probability, which corresponds to 21.9% and 39.4% lower probability for bilinguals (Venugopal et al., 2024). The study design of this community-based study is a cross-sectional study, which is different from the other five longitudinal studies. Considering such difference, we reran the Bayesian model without Venugopal et al. (2024). The results of </w:t>
      </w:r>
      <w:r>
        <w:rPr>
          <w:color w:val="FF0000"/>
        </w:rPr>
        <w:t>avg_comparison()</w:t>
      </w:r>
      <w:r>
        <w:t xml:space="preserve"> 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cross 1. </w:t>
      </w:r>
      <w:r>
        <w:rPr>
          <w:color w:val="FF0000"/>
        </w:rPr>
        <w:t>We also compared the posterior distribution of this model. The results showed that the probability that bilinguals had lower incidence rates than monolinguals was only 64%, which also indicates considerable uncertainty</w:t>
      </w:r>
      <w:r>
        <w:t>.</w:t>
      </w:r>
    </w:p>
    <w:p w14:paraId="15A20392">
      <w:pPr>
        <w:pStyle w:val="49"/>
      </w:pPr>
      <w:r>
        <w:rPr>
          <w:rStyle w:val="48"/>
        </w:rPr>
        <w:t># A tibble: 1 × 5</w:t>
      </w:r>
      <w:r>
        <w:br w:type="textWrapping"/>
      </w:r>
      <w:r>
        <w:rPr>
          <w:rStyle w:val="48"/>
        </w:rPr>
        <w:t xml:space="preserve">  mean_diff lower_95 upper_95 prob_bilingual_less prob_bilingual_greater</w:t>
      </w:r>
      <w:r>
        <w:br w:type="textWrapping"/>
      </w:r>
      <w:r>
        <w:rPr>
          <w:rStyle w:val="48"/>
        </w:rPr>
        <w:t xml:space="preserve">      &lt;dbl&gt;    &lt;dbl&gt;    &lt;dbl&gt;               &lt;dbl&gt;                  &lt;dbl&gt;</w:t>
      </w:r>
      <w:r>
        <w:br w:type="textWrapping"/>
      </w:r>
      <w:r>
        <w:rPr>
          <w:rStyle w:val="48"/>
        </w:rPr>
        <w:t>1    -0.207    -1.68     1.03               0.643                  0.357</w:t>
      </w:r>
    </w:p>
    <w:bookmarkEnd w:id="15"/>
    <w:bookmarkEnd w:id="30"/>
    <w:p w14:paraId="42BC0ACD">
      <w:pPr>
        <w:pStyle w:val="2"/>
      </w:pPr>
      <w:bookmarkStart w:id="32" w:name="discussion"/>
      <w:r>
        <w:t>Discussion</w:t>
      </w:r>
    </w:p>
    <w:p w14:paraId="5C303B6A">
      <w:pPr>
        <w:pStyle w:val="23"/>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 (Anderson et al., 2020; Brini et al., 2020; Mukadam et al., 2017). However, the present </w:t>
      </w:r>
      <w:r>
        <w:rPr>
          <w:color w:val="FF0000"/>
        </w:rPr>
        <w:t>study</w:t>
      </w:r>
      <w:r>
        <w:t xml:space="preserve"> is the first meta-analysis to use Bayesian statistics to explore bilingualism and dementia. Moreover, it addressed the following research questions: </w:t>
      </w:r>
      <w:r>
        <w:rPr>
          <w:color w:val="FF0000"/>
        </w:rPr>
        <w:t>Does bilingualism have protective effect on delaying the onset of dementia? Is there a bilingualism’s preventing effect on dementia? Do education as a confounding variable and dementia type as a modulating variable influence the relation between bilingualism and the age at onset of dementia?</w:t>
      </w:r>
    </w:p>
    <w:p w14:paraId="072CF84A">
      <w:pPr>
        <w:pStyle w:val="4"/>
      </w:pPr>
      <w:bookmarkStart w:id="33" w:name="X476bf588c2b49303e842dda09564f867687bcf5"/>
      <w:r>
        <w:t>Bilinguals Have a Delayed Onset of Dementia</w:t>
      </w:r>
    </w:p>
    <w:p w14:paraId="441E3D30">
      <w:pPr>
        <w:pStyle w:val="23"/>
      </w:pPr>
      <w:r>
        <w:t>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 (Anderson et al., 2020) to a delay of 4.7 years for AD symptoms onset (Brini et al., 2020).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33"/>
    <w:p w14:paraId="73FDB74D">
      <w:pPr>
        <w:pStyle w:val="4"/>
      </w:pPr>
      <w:bookmarkStart w:id="34" w:name="X23dc1278349a1e4fe68c8080647585d6eb1a909"/>
      <w:r>
        <w:t>The Bilingualism’s Preventive Effect is not Robust</w:t>
      </w:r>
    </w:p>
    <w:p w14:paraId="6A967DE6">
      <w:pPr>
        <w:pStyle w:val="23"/>
      </w:pPr>
      <w:r>
        <w:t xml:space="preserve">For the second research question (i.e., Is there a bilingualism’s preventing effect on dementia?), the present </w:t>
      </w:r>
      <w:r>
        <w:rPr>
          <w:color w:val="FF0000"/>
        </w:rPr>
        <w:t>meta-analysis</w:t>
      </w:r>
      <w:r>
        <w:t xml:space="preserve"> 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 (Anderson et al., 2020), which found week evidence for bilingualism preventing dementia (Cohen’s d = 0.10).</w:t>
      </w:r>
    </w:p>
    <w:p w14:paraId="466DA2B2">
      <w:pPr>
        <w:pStyle w:val="3"/>
      </w:pPr>
      <w:r>
        <w:t>However, the results in this analysis were greatly influenced by one individual study, Venugopal et al. (2024), which had a large effect. Venugopal et al. (2024) 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 enough to support bilingualism’s effect on preventing the disease. One explanation could be that bilinguals have a delayed onset of dementia, some bilinguals in Venugopal et al. (2024) sample would develop dementia in the end yet did not show symptoms when they were researched. In this sense, bilinguals only delay the dementia onset rather than totally prevent the disease (Berkes &amp; Bialystok, 2022). The results became more uncertain after removing Venugopal et al. (2024), which provides no evidence for bilingualism’s preventive effect on dementia. This result (incidence rate: bilinguals/monolinguals 95%Crl [0.634, 1.5]) corresponds to Mukadam et al. (2017), which found a odds-ratio of [0.74, 1.23] at 95% confidence. Therefore, the present meta-analysis did not find robust evidence for bilingualism’s preventive effect on dementia.</w:t>
      </w:r>
    </w:p>
    <w:bookmarkEnd w:id="34"/>
    <w:p w14:paraId="337A3BBD">
      <w:pPr>
        <w:pStyle w:val="4"/>
      </w:pPr>
      <w:bookmarkStart w:id="35" w:name="confounding-and-modulating-variables"/>
      <w:r>
        <w:t>Confounding and Modulating Variables</w:t>
      </w:r>
    </w:p>
    <w:p w14:paraId="64A408BF">
      <w:pPr>
        <w:pStyle w:val="5"/>
      </w:pPr>
      <w:bookmarkStart w:id="36" w:name="X21ec72ec4fc5cacfec759bd6f44de5af924cd8a"/>
      <w:r>
        <w:t>No Evidence for Education to be a Confounding Variable or not</w:t>
      </w:r>
    </w:p>
    <w:p w14:paraId="3A3B4838">
      <w:pPr>
        <w:pStyle w:val="23"/>
      </w:pPr>
      <w:r>
        <w:t>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 (e.g., Alladi et al., 2013; Anderson et al., 2020; Craik et al., 2010). Therefore, the present analysis further shows that differences in the bilinguals’ and monolinguals’ education status are not predictive of their differences in the age at symptom onset of dementia.</w:t>
      </w:r>
    </w:p>
    <w:bookmarkEnd w:id="36"/>
    <w:p w14:paraId="4623F5E1">
      <w:pPr>
        <w:pStyle w:val="5"/>
      </w:pPr>
      <w:bookmarkStart w:id="37" w:name="Xdb5372643af54de890dbe8f9bdbe19e1549e86d"/>
      <w:r>
        <w:t xml:space="preserve">Bilingualism may Defer Different Types of Dementia Differently, </w:t>
      </w:r>
      <w:r>
        <w:rPr>
          <w:color w:val="FF0000"/>
        </w:rPr>
        <w:t>Though Uncertainity Remains</w:t>
      </w:r>
    </w:p>
    <w:p w14:paraId="214B663B">
      <w:pPr>
        <w:pStyle w:val="23"/>
      </w:pPr>
      <w:r>
        <w:t xml:space="preserve">Many recent studies have pointed out that bilinguals’ delay on age at dementia onset may be specific to different subtypes of dementia (Alladi et al., 2013; Lee, 2022). The results from the subgroup analysis in this meta-analysis provide evidence for such arguments. The difference between bilinguals and monolinguals was the largest on FTD subtype (3.76 years on average) following the AD subtype (3.36 years on average) and MCI (2.88 years on average).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14:paraId="10D83B71">
      <w:pPr>
        <w:pStyle w:val="3"/>
      </w:pPr>
      <w:r>
        <w:t>One explanation for the potential differences may be that the brain regions that are affected by different subtypes of dementia vary (Lee, 2022). For instance, AD subtype mainly affects the neurons in entorhinal cortex and hippocampus (Meda et al., 2013); FTD subtype causes atrophy in the frontal and temporal lobes (Chan et al., 2001) while vascular dementia subtype involves damage of white matter beneath the gray matter (Hase et al., 2018).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 “advantage” on resisting various kinds of brain pathologies (Lee, 2022).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14:paraId="7D92C2C3">
      <w:pPr>
        <w:pStyle w:val="3"/>
      </w:pPr>
      <w:r>
        <w:t>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w:t>
      </w:r>
    </w:p>
    <w:bookmarkEnd w:id="35"/>
    <w:bookmarkEnd w:id="37"/>
    <w:p w14:paraId="4D1C2D42">
      <w:pPr>
        <w:pStyle w:val="4"/>
      </w:pPr>
      <w:bookmarkStart w:id="38" w:name="X85376713a72a6e91312dfeb585892fa1b4749a7"/>
      <w:r>
        <w:t>The Uniqueness of Bilingualism among Cognitive Reserve Factors</w:t>
      </w:r>
    </w:p>
    <w:p w14:paraId="40054887">
      <w:pPr>
        <w:pStyle w:val="23"/>
      </w:pPr>
      <w:r>
        <w:t xml:space="preserve">[At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 </w:t>
      </w:r>
      <w:r>
        <w:rPr>
          <w:color w:val="FF0000"/>
        </w:rPr>
        <w:t>@sofi2011</w:t>
      </w:r>
      <w:r>
        <w:t xml:space="preserve">, [playing an instrument] </w:t>
      </w:r>
      <w:r>
        <w:rPr>
          <w:color w:val="FF0000"/>
        </w:rPr>
        <w:t>@hanna2011</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brain aging. The overlap between bilingual language control network and the fronto-parietal network for domain-general control helps bilingual to constantly maintain higher functional and neurostructural integrity during aging</w:t>
      </w:r>
      <w:r>
        <w:t xml:space="preserve"> (Gallo &amp; Abutalebi, 2024; Wu et al., 2019).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(Gallo &amp; Abutalebi, 2024; Wardle &amp; Steptoe, 2003).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w:t>
      </w:r>
    </w:p>
    <w:bookmarkEnd w:id="32"/>
    <w:bookmarkEnd w:id="38"/>
    <w:p w14:paraId="4C900D7B">
      <w:pPr>
        <w:pStyle w:val="2"/>
      </w:pPr>
      <w:bookmarkStart w:id="39" w:name="limitations"/>
      <w:r>
        <w:t>Limitations</w:t>
      </w:r>
    </w:p>
    <w:p w14:paraId="61FEEBEB">
      <w:pPr>
        <w:pStyle w:val="23"/>
      </w:pPr>
      <w:r>
        <w:t xml:space="preserve">One potential limitation of the present </w:t>
      </w:r>
      <w:r>
        <w:rPr>
          <w:color w:val="FF0000"/>
        </w:rPr>
        <w:t>meta-analysis</w:t>
      </w:r>
      <w:r>
        <w:t xml:space="preserve"> 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 (Calabria et al., 2020) while others used objective measures (e.g., Boston Naming Test in Gollan et al., 2012). Given the limited number of such studies and various measurements, the present meta-analysis did not include them. Future meta-analyses can attempt to include these studies as more new studies using similar measurements appear.</w:t>
      </w:r>
    </w:p>
    <w:p w14:paraId="4DC6B968">
      <w:pPr>
        <w:pStyle w:val="3"/>
      </w:pPr>
      <w:r>
        <w:t xml:space="preserve">Borenstein et al. (2021) state that it is rare for researchers to collect all the studies that meet the inclusion criteria into the meta-analysis. </w:t>
      </w:r>
      <w:r>
        <w:rPr>
          <w:color w:val="FF0000"/>
        </w:rPr>
        <w:t>We are</w:t>
      </w:r>
      <w:r>
        <w:t xml:space="preserve"> 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39"/>
    <w:p w14:paraId="54FE062A">
      <w:pPr>
        <w:pStyle w:val="2"/>
      </w:pPr>
      <w:bookmarkStart w:id="40" w:name="conclusion"/>
      <w:r>
        <w:t>Conclusion</w:t>
      </w:r>
    </w:p>
    <w:p w14:paraId="0649F7E5">
      <w:pPr>
        <w:pStyle w:val="23"/>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 </w:t>
      </w:r>
      <w:r>
        <w:rPr>
          <w:color w:val="FF0000"/>
        </w:rPr>
        <w:t>Yet, the uncertainty reflected in overlapping posterior distributions across groups and the limited number of studies calls for more research into different subtypes of dementia.</w:t>
      </w:r>
      <w:r>
        <w:t xml:space="preserve"> In contrast, the results of the incidence rates study did not support that bilingualism prevents dementia from happening. Yet, we did not reach Mukadam et al. (2017) 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40"/>
    <w:p w14:paraId="0546C95E">
      <w:pPr>
        <w:pStyle w:val="2"/>
      </w:pPr>
      <w:bookmarkStart w:id="41" w:name="data-availability-statement"/>
      <w:r>
        <w:rPr>
          <w:b/>
          <w:bCs/>
        </w:rPr>
        <w:t>Data availability statement</w:t>
      </w:r>
    </w:p>
    <w:p w14:paraId="62696103">
      <w:pPr>
        <w:pStyle w:val="23"/>
      </w:pPr>
      <w:r>
        <w:t xml:space="preserve">The Research Compendium of this study, including data and code, can be found at </w:t>
      </w:r>
      <w:r>
        <w:fldChar w:fldCharType="begin"/>
      </w:r>
      <w:r>
        <w:instrText xml:space="preserve"> HYPERLINK "https://github.com/Peter-Ziyuan/Meta-analysis_Bilingualism-and-Dementia" \h </w:instrText>
      </w:r>
      <w:r>
        <w:fldChar w:fldCharType="separate"/>
      </w:r>
      <w:r>
        <w:rPr>
          <w:rStyle w:val="20"/>
        </w:rPr>
        <w:t>https://github.com/Peter-Ziyuan/Meta-analysis_Bilingualism-and-Dementia</w:t>
      </w:r>
      <w:r>
        <w:rPr>
          <w:rStyle w:val="20"/>
        </w:rPr>
        <w:fldChar w:fldCharType="end"/>
      </w:r>
      <w:r>
        <w:t>.</w:t>
      </w:r>
    </w:p>
    <w:bookmarkEnd w:id="41"/>
    <w:p w14:paraId="5AB4BAC7">
      <w:pPr>
        <w:pStyle w:val="2"/>
      </w:pPr>
      <w:bookmarkStart w:id="42" w:name="disclosure-statement"/>
      <w:r>
        <w:rPr>
          <w:b/>
          <w:bCs/>
        </w:rPr>
        <w:t>Disclosure Statement</w:t>
      </w:r>
      <w:r>
        <w:t>:</w:t>
      </w:r>
    </w:p>
    <w:p w14:paraId="796A6FB0">
      <w:pPr>
        <w:pStyle w:val="23"/>
      </w:pPr>
      <w:r>
        <w:t>The authors report no conflicts of interest.</w:t>
      </w:r>
    </w:p>
    <w:bookmarkEnd w:id="42"/>
    <w:p w14:paraId="1E0CF914">
      <w:pPr>
        <w:pStyle w:val="2"/>
      </w:pPr>
      <w:bookmarkStart w:id="43" w:name="references"/>
      <w:r>
        <w:t>References</w:t>
      </w:r>
    </w:p>
    <w:p w14:paraId="39BE89A2">
      <w:pPr>
        <w:pStyle w:val="30"/>
      </w:pPr>
      <w:bookmarkStart w:id="44" w:name="ref-abutalebi2015"/>
      <w:bookmarkStart w:id="45" w:name="refs"/>
      <w:r>
        <w:t xml:space="preserve">Abutalebi, J., Canini, M., Della Rosa, P. A., Green, D. W., &amp; Weekes, B. S. (2015). The neuroprotective effects of bilingualism upon the inferior parietal lobule: A structural neuroimaging study in aging chinese bilinguals. </w:t>
      </w:r>
      <w:r>
        <w:rPr>
          <w:i/>
          <w:iCs/>
        </w:rPr>
        <w:t>Journal of Neurolinguistics</w:t>
      </w:r>
      <w:r>
        <w:t xml:space="preserve">, </w:t>
      </w:r>
      <w:r>
        <w:rPr>
          <w:i/>
          <w:iCs/>
        </w:rPr>
        <w:t>33</w:t>
      </w:r>
      <w:r>
        <w:t>, 3–13.</w:t>
      </w:r>
    </w:p>
    <w:bookmarkEnd w:id="44"/>
    <w:p w14:paraId="15B2A96A">
      <w:pPr>
        <w:pStyle w:val="30"/>
      </w:pPr>
      <w:bookmarkStart w:id="46" w:name="ref-alladi2013"/>
      <w:r>
        <w:t xml:space="preserve">Alladi, S., Bak, T. H., Duggirala, V., Surampudi, B., Shailaja, M., Shukla, A. K., Chaudhuri, J. R., &amp; Kaul, S. (2013). Bilingualism delays age at onset of dementia, independent of education and immigration status. </w:t>
      </w:r>
      <w:r>
        <w:rPr>
          <w:i/>
          <w:iCs/>
        </w:rPr>
        <w:t>Neurology</w:t>
      </w:r>
      <w:r>
        <w:t xml:space="preserve">, </w:t>
      </w:r>
      <w:r>
        <w:rPr>
          <w:i/>
          <w:iCs/>
        </w:rPr>
        <w:t>81</w:t>
      </w:r>
      <w:r>
        <w:t>(22), 1938–1944.</w:t>
      </w:r>
    </w:p>
    <w:bookmarkEnd w:id="46"/>
    <w:p w14:paraId="5D223AE5">
      <w:pPr>
        <w:pStyle w:val="30"/>
      </w:pPr>
      <w:bookmarkStart w:id="47" w:name="ref-alladi2017"/>
      <w:r>
        <w:t xml:space="preserve">Alladi, S., Bak, T. H., Shailaja, M., Gollahalli, D., Rajan, A., Surampudi, B., Hornberger, M., Duggirala, V., Chaudhuri, J. R., &amp; Kaul, S. (2017). Bilingualism delays the onset of behavioral but not aphasic forms of frontotemporal dementia. </w:t>
      </w:r>
      <w:r>
        <w:rPr>
          <w:i/>
          <w:iCs/>
        </w:rPr>
        <w:t>Neuropsychologia</w:t>
      </w:r>
      <w:r>
        <w:t xml:space="preserve">, </w:t>
      </w:r>
      <w:r>
        <w:rPr>
          <w:i/>
          <w:iCs/>
        </w:rPr>
        <w:t>99</w:t>
      </w:r>
      <w:r>
        <w:t>, 207–212.</w:t>
      </w:r>
    </w:p>
    <w:bookmarkEnd w:id="47"/>
    <w:p w14:paraId="6D260800">
      <w:pPr>
        <w:pStyle w:val="30"/>
      </w:pPr>
      <w:bookmarkStart w:id="48" w:name="ref-anderson2020"/>
      <w:r>
        <w:t xml:space="preserve">Anderson, J. A., Hawrylewicz, K., &amp; Grundy, J. G. (2020). Does bilingualism protect against dementia? A meta-analysis. </w:t>
      </w:r>
      <w:r>
        <w:rPr>
          <w:i/>
          <w:iCs/>
        </w:rPr>
        <w:t>Psychonomic Bulletin &amp; Review</w:t>
      </w:r>
      <w:r>
        <w:t xml:space="preserve">, </w:t>
      </w:r>
      <w:r>
        <w:rPr>
          <w:i/>
          <w:iCs/>
        </w:rPr>
        <w:t>27</w:t>
      </w:r>
      <w:r>
        <w:t>, 952–965.</w:t>
      </w:r>
    </w:p>
    <w:bookmarkEnd w:id="48"/>
    <w:p w14:paraId="04B2E6BB">
      <w:pPr>
        <w:pStyle w:val="30"/>
      </w:pPr>
      <w:bookmarkStart w:id="49" w:name="ref-angioni2024"/>
      <w:r>
        <w:t xml:space="preserve">Angioni, D., Cummings, J., Lansdall, C., Middleton, L., Sampaio, C., Gauthier, S., Cohen, S., Petersen, R., Rentz, D., Wessels, A., et al. (2024). Clinical meaningfulness in alzheimer’s disease clinical trials. A report from the EU-US CTAD task force. </w:t>
      </w:r>
      <w:r>
        <w:rPr>
          <w:i/>
          <w:iCs/>
        </w:rPr>
        <w:t>The Journal of Prevention of Alzheimer’s Disease</w:t>
      </w:r>
      <w:r>
        <w:t xml:space="preserve">, </w:t>
      </w:r>
      <w:r>
        <w:rPr>
          <w:i/>
          <w:iCs/>
        </w:rPr>
        <w:t>11</w:t>
      </w:r>
      <w:r>
        <w:t>(5), 1219–1227.</w:t>
      </w:r>
    </w:p>
    <w:bookmarkEnd w:id="49"/>
    <w:p w14:paraId="5F391120">
      <w:pPr>
        <w:pStyle w:val="30"/>
      </w:pPr>
      <w:bookmarkStart w:id="50" w:name="ref-arel2024"/>
      <w:r>
        <w:t xml:space="preserve">Arel-Bundock, V., Greifer, N., &amp; Heiss, A. (2024). How to interpret statistical models using marginaleffects for r and python. </w:t>
      </w:r>
      <w:r>
        <w:rPr>
          <w:i/>
          <w:iCs/>
        </w:rPr>
        <w:t>Journal of Statistical Software</w:t>
      </w:r>
      <w:r>
        <w:t xml:space="preserve">, </w:t>
      </w:r>
      <w:r>
        <w:rPr>
          <w:i/>
          <w:iCs/>
        </w:rPr>
        <w:t>111</w:t>
      </w:r>
      <w:r>
        <w:t>, 1–32.</w:t>
      </w:r>
    </w:p>
    <w:bookmarkEnd w:id="50"/>
    <w:p w14:paraId="1D78C323">
      <w:pPr>
        <w:pStyle w:val="30"/>
      </w:pPr>
      <w:bookmarkStart w:id="51" w:name="ref-bak2016"/>
      <w:r>
        <w:t xml:space="preserve">Bak, T. H. (2016). The impact of bilingualism on cognitive ageing and dementia: Finding a path through a forest of confounding variables. </w:t>
      </w:r>
      <w:r>
        <w:rPr>
          <w:i/>
          <w:iCs/>
        </w:rPr>
        <w:t>Linguistic Approaches to Bilingualism</w:t>
      </w:r>
      <w:r>
        <w:t xml:space="preserve">, </w:t>
      </w:r>
      <w:r>
        <w:rPr>
          <w:i/>
          <w:iCs/>
        </w:rPr>
        <w:t>6</w:t>
      </w:r>
      <w:r>
        <w:t>(1-2), 205–226.</w:t>
      </w:r>
    </w:p>
    <w:bookmarkEnd w:id="51"/>
    <w:p w14:paraId="4DBF524E">
      <w:pPr>
        <w:pStyle w:val="30"/>
      </w:pPr>
      <w:bookmarkStart w:id="52" w:name="ref-bennett2006"/>
      <w:r>
        <w:t xml:space="preserve">Bennett, D., Schneider, J., Arvanitakis, Z., Kelly, J., Aggarwal, N., Shah, R., &amp; Wilson, R. (2006). Neuropathology of older persons without cognitive impairment from two community-based studies. </w:t>
      </w:r>
      <w:r>
        <w:rPr>
          <w:i/>
          <w:iCs/>
        </w:rPr>
        <w:t>Neurology</w:t>
      </w:r>
      <w:r>
        <w:t xml:space="preserve">, </w:t>
      </w:r>
      <w:r>
        <w:rPr>
          <w:i/>
          <w:iCs/>
        </w:rPr>
        <w:t>66</w:t>
      </w:r>
      <w:r>
        <w:t>(12), 1837–1844.</w:t>
      </w:r>
    </w:p>
    <w:bookmarkEnd w:id="52"/>
    <w:p w14:paraId="602F516D">
      <w:pPr>
        <w:pStyle w:val="30"/>
      </w:pPr>
      <w:bookmarkStart w:id="53" w:name="ref-berkes2022"/>
      <w:r>
        <w:t xml:space="preserve">Berkes, M., &amp; Bialystok, E. (2022). Bilingualism as a contributor to cognitive reserve: What it can do and what it cannot do. </w:t>
      </w:r>
      <w:r>
        <w:rPr>
          <w:i/>
          <w:iCs/>
        </w:rPr>
        <w:t>American Journal of Alzheimer’s Disease &amp; Other Dementias</w:t>
      </w:r>
      <w:r>
        <w:t xml:space="preserve">, </w:t>
      </w:r>
      <w:r>
        <w:rPr>
          <w:i/>
          <w:iCs/>
        </w:rPr>
        <w:t>37</w:t>
      </w:r>
      <w:r>
        <w:t>, 15333175221091417.</w:t>
      </w:r>
    </w:p>
    <w:bookmarkEnd w:id="53"/>
    <w:p w14:paraId="05A0159D">
      <w:pPr>
        <w:pStyle w:val="30"/>
      </w:pPr>
      <w:bookmarkStart w:id="54" w:name="ref-berkes2020"/>
      <w:r>
        <w:t xml:space="preserve">Berkes, M., Bialystok, E., Craik, F. I., Troyer, A., &amp; Freedman, M. (2020). Conversion of mild cognitive impairment to alzheimer disease in monolingual and bilingual patients. </w:t>
      </w:r>
      <w:r>
        <w:rPr>
          <w:i/>
          <w:iCs/>
        </w:rPr>
        <w:t>Alzheimer Disease &amp; Associated Disorders</w:t>
      </w:r>
      <w:r>
        <w:t xml:space="preserve">, </w:t>
      </w:r>
      <w:r>
        <w:rPr>
          <w:i/>
          <w:iCs/>
        </w:rPr>
        <w:t>34</w:t>
      </w:r>
      <w:r>
        <w:t>(3), 225–230.</w:t>
      </w:r>
    </w:p>
    <w:bookmarkEnd w:id="54"/>
    <w:p w14:paraId="69772155">
      <w:pPr>
        <w:pStyle w:val="30"/>
      </w:pPr>
      <w:bookmarkStart w:id="55" w:name="ref-bialystok2022"/>
      <w:r>
        <w:t xml:space="preserve">Bialystok, E., &amp; Craik, F. I. (2022). How does bilingualism modify cognitive function? Attention to the mechanism. </w:t>
      </w:r>
      <w:r>
        <w:rPr>
          <w:i/>
          <w:iCs/>
        </w:rPr>
        <w:t>Psychonomic Bulletin &amp; Review</w:t>
      </w:r>
      <w:r>
        <w:t xml:space="preserve">, </w:t>
      </w:r>
      <w:r>
        <w:rPr>
          <w:i/>
          <w:iCs/>
        </w:rPr>
        <w:t>29</w:t>
      </w:r>
      <w:r>
        <w:t>(4), 1246–1269.</w:t>
      </w:r>
    </w:p>
    <w:bookmarkEnd w:id="55"/>
    <w:p w14:paraId="77F230BB">
      <w:pPr>
        <w:pStyle w:val="30"/>
      </w:pPr>
      <w:bookmarkStart w:id="56" w:name="ref-bialystok2007"/>
      <w:r>
        <w:t xml:space="preserve">Bialystok, E., Craik, F. I. M., &amp; Freedman, M. (2007). Bilingualism as a protection against the onset of symptoms of dementia. </w:t>
      </w:r>
      <w:r>
        <w:rPr>
          <w:i/>
          <w:iCs/>
        </w:rPr>
        <w:t>Neuropsychologia</w:t>
      </w:r>
      <w:r>
        <w:t xml:space="preserve">, </w:t>
      </w:r>
      <w:r>
        <w:rPr>
          <w:i/>
          <w:iCs/>
        </w:rPr>
        <w:t>45</w:t>
      </w:r>
      <w:r>
        <w:t>(2), 459–464.</w:t>
      </w:r>
    </w:p>
    <w:bookmarkEnd w:id="56"/>
    <w:p w14:paraId="5DE6B3F1">
      <w:pPr>
        <w:pStyle w:val="30"/>
      </w:pPr>
      <w:bookmarkStart w:id="57" w:name="ref-bialystok2014"/>
      <w:r>
        <w:t>Bialystok, E., Craik, F. I., Binns, M. A., Ossher, L., &amp; Freedman, M. (2014). Effects of bilingualism on the age of onset and progression of MC</w:t>
      </w:r>
      <w:bookmarkStart w:id="125" w:name="_GoBack"/>
      <w:r>
        <w:t xml:space="preserve">I </w:t>
      </w:r>
      <w:bookmarkEnd w:id="125"/>
      <w:r>
        <w:t xml:space="preserve">and AD: Evidence from executive function tests. </w:t>
      </w:r>
      <w:r>
        <w:rPr>
          <w:i/>
          <w:iCs/>
        </w:rPr>
        <w:t>Neuropsychology</w:t>
      </w:r>
      <w:r>
        <w:t xml:space="preserve">, </w:t>
      </w:r>
      <w:r>
        <w:rPr>
          <w:i/>
          <w:iCs/>
        </w:rPr>
        <w:t>28</w:t>
      </w:r>
      <w:r>
        <w:t>(2), 290.</w:t>
      </w:r>
    </w:p>
    <w:bookmarkEnd w:id="57"/>
    <w:p w14:paraId="22F22342">
      <w:pPr>
        <w:pStyle w:val="30"/>
      </w:pPr>
      <w:bookmarkStart w:id="58" w:name="ref-bialystok2012"/>
      <w:r>
        <w:t xml:space="preserve">Bialystok, E., Craik, F. I., &amp; Luk, G. (2012). Bilingualism: Consequences for mind and brain. </w:t>
      </w:r>
      <w:r>
        <w:rPr>
          <w:i/>
          <w:iCs/>
        </w:rPr>
        <w:t>Trends in Cognitive Sciences</w:t>
      </w:r>
      <w:r>
        <w:t xml:space="preserve">, </w:t>
      </w:r>
      <w:r>
        <w:rPr>
          <w:i/>
          <w:iCs/>
        </w:rPr>
        <w:t>16</w:t>
      </w:r>
      <w:r>
        <w:t>(4), 240–250.</w:t>
      </w:r>
    </w:p>
    <w:bookmarkEnd w:id="58"/>
    <w:p w14:paraId="7EF26E49">
      <w:pPr>
        <w:pStyle w:val="30"/>
      </w:pPr>
      <w:bookmarkStart w:id="59" w:name="ref-blom2014"/>
      <w:r>
        <w:t xml:space="preserve">Blom, E., Küntay, A. C., Messer, M., Verhagen, J., &amp; Leseman, P. (2014). The benefits of being bilingual: Working memory in bilingual turkish–dutch children. </w:t>
      </w:r>
      <w:r>
        <w:rPr>
          <w:i/>
          <w:iCs/>
        </w:rPr>
        <w:t>Journal of Experimental Child Psychology</w:t>
      </w:r>
      <w:r>
        <w:t xml:space="preserve">, </w:t>
      </w:r>
      <w:r>
        <w:rPr>
          <w:i/>
          <w:iCs/>
        </w:rPr>
        <w:t>128</w:t>
      </w:r>
      <w:r>
        <w:t>, 105–119.</w:t>
      </w:r>
    </w:p>
    <w:bookmarkEnd w:id="59"/>
    <w:p w14:paraId="252E75D6">
      <w:pPr>
        <w:pStyle w:val="30"/>
      </w:pPr>
      <w:bookmarkStart w:id="60" w:name="ref-borenstein2021"/>
      <w:r>
        <w:t xml:space="preserve">Borenstein, M., Hedges, L. V., Higgins, J. P., &amp; Rothstein, H. R. (2021). </w:t>
      </w:r>
      <w:r>
        <w:rPr>
          <w:i/>
          <w:iCs/>
        </w:rPr>
        <w:t>Introduction to meta-analysis</w:t>
      </w:r>
      <w:r>
        <w:t>. John wiley &amp; sons.</w:t>
      </w:r>
    </w:p>
    <w:bookmarkEnd w:id="60"/>
    <w:p w14:paraId="6A8F9EC1">
      <w:pPr>
        <w:pStyle w:val="30"/>
      </w:pPr>
      <w:bookmarkStart w:id="61" w:name="ref-brier2012"/>
      <w:r>
        <w:t xml:space="preserve">Brier, M. R., Thomas, J. B., Snyder, A. Z., Benzinger, T. L., Zhang, D., Raichle, M. E., Holtzman, D. M., Morris, J. C., &amp; Ances, B. M. (2012). Loss of intranetwork and internetwork resting state functional connections with alzheimer’s disease progression. </w:t>
      </w:r>
      <w:r>
        <w:rPr>
          <w:i/>
          <w:iCs/>
        </w:rPr>
        <w:t>Journal of Neuroscience</w:t>
      </w:r>
      <w:r>
        <w:t xml:space="preserve">, </w:t>
      </w:r>
      <w:r>
        <w:rPr>
          <w:i/>
          <w:iCs/>
        </w:rPr>
        <w:t>32</w:t>
      </w:r>
      <w:r>
        <w:t>(26), 8890–8899.</w:t>
      </w:r>
    </w:p>
    <w:bookmarkEnd w:id="61"/>
    <w:p w14:paraId="6A7D67D7">
      <w:pPr>
        <w:pStyle w:val="30"/>
      </w:pPr>
      <w:bookmarkStart w:id="62" w:name="ref-brini2020"/>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 </w:t>
      </w:r>
      <w:r>
        <w:rPr>
          <w:i/>
          <w:iCs/>
        </w:rPr>
        <w:t>Neuropsychology Review</w:t>
      </w:r>
      <w:r>
        <w:t xml:space="preserve">, </w:t>
      </w:r>
      <w:r>
        <w:rPr>
          <w:i/>
          <w:iCs/>
        </w:rPr>
        <w:t>30</w:t>
      </w:r>
      <w:r>
        <w:t>, 1–24.</w:t>
      </w:r>
    </w:p>
    <w:bookmarkEnd w:id="62"/>
    <w:p w14:paraId="5874DD29">
      <w:pPr>
        <w:pStyle w:val="30"/>
      </w:pPr>
      <w:bookmarkStart w:id="63" w:name="ref-budd2022"/>
      <w:r>
        <w:t xml:space="preserve">Budd Haeberlein, S., Aisen, P., Barkhof, F., Chalkias, S., Chen, T., Cohen, S., Dent, G., Hansson, O., Harrison, K., Von Hehn, C., et al. (2022). Two randomized phase 3 studies of aducanumab in early alzheimer’s disease. </w:t>
      </w:r>
      <w:r>
        <w:rPr>
          <w:i/>
          <w:iCs/>
        </w:rPr>
        <w:t>The Journal of Prevention of Alzheimer’s Disease</w:t>
      </w:r>
      <w:r>
        <w:t xml:space="preserve">, </w:t>
      </w:r>
      <w:r>
        <w:rPr>
          <w:i/>
          <w:iCs/>
        </w:rPr>
        <w:t>9</w:t>
      </w:r>
      <w:r>
        <w:t>(2), 197–210.</w:t>
      </w:r>
    </w:p>
    <w:bookmarkEnd w:id="63"/>
    <w:p w14:paraId="7D7E7BEF">
      <w:pPr>
        <w:pStyle w:val="30"/>
      </w:pPr>
      <w:bookmarkStart w:id="64" w:name="ref-burkner2021"/>
      <w:r>
        <w:t xml:space="preserve">Bürkner, P.-C. (2021). Bayesian item response modeling in r with brms and stan. </w:t>
      </w:r>
      <w:r>
        <w:rPr>
          <w:i/>
          <w:iCs/>
        </w:rPr>
        <w:t>Journal of Statistical Software</w:t>
      </w:r>
      <w:r>
        <w:t xml:space="preserve">, </w:t>
      </w:r>
      <w:r>
        <w:rPr>
          <w:i/>
          <w:iCs/>
        </w:rPr>
        <w:t>100</w:t>
      </w:r>
      <w:r>
        <w:t>, 1–54.</w:t>
      </w:r>
    </w:p>
    <w:bookmarkEnd w:id="64"/>
    <w:p w14:paraId="79DDA239">
      <w:pPr>
        <w:pStyle w:val="30"/>
      </w:pPr>
      <w:bookmarkStart w:id="65" w:name="ref-calabria2020"/>
      <w:r>
        <w:t xml:space="preserve">Calabria, M., Hernández, M., Cattaneo, G., Suades, A., Serra, M., Juncadella, M., Reñé, R., Sala, I., Lleó, A., Ortiz-Gil, J., et al. (2020). Active bilingualism delays the onset of mild cognitive impairment. </w:t>
      </w:r>
      <w:r>
        <w:rPr>
          <w:i/>
          <w:iCs/>
        </w:rPr>
        <w:t>Neuropsychologia</w:t>
      </w:r>
      <w:r>
        <w:t xml:space="preserve">, </w:t>
      </w:r>
      <w:r>
        <w:rPr>
          <w:i/>
          <w:iCs/>
        </w:rPr>
        <w:t>146</w:t>
      </w:r>
      <w:r>
        <w:t>, 107528.</w:t>
      </w:r>
    </w:p>
    <w:bookmarkEnd w:id="65"/>
    <w:p w14:paraId="4E8B1511">
      <w:pPr>
        <w:pStyle w:val="30"/>
      </w:pPr>
      <w:bookmarkStart w:id="66" w:name="ref-chan2001"/>
      <w:r>
        <w:t xml:space="preserve">Chan, D., Fox, N. C., Scahill, R. I., Crum, W. R., Whitwell, J. L., Leschziner, G., Rossor, A. M., Stevens, J. M., Cipolotti, L., &amp; Rossor, M. N. (2001). Patterns of temporal lobe atrophy in semantic dementia and alzheimer’s disease. </w:t>
      </w:r>
      <w:r>
        <w:rPr>
          <w:i/>
          <w:iCs/>
        </w:rPr>
        <w:t>Annals of Neurology</w:t>
      </w:r>
      <w:r>
        <w:t xml:space="preserve">, </w:t>
      </w:r>
      <w:r>
        <w:rPr>
          <w:i/>
          <w:iCs/>
        </w:rPr>
        <w:t>49</w:t>
      </w:r>
      <w:r>
        <w:t>(4), 433–442.</w:t>
      </w:r>
    </w:p>
    <w:bookmarkEnd w:id="66"/>
    <w:p w14:paraId="15FA31AD">
      <w:pPr>
        <w:pStyle w:val="30"/>
      </w:pPr>
      <w:bookmarkStart w:id="67" w:name="ref-chertkow2010"/>
      <w:r>
        <w:t xml:space="preserve">Chertkow, H., Whitehead, V., Phillips, N., Wolfson, C., Atherton, J., &amp; Bergman, H. (2010). Multilingualism (but not always bilingualism) delays the onset of alzheimer disease: Evidence from a bilingual community. </w:t>
      </w:r>
      <w:r>
        <w:rPr>
          <w:i/>
          <w:iCs/>
        </w:rPr>
        <w:t>Alzheimer Disease &amp; Associated Disorders</w:t>
      </w:r>
      <w:r>
        <w:t xml:space="preserve">, </w:t>
      </w:r>
      <w:r>
        <w:rPr>
          <w:i/>
          <w:iCs/>
        </w:rPr>
        <w:t>24</w:t>
      </w:r>
      <w:r>
        <w:t>(2), 118–125.</w:t>
      </w:r>
    </w:p>
    <w:bookmarkEnd w:id="67"/>
    <w:p w14:paraId="786E016C">
      <w:pPr>
        <w:pStyle w:val="30"/>
      </w:pPr>
      <w:bookmarkStart w:id="68" w:name="ref-clare2016"/>
      <w:r>
        <w:t xml:space="preserve">Clare, L., Whitaker, C. J., Craik, F. I., Bialystok, E., Martyr, A., Martin-Forbes, P. A., Bastable, A. J., Pye, K. L., Quinn, C., Thomas, E. M., et al. (2016). Bilingualism, executive control, and age at diagnosis among people with early-stage a lzheimer’s disease in w ales. </w:t>
      </w:r>
      <w:r>
        <w:rPr>
          <w:i/>
          <w:iCs/>
        </w:rPr>
        <w:t>Journal of Neuropsychology</w:t>
      </w:r>
      <w:r>
        <w:t xml:space="preserve">, </w:t>
      </w:r>
      <w:r>
        <w:rPr>
          <w:i/>
          <w:iCs/>
        </w:rPr>
        <w:t>10</w:t>
      </w:r>
      <w:r>
        <w:t>(2), 163–185.</w:t>
      </w:r>
    </w:p>
    <w:bookmarkEnd w:id="68"/>
    <w:p w14:paraId="0278F7B3">
      <w:pPr>
        <w:pStyle w:val="30"/>
      </w:pPr>
      <w:bookmarkStart w:id="69" w:name="ref-comishen2021"/>
      <w:r>
        <w:t xml:space="preserve">Comishen, K. J., &amp; Bialystok, E. (2021). Increases in attentional demands are associated with language group differences in working memory performance. </w:t>
      </w:r>
      <w:r>
        <w:rPr>
          <w:i/>
          <w:iCs/>
        </w:rPr>
        <w:t>Brain and Cognition</w:t>
      </w:r>
      <w:r>
        <w:t>.</w:t>
      </w:r>
    </w:p>
    <w:bookmarkEnd w:id="69"/>
    <w:p w14:paraId="7005F4DF">
      <w:pPr>
        <w:pStyle w:val="30"/>
      </w:pPr>
      <w:bookmarkStart w:id="70" w:name="ref-craik2010"/>
      <w:r>
        <w:t xml:space="preserve">Craik, F. I., Bialystok, E., &amp; Freedman, M. (2010). Delaying the onset of alzheimer disease: Bilingualism as a form of cognitive reserve. </w:t>
      </w:r>
      <w:r>
        <w:rPr>
          <w:i/>
          <w:iCs/>
        </w:rPr>
        <w:t>Neurology</w:t>
      </w:r>
      <w:r>
        <w:t xml:space="preserve">, </w:t>
      </w:r>
      <w:r>
        <w:rPr>
          <w:i/>
          <w:iCs/>
        </w:rPr>
        <w:t>75</w:t>
      </w:r>
      <w:r>
        <w:t>(19), 1726–1729.</w:t>
      </w:r>
    </w:p>
    <w:bookmarkEnd w:id="70"/>
    <w:p w14:paraId="16B3000B">
      <w:pPr>
        <w:pStyle w:val="30"/>
      </w:pPr>
      <w:bookmarkStart w:id="71" w:name="ref-davis2008"/>
      <w:r>
        <w:t xml:space="preserve">Davis, S. W., Dennis, N. A., Daselaar, S. M., Fleck, M. S., &amp; Cabeza, R. (2008). Que PASA? The posterior–anterior shift in aging. </w:t>
      </w:r>
      <w:r>
        <w:rPr>
          <w:i/>
          <w:iCs/>
        </w:rPr>
        <w:t>Cerebral Cortex</w:t>
      </w:r>
      <w:r>
        <w:t xml:space="preserve">, </w:t>
      </w:r>
      <w:r>
        <w:rPr>
          <w:i/>
          <w:iCs/>
        </w:rPr>
        <w:t>18</w:t>
      </w:r>
      <w:r>
        <w:t>(5), 1201–1209.</w:t>
      </w:r>
    </w:p>
    <w:bookmarkEnd w:id="71"/>
    <w:p w14:paraId="2FDB4DC8">
      <w:pPr>
        <w:pStyle w:val="30"/>
      </w:pPr>
      <w:bookmarkStart w:id="72" w:name="ref-duncan2018"/>
      <w:r>
        <w:t xml:space="preserve">Duncan, H. D., Nikelski, J., Pilon, R., Steffener, J., Chertkow, H., &amp; Phillips, N. A. (2018). Structural brain differences between monolingual and multilingual patients with mild cognitive impairment and alzheimer disease: Evidence for cognitive reserve. </w:t>
      </w:r>
      <w:r>
        <w:rPr>
          <w:i/>
          <w:iCs/>
        </w:rPr>
        <w:t>Neuropsychologia</w:t>
      </w:r>
      <w:r>
        <w:t xml:space="preserve">, </w:t>
      </w:r>
      <w:r>
        <w:rPr>
          <w:i/>
          <w:iCs/>
        </w:rPr>
        <w:t>109</w:t>
      </w:r>
      <w:r>
        <w:t>, 270–282.</w:t>
      </w:r>
    </w:p>
    <w:bookmarkEnd w:id="72"/>
    <w:p w14:paraId="7C28D189">
      <w:pPr>
        <w:pStyle w:val="30"/>
      </w:pPr>
      <w:bookmarkStart w:id="73" w:name="ref-folstein1975"/>
      <w:r>
        <w:t xml:space="preserve">Folstein, M. F., Folstein, S. E., &amp; McHugh, P. R. (1975). “Mini-mental state”: A practical method for grading the cognitive state of patients for the clinician. </w:t>
      </w:r>
      <w:r>
        <w:rPr>
          <w:i/>
          <w:iCs/>
        </w:rPr>
        <w:t>Journal of Psychiatric Research</w:t>
      </w:r>
      <w:r>
        <w:t xml:space="preserve">, </w:t>
      </w:r>
      <w:r>
        <w:rPr>
          <w:i/>
          <w:iCs/>
        </w:rPr>
        <w:t>12</w:t>
      </w:r>
      <w:r>
        <w:t>(3), 189–198.</w:t>
      </w:r>
    </w:p>
    <w:bookmarkEnd w:id="73"/>
    <w:p w14:paraId="6863602B">
      <w:pPr>
        <w:pStyle w:val="30"/>
      </w:pPr>
      <w:bookmarkStart w:id="74" w:name="ref-frank2008"/>
      <w:r>
        <w:t xml:space="preserve">Frank, A. R., &amp; Petersen, R. C. (2008). Mild cognitive impairment. In C. Duyckaerts &amp; I. Litvan (Eds.), </w:t>
      </w:r>
      <w:r>
        <w:rPr>
          <w:i/>
          <w:iCs/>
        </w:rPr>
        <w:t>Handbook of clinical neurology</w:t>
      </w:r>
      <w:r>
        <w:t xml:space="preserve"> (Vol. 89). Elsevier.</w:t>
      </w:r>
    </w:p>
    <w:bookmarkEnd w:id="74"/>
    <w:p w14:paraId="6D7CA188">
      <w:pPr>
        <w:pStyle w:val="30"/>
      </w:pPr>
      <w:bookmarkStart w:id="75" w:name="ref-frazier2004"/>
      <w:r>
        <w:t xml:space="preserve">Frazier, T. W., Demaree, H. A., &amp; Youngstrom, E. A. (2004). Meta-analysis of intellectual and neuropsychological test performance in attention-deficit/hyperactivity disorder. </w:t>
      </w:r>
      <w:r>
        <w:rPr>
          <w:i/>
          <w:iCs/>
        </w:rPr>
        <w:t>Neuropsychology</w:t>
      </w:r>
      <w:r>
        <w:t xml:space="preserve">, </w:t>
      </w:r>
      <w:r>
        <w:rPr>
          <w:i/>
          <w:iCs/>
        </w:rPr>
        <w:t>18</w:t>
      </w:r>
      <w:r>
        <w:t>(3), 543.</w:t>
      </w:r>
    </w:p>
    <w:bookmarkEnd w:id="75"/>
    <w:p w14:paraId="528AD5CD">
      <w:pPr>
        <w:pStyle w:val="30"/>
      </w:pPr>
      <w:bookmarkStart w:id="76" w:name="ref-fuller2014"/>
      <w:r>
        <w:t xml:space="preserve">Fuller-Thomson, E., &amp; Kuh, D. (2014). </w:t>
      </w:r>
      <w:r>
        <w:rPr>
          <w:i/>
          <w:iCs/>
        </w:rPr>
        <w:t>The healthy migrant effect may confound the link between bilingualism and delayed onset of alzheimer’s disease.</w:t>
      </w:r>
    </w:p>
    <w:bookmarkEnd w:id="76"/>
    <w:p w14:paraId="5906654D">
      <w:pPr>
        <w:pStyle w:val="30"/>
      </w:pPr>
      <w:bookmarkStart w:id="77" w:name="ref-gallo2024"/>
      <w:r>
        <w:t xml:space="preserve">Gallo, F., &amp; Abutalebi, J. (2024). The unique role of bilingualism among cognitive reserve-enhancing factors. </w:t>
      </w:r>
      <w:r>
        <w:rPr>
          <w:i/>
          <w:iCs/>
        </w:rPr>
        <w:t>Bilingualism: Language and Cognition</w:t>
      </w:r>
      <w:r>
        <w:t xml:space="preserve">, </w:t>
      </w:r>
      <w:r>
        <w:rPr>
          <w:i/>
          <w:iCs/>
        </w:rPr>
        <w:t>27</w:t>
      </w:r>
      <w:r>
        <w:t>(2), 287–294.</w:t>
      </w:r>
    </w:p>
    <w:bookmarkEnd w:id="77"/>
    <w:p w14:paraId="212D57F4">
      <w:pPr>
        <w:pStyle w:val="30"/>
      </w:pPr>
      <w:bookmarkStart w:id="78" w:name="ref-gatz2001"/>
      <w:r>
        <w:t xml:space="preserve">Gatz, M., Svedberg, P., Pedersen, N. L., Mortimer, J. A., Berg, S., &amp; Johansson, B. (2001). Education and the risk of alzheimer’s disease: Findings from the study of dementia in swedish twins. </w:t>
      </w:r>
      <w:r>
        <w:rPr>
          <w:i/>
          <w:iCs/>
        </w:rPr>
        <w:t>The Journals of Gerontology Series B: Psychological Sciences and Social Sciences</w:t>
      </w:r>
      <w:r>
        <w:t xml:space="preserve">, </w:t>
      </w:r>
      <w:r>
        <w:rPr>
          <w:i/>
          <w:iCs/>
        </w:rPr>
        <w:t>56</w:t>
      </w:r>
      <w:r>
        <w:t>(5), P292–P300.</w:t>
      </w:r>
    </w:p>
    <w:bookmarkEnd w:id="78"/>
    <w:p w14:paraId="23DFB4CE">
      <w:pPr>
        <w:pStyle w:val="30"/>
      </w:pPr>
      <w:bookmarkStart w:id="79" w:name="ref-gollan2012"/>
      <w:r>
        <w:t xml:space="preserve">Gollan, T. H., Weissberger, G. H., Runnqvist, E., Montoya, R. I., &amp; Cera, C. M. (2012). Self-ratings of spoken language dominance: A multilingual naming test (MINT) and preliminary norms for young and aging spanish–english bilinguals. </w:t>
      </w:r>
      <w:r>
        <w:rPr>
          <w:i/>
          <w:iCs/>
        </w:rPr>
        <w:t>Bilingualism: Language and Cognition</w:t>
      </w:r>
      <w:r>
        <w:t xml:space="preserve">, </w:t>
      </w:r>
      <w:r>
        <w:rPr>
          <w:i/>
          <w:iCs/>
        </w:rPr>
        <w:t>15</w:t>
      </w:r>
      <w:r>
        <w:t>(3), 594–615.</w:t>
      </w:r>
    </w:p>
    <w:bookmarkEnd w:id="79"/>
    <w:p w14:paraId="190D3C6C">
      <w:pPr>
        <w:pStyle w:val="30"/>
      </w:pPr>
      <w:bookmarkStart w:id="80" w:name="ref-grady1994"/>
      <w:r>
        <w:t xml:space="preserve">Grady, C. L., Maisog, J. M., Horwitz, B., Ungerleider, L. G., Mentis, M. J., Salerno, J. A., Pietrini, P., Wagner, E., &amp; Haxby, J. V. (1994). Age-related changes in cortical blood flow activation during visual processing of faces and location. </w:t>
      </w:r>
      <w:r>
        <w:rPr>
          <w:i/>
          <w:iCs/>
        </w:rPr>
        <w:t>Journal of Neuroscience</w:t>
      </w:r>
      <w:r>
        <w:t xml:space="preserve">, </w:t>
      </w:r>
      <w:r>
        <w:rPr>
          <w:i/>
          <w:iCs/>
        </w:rPr>
        <w:t>14</w:t>
      </w:r>
      <w:r>
        <w:t>(3), 1450–1462.</w:t>
      </w:r>
    </w:p>
    <w:bookmarkEnd w:id="80"/>
    <w:p w14:paraId="0E5F56AA">
      <w:pPr>
        <w:pStyle w:val="30"/>
      </w:pPr>
      <w:bookmarkStart w:id="81" w:name="ref-grundy2017"/>
      <w:r>
        <w:t xml:space="preserve">Grundy, J. G., &amp; Anderson, J. A. (2017). Commentary: The relationship of bilingualism compared to monolingualism to the risk of cognitive decline or dementia: A systematic review and meta-analysis. </w:t>
      </w:r>
      <w:r>
        <w:rPr>
          <w:i/>
          <w:iCs/>
        </w:rPr>
        <w:t>Frontiers in Aging Neuroscience</w:t>
      </w:r>
      <w:r>
        <w:t xml:space="preserve">, </w:t>
      </w:r>
      <w:r>
        <w:rPr>
          <w:i/>
          <w:iCs/>
        </w:rPr>
        <w:t>9</w:t>
      </w:r>
      <w:r>
        <w:t>, 344.</w:t>
      </w:r>
    </w:p>
    <w:bookmarkEnd w:id="81"/>
    <w:p w14:paraId="2BB8714F">
      <w:pPr>
        <w:pStyle w:val="30"/>
      </w:pPr>
      <w:bookmarkStart w:id="82" w:name="ref-hase2018"/>
      <w:r>
        <w:t xml:space="preserve">Hase, Y., Horsburgh, K., Ihara, M., &amp; Kalaria, R. N. (2018). White matter degeneration in vascular and other ageing-related dementias. </w:t>
      </w:r>
      <w:r>
        <w:rPr>
          <w:i/>
          <w:iCs/>
        </w:rPr>
        <w:t>Journal of Neurochemistry</w:t>
      </w:r>
      <w:r>
        <w:t xml:space="preserve">, </w:t>
      </w:r>
      <w:r>
        <w:rPr>
          <w:i/>
          <w:iCs/>
        </w:rPr>
        <w:t>144</w:t>
      </w:r>
      <w:r>
        <w:t>(5), 617–633.</w:t>
      </w:r>
    </w:p>
    <w:bookmarkEnd w:id="82"/>
    <w:p w14:paraId="5D369CB2">
      <w:pPr>
        <w:pStyle w:val="30"/>
      </w:pPr>
      <w:bookmarkStart w:id="83" w:name="ref-homer1994"/>
      <w:r>
        <w:t xml:space="preserve">Homer, J., Alberts, M. J., Dawson, D. V., &amp; Cook, G. M. (1994). Swallowing in alzheimer’s disease. </w:t>
      </w:r>
      <w:r>
        <w:rPr>
          <w:i/>
          <w:iCs/>
        </w:rPr>
        <w:t>Alzheimer Disease &amp; Associated Disorders</w:t>
      </w:r>
      <w:r>
        <w:t xml:space="preserve">, </w:t>
      </w:r>
      <w:r>
        <w:rPr>
          <w:i/>
          <w:iCs/>
        </w:rPr>
        <w:t>8</w:t>
      </w:r>
      <w:r>
        <w:t>(3), 177–189.</w:t>
      </w:r>
    </w:p>
    <w:bookmarkEnd w:id="83"/>
    <w:p w14:paraId="200E59C8">
      <w:pPr>
        <w:pStyle w:val="30"/>
      </w:pPr>
      <w:bookmarkStart w:id="84" w:name="ref-jafari2021"/>
      <w:r>
        <w:t xml:space="preserve">Jafari, Z., Perani, D., Kolb, B. E., &amp; Mohajerani, M. H. (2021). Bilingual experience and intrinsic functional connectivity in adults, aging, and alzheimer’s disease. </w:t>
      </w:r>
      <w:r>
        <w:rPr>
          <w:i/>
          <w:iCs/>
        </w:rPr>
        <w:t>Annals of the New York Academy of Sciences</w:t>
      </w:r>
      <w:r>
        <w:t xml:space="preserve">, </w:t>
      </w:r>
      <w:r>
        <w:rPr>
          <w:i/>
          <w:iCs/>
        </w:rPr>
        <w:t>1505</w:t>
      </w:r>
      <w:r>
        <w:t>(1), 8–22.</w:t>
      </w:r>
    </w:p>
    <w:bookmarkEnd w:id="84"/>
    <w:p w14:paraId="532F9B3F">
      <w:pPr>
        <w:pStyle w:val="30"/>
      </w:pPr>
      <w:bookmarkStart w:id="85" w:name="ref-kay2023"/>
      <w:r>
        <w:t xml:space="preserve">Kay, M., &amp; Mastny, T. (2023). Tidybayes: Tidy data and geoms for bayesian models (v3. 0.4). </w:t>
      </w:r>
      <w:r>
        <w:rPr>
          <w:i/>
          <w:iCs/>
        </w:rPr>
        <w:t>Tidybayes: Tidy Data and “Geoms” for Bayesian Models (3.0. 6)</w:t>
      </w:r>
      <w:r>
        <w:t>.</w:t>
      </w:r>
    </w:p>
    <w:bookmarkEnd w:id="85"/>
    <w:p w14:paraId="31736B17">
      <w:pPr>
        <w:pStyle w:val="30"/>
      </w:pPr>
      <w:bookmarkStart w:id="86" w:name="ref-kepp2016"/>
      <w:r>
        <w:t xml:space="preserve">Kepp, K. P. (2016). Ten challenges of the amyloid hypothesis of alzheimer’s disease. </w:t>
      </w:r>
      <w:r>
        <w:rPr>
          <w:i/>
          <w:iCs/>
        </w:rPr>
        <w:t>Journal of Alzheimer’s Disease</w:t>
      </w:r>
      <w:r>
        <w:t xml:space="preserve">, </w:t>
      </w:r>
      <w:r>
        <w:rPr>
          <w:i/>
          <w:iCs/>
        </w:rPr>
        <w:t>55</w:t>
      </w:r>
      <w:r>
        <w:t>(2), 447–457.</w:t>
      </w:r>
    </w:p>
    <w:bookmarkEnd w:id="86"/>
    <w:p w14:paraId="6F985686">
      <w:pPr>
        <w:pStyle w:val="30"/>
      </w:pPr>
      <w:bookmarkStart w:id="87" w:name="ref-kowoll2016"/>
      <w:r>
        <w:t xml:space="preserve">Kowoll, M. E., Degen, C., Gorenc, L., Küntzelmann, A., Fellhauer, I., Giesel, F., &amp; Schröder, J. (2016). Bilingualism as a contributor to cognitive reserve? Evidence from cerebral glucose metabolism in mild cognitive impairment and alzheimer’s disease. </w:t>
      </w:r>
      <w:r>
        <w:rPr>
          <w:i/>
          <w:iCs/>
        </w:rPr>
        <w:t>Frontiers in Psychiatry</w:t>
      </w:r>
      <w:r>
        <w:t xml:space="preserve">, </w:t>
      </w:r>
      <w:r>
        <w:rPr>
          <w:i/>
          <w:iCs/>
        </w:rPr>
        <w:t>7</w:t>
      </w:r>
      <w:r>
        <w:t xml:space="preserve">, 62. </w:t>
      </w:r>
      <w:r>
        <w:fldChar w:fldCharType="begin"/>
      </w:r>
      <w:r>
        <w:instrText xml:space="preserve"> HYPERLINK "https://doi.org/10.3389/fpsyt.2016.00062" \h </w:instrText>
      </w:r>
      <w:r>
        <w:fldChar w:fldCharType="separate"/>
      </w:r>
      <w:r>
        <w:rPr>
          <w:rStyle w:val="20"/>
        </w:rPr>
        <w:t>https://doi.org/10.3389/fpsyt.2016.00062</w:t>
      </w:r>
      <w:r>
        <w:rPr>
          <w:rStyle w:val="20"/>
        </w:rPr>
        <w:fldChar w:fldCharType="end"/>
      </w:r>
    </w:p>
    <w:bookmarkEnd w:id="87"/>
    <w:p w14:paraId="126AE4D3">
      <w:pPr>
        <w:pStyle w:val="30"/>
      </w:pPr>
      <w:bookmarkStart w:id="88" w:name="ref-lawton2015"/>
      <w:r>
        <w:t xml:space="preserve">Lawton, D. M., Gasquoine, P. G., &amp; Weimer, A. A. (2015). Age of dementia diagnosis in community dwelling bilingual and monolingual hispanic americans. </w:t>
      </w:r>
      <w:r>
        <w:rPr>
          <w:i/>
          <w:iCs/>
        </w:rPr>
        <w:t>Cortex</w:t>
      </w:r>
      <w:r>
        <w:t xml:space="preserve">, </w:t>
      </w:r>
      <w:r>
        <w:rPr>
          <w:i/>
          <w:iCs/>
        </w:rPr>
        <w:t>66</w:t>
      </w:r>
      <w:r>
        <w:t xml:space="preserve">, 141–145. </w:t>
      </w:r>
      <w:r>
        <w:fldChar w:fldCharType="begin"/>
      </w:r>
      <w:r>
        <w:instrText xml:space="preserve"> HYPERLINK "https://doi.org/10.1016/j.cortex.2015.02.003" \h </w:instrText>
      </w:r>
      <w:r>
        <w:fldChar w:fldCharType="separate"/>
      </w:r>
      <w:r>
        <w:rPr>
          <w:rStyle w:val="20"/>
        </w:rPr>
        <w:t>https://doi.org/10.1016/j.cortex.2015.02.003</w:t>
      </w:r>
      <w:r>
        <w:rPr>
          <w:rStyle w:val="20"/>
        </w:rPr>
        <w:fldChar w:fldCharType="end"/>
      </w:r>
    </w:p>
    <w:bookmarkEnd w:id="88"/>
    <w:p w14:paraId="0736C743">
      <w:pPr>
        <w:pStyle w:val="30"/>
      </w:pPr>
      <w:bookmarkStart w:id="89" w:name="ref-lee2022"/>
      <w:r>
        <w:t xml:space="preserve">Lee, Y.-Y. (2022). Bilingualism, dementia, and the neurological mechanisms in between: The need for a more critical look into dementia subtypes. </w:t>
      </w:r>
      <w:r>
        <w:rPr>
          <w:i/>
          <w:iCs/>
        </w:rPr>
        <w:t>Frontiers in Aging Neuroscience</w:t>
      </w:r>
      <w:r>
        <w:t xml:space="preserve">, </w:t>
      </w:r>
      <w:r>
        <w:rPr>
          <w:i/>
          <w:iCs/>
        </w:rPr>
        <w:t>14</w:t>
      </w:r>
      <w:r>
        <w:t xml:space="preserve">, 872508. </w:t>
      </w:r>
      <w:r>
        <w:fldChar w:fldCharType="begin"/>
      </w:r>
      <w:r>
        <w:instrText xml:space="preserve"> HYPERLINK "https://doi.org/10.3389/fnagi.2022.872508" \h </w:instrText>
      </w:r>
      <w:r>
        <w:fldChar w:fldCharType="separate"/>
      </w:r>
      <w:r>
        <w:rPr>
          <w:rStyle w:val="20"/>
        </w:rPr>
        <w:t>https://doi.org/10.3389/fnagi.2022.872508</w:t>
      </w:r>
      <w:r>
        <w:rPr>
          <w:rStyle w:val="20"/>
        </w:rPr>
        <w:fldChar w:fldCharType="end"/>
      </w:r>
    </w:p>
    <w:bookmarkEnd w:id="89"/>
    <w:p w14:paraId="33D85706">
      <w:pPr>
        <w:pStyle w:val="30"/>
      </w:pPr>
      <w:bookmarkStart w:id="90" w:name="ref-de2024"/>
      <w:r>
        <w:t xml:space="preserve">Leon, J. de, Grasso, S. M., Allen, I. E., Escueta, D. P., Vega, Y., Eshghavi, M., Watson, C., Dronkers, N., Gorno-Tempini, M. L., &amp; Henry, M. L. (2024). Examining the relation between bilingualism and age of symptom onset in frontotemporal dementia. </w:t>
      </w:r>
      <w:r>
        <w:rPr>
          <w:i/>
          <w:iCs/>
        </w:rPr>
        <w:t>Bilingualism: Language and Cognition</w:t>
      </w:r>
      <w:r>
        <w:t xml:space="preserve">, </w:t>
      </w:r>
      <w:r>
        <w:rPr>
          <w:i/>
          <w:iCs/>
        </w:rPr>
        <w:t>27</w:t>
      </w:r>
      <w:r>
        <w:t>(2), 274–286.</w:t>
      </w:r>
    </w:p>
    <w:bookmarkEnd w:id="90"/>
    <w:p w14:paraId="1974A87A">
      <w:pPr>
        <w:pStyle w:val="30"/>
      </w:pPr>
      <w:bookmarkStart w:id="91" w:name="ref-de2020"/>
      <w:r>
        <w:t xml:space="preserve">Leon, J. de, Grasso, S. M., Welch, A., Miller, Z., Shwe, W., Rabinovici, G. D., Miller, B. L., Henry, M. L., &amp; Gorno-Tempini, M. L. (2020). Effects of bilingualism on age at onset in two clinical alzheimer’s disease variants. </w:t>
      </w:r>
      <w:r>
        <w:rPr>
          <w:i/>
          <w:iCs/>
        </w:rPr>
        <w:t>Alzheimer’s &amp; Dementia</w:t>
      </w:r>
      <w:r>
        <w:t xml:space="preserve">, </w:t>
      </w:r>
      <w:r>
        <w:rPr>
          <w:i/>
          <w:iCs/>
        </w:rPr>
        <w:t>16</w:t>
      </w:r>
      <w:r>
        <w:t>(12), 1704–1713.</w:t>
      </w:r>
    </w:p>
    <w:bookmarkEnd w:id="91"/>
    <w:p w14:paraId="60BA7217">
      <w:pPr>
        <w:pStyle w:val="30"/>
      </w:pPr>
      <w:bookmarkStart w:id="92" w:name="ref-light1984"/>
      <w:r>
        <w:t xml:space="preserve">Light, R. J., &amp; Pillemer, D. B. (1984). </w:t>
      </w:r>
      <w:r>
        <w:rPr>
          <w:i/>
          <w:iCs/>
        </w:rPr>
        <w:t>Summing up: The science of reviewing research</w:t>
      </w:r>
      <w:r>
        <w:t>. Harvard University Press.</w:t>
      </w:r>
    </w:p>
    <w:bookmarkEnd w:id="92"/>
    <w:p w14:paraId="4018521D">
      <w:pPr>
        <w:pStyle w:val="30"/>
      </w:pPr>
      <w:bookmarkStart w:id="93" w:name="ref-ljungberg2016"/>
      <w:r>
        <w:t xml:space="preserve">Ljungberg, J. K., Hansson, P., Adolfsson, R., &amp; Nilsson, L.-G. (2016). The effect of language skills on dementia in a swedish longitudinal cohort. </w:t>
      </w:r>
      <w:r>
        <w:rPr>
          <w:i/>
          <w:iCs/>
        </w:rPr>
        <w:t>Linguistic Approaches to Bilingualism</w:t>
      </w:r>
      <w:r>
        <w:t xml:space="preserve">, </w:t>
      </w:r>
      <w:r>
        <w:rPr>
          <w:i/>
          <w:iCs/>
        </w:rPr>
        <w:t>6</w:t>
      </w:r>
      <w:r>
        <w:t>(1-2), 190–204.</w:t>
      </w:r>
    </w:p>
    <w:bookmarkEnd w:id="93"/>
    <w:p w14:paraId="33F43ADF">
      <w:pPr>
        <w:pStyle w:val="30"/>
      </w:pPr>
      <w:bookmarkStart w:id="94" w:name="ref-meda2013"/>
      <w:r>
        <w:t xml:space="preserve">Meda, S. A., Koran, M. E. I., Pryweller, J. R., Vega, J. N., &amp; Thornton-Wells, T. A. (2013). Genetic interactions associated with 12-month atrophy in hippocampus and entorhinal cortex in alzheimer’s disease. </w:t>
      </w:r>
      <w:r>
        <w:rPr>
          <w:i/>
          <w:iCs/>
        </w:rPr>
        <w:t>Neurobiology of Aging</w:t>
      </w:r>
      <w:r>
        <w:t xml:space="preserve">, </w:t>
      </w:r>
      <w:r>
        <w:rPr>
          <w:i/>
          <w:iCs/>
        </w:rPr>
        <w:t>34</w:t>
      </w:r>
      <w:r>
        <w:t xml:space="preserve">, 9–18. </w:t>
      </w:r>
      <w:r>
        <w:fldChar w:fldCharType="begin"/>
      </w:r>
      <w:r>
        <w:instrText xml:space="preserve"> HYPERLINK "https://doi.org/10.1016/j.neurobiolaging.2012.09.020" \h </w:instrText>
      </w:r>
      <w:r>
        <w:fldChar w:fldCharType="separate"/>
      </w:r>
      <w:r>
        <w:rPr>
          <w:rStyle w:val="20"/>
        </w:rPr>
        <w:t>https://doi.org/10.1016/j.neurobiolaging.2012.09.020</w:t>
      </w:r>
      <w:r>
        <w:rPr>
          <w:rStyle w:val="20"/>
        </w:rPr>
        <w:fldChar w:fldCharType="end"/>
      </w:r>
    </w:p>
    <w:bookmarkEnd w:id="94"/>
    <w:p w14:paraId="39C1D7C0">
      <w:pPr>
        <w:pStyle w:val="30"/>
      </w:pPr>
      <w:bookmarkStart w:id="95" w:name="ref-mendez2020"/>
      <w:r>
        <w:t xml:space="preserve">Mendez, M. F., Chavez, D., &amp; Akhlaghipour, G. (2020). Bilingualism delays expression of alzheimer’s clinical syndrome. </w:t>
      </w:r>
      <w:r>
        <w:rPr>
          <w:i/>
          <w:iCs/>
        </w:rPr>
        <w:t>Dementia and Geriatric Cognitive Disorders</w:t>
      </w:r>
      <w:r>
        <w:t xml:space="preserve">, </w:t>
      </w:r>
      <w:r>
        <w:rPr>
          <w:i/>
          <w:iCs/>
        </w:rPr>
        <w:t>48</w:t>
      </w:r>
      <w:r>
        <w:t>(5-6), 281–289.</w:t>
      </w:r>
    </w:p>
    <w:bookmarkEnd w:id="95"/>
    <w:p w14:paraId="28EEAD76">
      <w:pPr>
        <w:pStyle w:val="30"/>
      </w:pPr>
      <w:bookmarkStart w:id="96" w:name="ref-de2018"/>
      <w:r>
        <w:t xml:space="preserve">Mooij, S. M. de, Henson, R. N., Waldorp, L. J., &amp; Kievit, R. A. (2018). Age differentiation within gray matter, white matter, and between memory and white matter in an adult life span cohort. </w:t>
      </w:r>
      <w:r>
        <w:rPr>
          <w:i/>
          <w:iCs/>
        </w:rPr>
        <w:t>Journal of Neuroscience</w:t>
      </w:r>
      <w:r>
        <w:t xml:space="preserve">, </w:t>
      </w:r>
      <w:r>
        <w:rPr>
          <w:i/>
          <w:iCs/>
        </w:rPr>
        <w:t>38</w:t>
      </w:r>
      <w:r>
        <w:t>(25), 5826–5836.</w:t>
      </w:r>
    </w:p>
    <w:bookmarkEnd w:id="96"/>
    <w:p w14:paraId="05053C86">
      <w:pPr>
        <w:pStyle w:val="30"/>
      </w:pPr>
      <w:bookmarkStart w:id="97" w:name="ref-mukadam2017"/>
      <w:r>
        <w:t xml:space="preserve">Mukadam, N., Sommerlad, A., &amp; Livingston, G. (2017). The relationship of bilingualism compared to monolingualism to the risk of cognitive decline or dementia: A systematic review and meta-analysis. </w:t>
      </w:r>
      <w:r>
        <w:rPr>
          <w:i/>
          <w:iCs/>
        </w:rPr>
        <w:t>Journal of Alzheimer’s Disease</w:t>
      </w:r>
      <w:r>
        <w:t xml:space="preserve">, </w:t>
      </w:r>
      <w:r>
        <w:rPr>
          <w:i/>
          <w:iCs/>
        </w:rPr>
        <w:t>58</w:t>
      </w:r>
      <w:r>
        <w:t>(1), 45–54.</w:t>
      </w:r>
    </w:p>
    <w:bookmarkEnd w:id="97"/>
    <w:p w14:paraId="11522D53">
      <w:pPr>
        <w:pStyle w:val="30"/>
      </w:pPr>
      <w:bookmarkStart w:id="98" w:name="ref-nicenboim2024"/>
      <w:r>
        <w:t xml:space="preserve">Nicenboim, B., Schad, D., &amp; Vasishth, S. (2024). </w:t>
      </w:r>
      <w:r>
        <w:rPr>
          <w:i/>
          <w:iCs/>
        </w:rPr>
        <w:t>An introduction to bayesian data analysis for cognitive science</w:t>
      </w:r>
      <w:r>
        <w:t>.</w:t>
      </w:r>
    </w:p>
    <w:bookmarkEnd w:id="98"/>
    <w:p w14:paraId="71355E0F">
      <w:pPr>
        <w:pStyle w:val="30"/>
      </w:pPr>
      <w:bookmarkStart w:id="99" w:name="ref-ossher2013"/>
      <w:r>
        <w:t xml:space="preserve">Ossher, L., Bialystok, E., Craik, F. I., Murphy, K. J., &amp; Troyer, A. K. (2013). The effect of bilingualism on amnestic mild cognitive impairment. </w:t>
      </w:r>
      <w:r>
        <w:rPr>
          <w:i/>
          <w:iCs/>
        </w:rPr>
        <w:t>Journals of Gerontology Series B: Psychological Sciences and Social Sciences</w:t>
      </w:r>
      <w:r>
        <w:t xml:space="preserve">, </w:t>
      </w:r>
      <w:r>
        <w:rPr>
          <w:i/>
          <w:iCs/>
        </w:rPr>
        <w:t>68</w:t>
      </w:r>
      <w:r>
        <w:t>(1), 8–12.</w:t>
      </w:r>
    </w:p>
    <w:bookmarkEnd w:id="99"/>
    <w:p w14:paraId="1ECD1971">
      <w:pPr>
        <w:pStyle w:val="30"/>
      </w:pPr>
      <w:bookmarkStart w:id="100" w:name="ref-paap2019"/>
      <w:r>
        <w:t xml:space="preserve">Paap, K. (2019). The bilingual advantage debate: Quantity and quality of the evidence. In </w:t>
      </w:r>
      <w:r>
        <w:rPr>
          <w:i/>
          <w:iCs/>
        </w:rPr>
        <w:t>The handbook of the neuroscience of multilingualism</w:t>
      </w:r>
      <w:r>
        <w:t xml:space="preserve"> (pp. 701–735).</w:t>
      </w:r>
    </w:p>
    <w:bookmarkEnd w:id="100"/>
    <w:p w14:paraId="6AEFAF2D">
      <w:pPr>
        <w:pStyle w:val="30"/>
      </w:pPr>
      <w:bookmarkStart w:id="101" w:name="ref-perani2017"/>
      <w:r>
        <w:t xml:space="preserve">Perani, D., Farsad, M., Ballarini, T., Lubian, F., Malpetti, M., Fracchetti, A., &amp; Abutalebi, J. (2017). The impact of bilingualism on brain reserve and metabolic connectivity in alzheimer’s dementia. </w:t>
      </w:r>
      <w:r>
        <w:rPr>
          <w:i/>
          <w:iCs/>
        </w:rPr>
        <w:t>Proceedings of the National Academy of Sciences</w:t>
      </w:r>
      <w:r>
        <w:t xml:space="preserve">, </w:t>
      </w:r>
      <w:r>
        <w:rPr>
          <w:i/>
          <w:iCs/>
        </w:rPr>
        <w:t>114</w:t>
      </w:r>
      <w:r>
        <w:t>(7), 1690–1695.</w:t>
      </w:r>
    </w:p>
    <w:bookmarkEnd w:id="101"/>
    <w:p w14:paraId="433EF147">
      <w:pPr>
        <w:pStyle w:val="30"/>
      </w:pPr>
      <w:bookmarkStart w:id="102" w:name="ref-ramakrishnan2017"/>
      <w:r>
        <w:t xml:space="preserve">Ramakrishnan, S., Mekala, S., Mamidipudi, A., Yareeda, S., Mridula, R., Bak, T. H., &amp; Kaul, S. (2017). Comparative effects of education and bilingualism on the onset of mild cognitive impairment. </w:t>
      </w:r>
      <w:r>
        <w:rPr>
          <w:i/>
          <w:iCs/>
        </w:rPr>
        <w:t>Dementia and Geriatric Cognitive Disorders</w:t>
      </w:r>
      <w:r>
        <w:t xml:space="preserve">, </w:t>
      </w:r>
      <w:r>
        <w:rPr>
          <w:i/>
          <w:iCs/>
        </w:rPr>
        <w:t>44</w:t>
      </w:r>
      <w:r>
        <w:t>(3-4), 222–231.</w:t>
      </w:r>
    </w:p>
    <w:bookmarkEnd w:id="102"/>
    <w:p w14:paraId="273AD483">
      <w:pPr>
        <w:pStyle w:val="30"/>
      </w:pPr>
      <w:bookmarkStart w:id="103" w:name="ref-scarmeas2003"/>
      <w:r>
        <w:t xml:space="preserve">Scarmeas, N., &amp; Stern, Y. (2003). Cognitive reserve and lifestyle. </w:t>
      </w:r>
      <w:r>
        <w:rPr>
          <w:i/>
          <w:iCs/>
        </w:rPr>
        <w:t>Journal of Clinical and Experimental Neuropsychology</w:t>
      </w:r>
      <w:r>
        <w:t xml:space="preserve">, </w:t>
      </w:r>
      <w:r>
        <w:rPr>
          <w:i/>
          <w:iCs/>
        </w:rPr>
        <w:t>25</w:t>
      </w:r>
      <w:r>
        <w:t>(5), 625–633.</w:t>
      </w:r>
    </w:p>
    <w:bookmarkEnd w:id="103"/>
    <w:p w14:paraId="13D9D452">
      <w:pPr>
        <w:pStyle w:val="30"/>
      </w:pPr>
      <w:bookmarkStart w:id="104" w:name="ref-schmid2020"/>
      <w:r>
        <w:t xml:space="preserve">Schmid, C. H., Carlin, B. P., &amp; Welton, N. J. (2020). Bayesian methods for meta-analysis. In </w:t>
      </w:r>
      <w:r>
        <w:rPr>
          <w:i/>
          <w:iCs/>
        </w:rPr>
        <w:t>Handbook of meta-analysis</w:t>
      </w:r>
      <w:r>
        <w:t xml:space="preserve"> (pp. 91–128). Chapman; Hall/CRC.</w:t>
      </w:r>
    </w:p>
    <w:bookmarkEnd w:id="104"/>
    <w:p w14:paraId="00F0118B">
      <w:pPr>
        <w:pStyle w:val="30"/>
      </w:pPr>
      <w:bookmarkStart w:id="105" w:name="ref-sedgwick2015"/>
      <w:r>
        <w:t xml:space="preserve">Sedgwick, P., &amp; Marston, L. (2015). How to read a funnel plot in a meta-analysis. </w:t>
      </w:r>
      <w:r>
        <w:rPr>
          <w:i/>
          <w:iCs/>
        </w:rPr>
        <w:t>BMJ</w:t>
      </w:r>
      <w:r>
        <w:t xml:space="preserve">, </w:t>
      </w:r>
      <w:r>
        <w:rPr>
          <w:i/>
          <w:iCs/>
        </w:rPr>
        <w:t>351</w:t>
      </w:r>
      <w:r>
        <w:t>.</w:t>
      </w:r>
    </w:p>
    <w:bookmarkEnd w:id="105"/>
    <w:p w14:paraId="1C56406D">
      <w:pPr>
        <w:pStyle w:val="30"/>
      </w:pPr>
      <w:bookmarkStart w:id="106" w:name="ref-sharp2011"/>
      <w:r>
        <w:t xml:space="preserve">Sharp, E. S., &amp; Gatz, M. (2011). Relationship between education and dementia: An updated systematic review. </w:t>
      </w:r>
      <w:r>
        <w:rPr>
          <w:i/>
          <w:iCs/>
        </w:rPr>
        <w:t>Alzheimer Disease &amp; Associated Disorders</w:t>
      </w:r>
      <w:r>
        <w:t xml:space="preserve">, </w:t>
      </w:r>
      <w:r>
        <w:rPr>
          <w:i/>
          <w:iCs/>
        </w:rPr>
        <w:t>25</w:t>
      </w:r>
      <w:r>
        <w:t>(4), 289–304.</w:t>
      </w:r>
    </w:p>
    <w:bookmarkEnd w:id="106"/>
    <w:p w14:paraId="004078B0">
      <w:pPr>
        <w:pStyle w:val="30"/>
      </w:pPr>
      <w:bookmarkStart w:id="107" w:name="ref-sims2023"/>
      <w:r>
        <w:t xml:space="preserve">Sims, J. R., Zimmer, J. A., Evans, C. D., Lu, M., Ardayfio, P., Sparks, J., Wessels, A. M., Shcherbinin, S., Wang, H., Nery, E. S. M., et al. (2023). Donanemab in early symptomatic alzheimer disease: The TRAILBLAZER-ALZ 2 randomized clinical trial. </w:t>
      </w:r>
      <w:r>
        <w:rPr>
          <w:i/>
          <w:iCs/>
        </w:rPr>
        <w:t>Jama</w:t>
      </w:r>
      <w:r>
        <w:t xml:space="preserve">, </w:t>
      </w:r>
      <w:r>
        <w:rPr>
          <w:i/>
          <w:iCs/>
        </w:rPr>
        <w:t>330</w:t>
      </w:r>
      <w:r>
        <w:t>(6), 512–527.</w:t>
      </w:r>
    </w:p>
    <w:bookmarkEnd w:id="107"/>
    <w:p w14:paraId="7311A4C8">
      <w:pPr>
        <w:pStyle w:val="30"/>
      </w:pPr>
      <w:bookmarkStart w:id="108" w:name="ref-sofi2011"/>
      <w:r>
        <w:t xml:space="preserve">Sofi, F., Valecchi, D., Bacci, D., Abbate, R., Gensini, G. F., Casini, A., &amp; Macchi, C. (2011). Physical activity and risk of cognitive decline: A meta‐analysis of prospective studies. </w:t>
      </w:r>
      <w:r>
        <w:rPr>
          <w:i/>
          <w:iCs/>
        </w:rPr>
        <w:t>Journal of Internal Medicine</w:t>
      </w:r>
      <w:r>
        <w:t xml:space="preserve">, </w:t>
      </w:r>
      <w:r>
        <w:rPr>
          <w:i/>
          <w:iCs/>
        </w:rPr>
        <w:t>269</w:t>
      </w:r>
      <w:r>
        <w:t>(1), 107–117.</w:t>
      </w:r>
    </w:p>
    <w:bookmarkEnd w:id="108"/>
    <w:p w14:paraId="2FAF1E3A">
      <w:pPr>
        <w:pStyle w:val="30"/>
      </w:pPr>
      <w:bookmarkStart w:id="109" w:name="ref-stern2002"/>
      <w:r>
        <w:t xml:space="preserve">Stern, Y. (2002). What is cognitive reserve? Theory and research application of the reserve concept. </w:t>
      </w:r>
      <w:r>
        <w:rPr>
          <w:i/>
          <w:iCs/>
        </w:rPr>
        <w:t>Journal of the International Neuropsychological Society</w:t>
      </w:r>
      <w:r>
        <w:t xml:space="preserve">, </w:t>
      </w:r>
      <w:r>
        <w:rPr>
          <w:i/>
          <w:iCs/>
        </w:rPr>
        <w:t>8</w:t>
      </w:r>
      <w:r>
        <w:t>(3), 448–460.</w:t>
      </w:r>
    </w:p>
    <w:bookmarkEnd w:id="109"/>
    <w:p w14:paraId="66DBB1D8">
      <w:pPr>
        <w:pStyle w:val="30"/>
      </w:pPr>
      <w:bookmarkStart w:id="110" w:name="ref-stern2012"/>
      <w:r>
        <w:t xml:space="preserve">Stern, Y. (2012). Cognitive reserve in ageing and alzheimer’s disease. </w:t>
      </w:r>
      <w:r>
        <w:rPr>
          <w:i/>
          <w:iCs/>
        </w:rPr>
        <w:t>The Lancet Neurology</w:t>
      </w:r>
      <w:r>
        <w:t xml:space="preserve">, </w:t>
      </w:r>
      <w:r>
        <w:rPr>
          <w:i/>
          <w:iCs/>
        </w:rPr>
        <w:t>11</w:t>
      </w:r>
      <w:r>
        <w:t>(11), 1006–1012.</w:t>
      </w:r>
    </w:p>
    <w:bookmarkEnd w:id="110"/>
    <w:p w14:paraId="75E03913">
      <w:pPr>
        <w:pStyle w:val="30"/>
      </w:pPr>
      <w:bookmarkStart w:id="111" w:name="ref-stern1999"/>
      <w:r>
        <w:t xml:space="preserve">Stern, Y., Albert, S., Tang, M. X., &amp; Tsai, W. Y. (1999). Rate of memory decline in AD is related to education and occupation: Cognitive reserve? </w:t>
      </w:r>
      <w:r>
        <w:rPr>
          <w:i/>
          <w:iCs/>
        </w:rPr>
        <w:t>Neurology</w:t>
      </w:r>
      <w:r>
        <w:t xml:space="preserve">, </w:t>
      </w:r>
      <w:r>
        <w:rPr>
          <w:i/>
          <w:iCs/>
        </w:rPr>
        <w:t>53</w:t>
      </w:r>
      <w:r>
        <w:t>, 1942–1947.</w:t>
      </w:r>
    </w:p>
    <w:bookmarkEnd w:id="111"/>
    <w:p w14:paraId="35B0BCFE">
      <w:pPr>
        <w:pStyle w:val="30"/>
      </w:pPr>
      <w:bookmarkStart w:id="112" w:name="ref-stern2020"/>
      <w:r>
        <w:t xml:space="preserve">Stern, Y., Arenaza‐Urquijo, E. M., Bartrés‐Faz, D., Belleville, S., Cantilon, M., Chetelat, G.,..., Reserve, R., Definitions, P. F. P. E., &amp; Workgroup, C. F. (2020). Whitepaper: Defining and investigating cognitive reserve, brain reserve, and brain maintenance. </w:t>
      </w:r>
      <w:r>
        <w:rPr>
          <w:i/>
          <w:iCs/>
        </w:rPr>
        <w:t>Alzheimer’s &amp; Dementia</w:t>
      </w:r>
      <w:r>
        <w:t xml:space="preserve">, </w:t>
      </w:r>
      <w:r>
        <w:rPr>
          <w:i/>
          <w:iCs/>
        </w:rPr>
        <w:t>16</w:t>
      </w:r>
      <w:r>
        <w:t>(9), 1305–1311.</w:t>
      </w:r>
    </w:p>
    <w:bookmarkEnd w:id="112"/>
    <w:p w14:paraId="1B6D6FBC">
      <w:pPr>
        <w:pStyle w:val="30"/>
      </w:pPr>
      <w:bookmarkStart w:id="113" w:name="ref-thierry2007"/>
      <w:r>
        <w:t xml:space="preserve">Thierry, G., &amp; Wu, Y. J. (2007). Brain potentials reveal unconscious translation during foreign-language comprehension. </w:t>
      </w:r>
      <w:r>
        <w:rPr>
          <w:i/>
          <w:iCs/>
        </w:rPr>
        <w:t>Proceedings of the National Academy of Sciences</w:t>
      </w:r>
      <w:r>
        <w:t xml:space="preserve">, </w:t>
      </w:r>
      <w:r>
        <w:rPr>
          <w:i/>
          <w:iCs/>
        </w:rPr>
        <w:t>104</w:t>
      </w:r>
      <w:r>
        <w:t>(30), 12530–12535.</w:t>
      </w:r>
    </w:p>
    <w:bookmarkEnd w:id="113"/>
    <w:p w14:paraId="41868732">
      <w:pPr>
        <w:pStyle w:val="30"/>
      </w:pPr>
      <w:bookmarkStart w:id="114" w:name="ref-turner2009"/>
      <w:r>
        <w:t xml:space="preserve">Turner, R. M., Spiegelhalter, D. J., Smith, G. C., &amp; Thompson, S. G. (2009). Bias modelling in evidence synthesis. </w:t>
      </w:r>
      <w:r>
        <w:rPr>
          <w:i/>
          <w:iCs/>
        </w:rPr>
        <w:t>Journal of the Royal Statistical Society Series A: Statistics in Society</w:t>
      </w:r>
      <w:r>
        <w:t xml:space="preserve">, </w:t>
      </w:r>
      <w:r>
        <w:rPr>
          <w:i/>
          <w:iCs/>
        </w:rPr>
        <w:t>172</w:t>
      </w:r>
      <w:r>
        <w:t>(1), 21–47.</w:t>
      </w:r>
    </w:p>
    <w:bookmarkEnd w:id="114"/>
    <w:p w14:paraId="7BEB6791">
      <w:pPr>
        <w:pStyle w:val="30"/>
      </w:pPr>
      <w:bookmarkStart w:id="115" w:name="ref-van2023"/>
      <w:r>
        <w:t xml:space="preserve">Van Dyck, C. H., Swanson, C. J., Aisen, P., Bateman, R. J., Chen, C., Gee, M., Kanekiyo, M., Li, D., Reyderman, L., Cohen, S., et al. (2023). Lecanemab in early alzheimer’s disease. </w:t>
      </w:r>
      <w:r>
        <w:rPr>
          <w:i/>
          <w:iCs/>
        </w:rPr>
        <w:t>New England Journal of Medicine</w:t>
      </w:r>
      <w:r>
        <w:t xml:space="preserve">, </w:t>
      </w:r>
      <w:r>
        <w:rPr>
          <w:i/>
          <w:iCs/>
        </w:rPr>
        <w:t>388</w:t>
      </w:r>
      <w:r>
        <w:t>(1), 9–21.</w:t>
      </w:r>
    </w:p>
    <w:bookmarkEnd w:id="115"/>
    <w:p w14:paraId="278A316E">
      <w:pPr>
        <w:pStyle w:val="30"/>
      </w:pPr>
      <w:bookmarkStart w:id="116" w:name="ref-venugopal2024"/>
      <w:r>
        <w:t xml:space="preserve">Venugopal, A., Paplikar, A., Varghese, F. A., Thanissery, N., Ballal, D., Hoskeri, R. M.,..., &amp; Alladi, S. (2024). Protective effect of bilingualism on aging, MCI, and dementia: A community‐based study. </w:t>
      </w:r>
      <w:r>
        <w:rPr>
          <w:i/>
          <w:iCs/>
        </w:rPr>
        <w:t>Alzheimer’s &amp; Dementia</w:t>
      </w:r>
      <w:r>
        <w:t xml:space="preserve">, </w:t>
      </w:r>
      <w:r>
        <w:rPr>
          <w:i/>
          <w:iCs/>
        </w:rPr>
        <w:t>20</w:t>
      </w:r>
      <w:r>
        <w:t>(4), 2620–2631.</w:t>
      </w:r>
    </w:p>
    <w:bookmarkEnd w:id="116"/>
    <w:p w14:paraId="22CE4064">
      <w:pPr>
        <w:pStyle w:val="30"/>
      </w:pPr>
      <w:bookmarkStart w:id="117" w:name="ref-waldie2009"/>
      <w:r>
        <w:t xml:space="preserve">Waldie, K. E., Badzakova-Trajkov, G., Miliivojevic, B., &amp; Kirk, I. J. (2009). Neural activity during stroop colour-word task performance in late proficient bilinguals: A functional magnetic resonance imaging study. </w:t>
      </w:r>
      <w:r>
        <w:rPr>
          <w:i/>
          <w:iCs/>
        </w:rPr>
        <w:t>Psychology &amp; Neuroscience</w:t>
      </w:r>
      <w:r>
        <w:t xml:space="preserve">, </w:t>
      </w:r>
      <w:r>
        <w:rPr>
          <w:i/>
          <w:iCs/>
        </w:rPr>
        <w:t>2</w:t>
      </w:r>
      <w:r>
        <w:t>, 125–136.</w:t>
      </w:r>
    </w:p>
    <w:bookmarkEnd w:id="117"/>
    <w:p w14:paraId="5F8A18AA">
      <w:pPr>
        <w:pStyle w:val="30"/>
      </w:pPr>
      <w:bookmarkStart w:id="118" w:name="ref-wardle2003"/>
      <w:r>
        <w:t xml:space="preserve">Wardle, J., &amp; Steptoe, A. (2003). Socioeconomic differences in attitudes and beliefs about healthy lifestyles. </w:t>
      </w:r>
      <w:r>
        <w:rPr>
          <w:i/>
          <w:iCs/>
        </w:rPr>
        <w:t>Journal of Epidemiology &amp; Community Health</w:t>
      </w:r>
      <w:r>
        <w:t xml:space="preserve">, </w:t>
      </w:r>
      <w:r>
        <w:rPr>
          <w:i/>
          <w:iCs/>
        </w:rPr>
        <w:t>57</w:t>
      </w:r>
      <w:r>
        <w:t>(6), 440–443.</w:t>
      </w:r>
    </w:p>
    <w:bookmarkEnd w:id="118"/>
    <w:p w14:paraId="578E73C4">
      <w:pPr>
        <w:pStyle w:val="30"/>
      </w:pPr>
      <w:bookmarkStart w:id="119" w:name="ref-who2020"/>
      <w:r>
        <w:t xml:space="preserve">World Health Organization. (2020). </w:t>
      </w:r>
      <w:r>
        <w:rPr>
          <w:i/>
          <w:iCs/>
        </w:rPr>
        <w:t>Dementia</w:t>
      </w:r>
      <w:r>
        <w:t xml:space="preserve">. </w:t>
      </w:r>
      <w:r>
        <w:fldChar w:fldCharType="begin"/>
      </w:r>
      <w:r>
        <w:instrText xml:space="preserve"> HYPERLINK "http://www.who.int/en/news-room/fact-sheets/detail/dementia" \h </w:instrText>
      </w:r>
      <w:r>
        <w:fldChar w:fldCharType="separate"/>
      </w:r>
      <w:r>
        <w:rPr>
          <w:rStyle w:val="20"/>
        </w:rPr>
        <w:t>http://www.who.int/en/news-room/fact-sheets/detail/dementia</w:t>
      </w:r>
      <w:r>
        <w:rPr>
          <w:rStyle w:val="20"/>
        </w:rPr>
        <w:fldChar w:fldCharType="end"/>
      </w:r>
      <w:r>
        <w:t>.</w:t>
      </w:r>
    </w:p>
    <w:bookmarkEnd w:id="119"/>
    <w:p w14:paraId="1DFDF313">
      <w:pPr>
        <w:pStyle w:val="30"/>
      </w:pPr>
      <w:bookmarkStart w:id="120" w:name="ref-woumans2015"/>
      <w:r>
        <w:t xml:space="preserve">Woumans, E. V. Y., Santens, P., Sieben, A., Versijpt, J. A. N., Stevens, M., &amp; Duyck, W. (2015). Bilingualism delays clinical manifestation of alzheimer’s disease. </w:t>
      </w:r>
      <w:r>
        <w:rPr>
          <w:i/>
          <w:iCs/>
        </w:rPr>
        <w:t>Bilingualism: Language and Cognition</w:t>
      </w:r>
      <w:r>
        <w:t xml:space="preserve">, </w:t>
      </w:r>
      <w:r>
        <w:rPr>
          <w:i/>
          <w:iCs/>
        </w:rPr>
        <w:t>18</w:t>
      </w:r>
      <w:r>
        <w:t>(3), 568–574.</w:t>
      </w:r>
    </w:p>
    <w:bookmarkEnd w:id="120"/>
    <w:p w14:paraId="5B1F7227">
      <w:pPr>
        <w:pStyle w:val="30"/>
      </w:pPr>
      <w:bookmarkStart w:id="121" w:name="ref-woumans2017"/>
      <w:r>
        <w:t xml:space="preserve">Woumans, E., Versijpt, J., Sieben, A., Santens, P., &amp; Duyck, W. (2017). Bilingualism and cognitive decline: A story of pride and prejudice. </w:t>
      </w:r>
      <w:r>
        <w:rPr>
          <w:i/>
          <w:iCs/>
        </w:rPr>
        <w:t>Journal of Alzheimer’s Disease</w:t>
      </w:r>
      <w:r>
        <w:t xml:space="preserve">, </w:t>
      </w:r>
      <w:r>
        <w:rPr>
          <w:i/>
          <w:iCs/>
        </w:rPr>
        <w:t>60</w:t>
      </w:r>
      <w:r>
        <w:t>(4), 1237–1239.</w:t>
      </w:r>
    </w:p>
    <w:bookmarkEnd w:id="121"/>
    <w:p w14:paraId="7EBE52C8">
      <w:pPr>
        <w:pStyle w:val="30"/>
      </w:pPr>
      <w:bookmarkStart w:id="122" w:name="ref-wu2019"/>
      <w:r>
        <w:t xml:space="preserve">Wu, J., Yang, J., Chen, M., Li, S., Zhang, Z., Kang, C., Ding, G., &amp; Guo, T. (2019). Brain network reconfiguration for language and domain-general cognitive control in bilinguals. </w:t>
      </w:r>
      <w:r>
        <w:rPr>
          <w:i/>
          <w:iCs/>
        </w:rPr>
        <w:t>NeuroImage</w:t>
      </w:r>
      <w:r>
        <w:t xml:space="preserve">, </w:t>
      </w:r>
      <w:r>
        <w:rPr>
          <w:i/>
          <w:iCs/>
        </w:rPr>
        <w:t>199</w:t>
      </w:r>
      <w:r>
        <w:t>, 454–465.</w:t>
      </w:r>
    </w:p>
    <w:bookmarkEnd w:id="122"/>
    <w:p w14:paraId="6B14CD21">
      <w:pPr>
        <w:pStyle w:val="30"/>
      </w:pPr>
      <w:bookmarkStart w:id="123" w:name="ref-zahodne2014"/>
      <w:r>
        <w:t xml:space="preserve">Zahodne, L. B., Schofield, P. W., Farrell, M. T., Stern, Y., &amp; Manly, J. J. (2014). Bilingualism does not alter cognitive decline or dementia risk among spanish-speaking immigrants. </w:t>
      </w:r>
      <w:r>
        <w:rPr>
          <w:i/>
          <w:iCs/>
        </w:rPr>
        <w:t>Neuropsychology</w:t>
      </w:r>
      <w:r>
        <w:t xml:space="preserve">, </w:t>
      </w:r>
      <w:r>
        <w:rPr>
          <w:i/>
          <w:iCs/>
        </w:rPr>
        <w:t>28</w:t>
      </w:r>
      <w:r>
        <w:t>(2), 238.</w:t>
      </w:r>
    </w:p>
    <w:bookmarkEnd w:id="123"/>
    <w:p w14:paraId="732F3F00">
      <w:pPr>
        <w:pStyle w:val="30"/>
      </w:pPr>
      <w:bookmarkStart w:id="124" w:name="ref-zheng2018"/>
      <w:r>
        <w:t xml:space="preserve">Zheng, Y., Wu, Q., Su, F., Fang, Y., Zeng, J., &amp; Pei, Z. (2018). The protective effect of cantonese/mandarin bilingualism on the onset of alzheimer disease. </w:t>
      </w:r>
      <w:r>
        <w:rPr>
          <w:i/>
          <w:iCs/>
        </w:rPr>
        <w:t>Dementia and Geriatric Cognitive Disorders</w:t>
      </w:r>
      <w:r>
        <w:t xml:space="preserve">, </w:t>
      </w:r>
      <w:r>
        <w:rPr>
          <w:i/>
          <w:iCs/>
        </w:rPr>
        <w:t>45</w:t>
      </w:r>
      <w:r>
        <w:t>(3-4), 210–219.</w:t>
      </w:r>
    </w:p>
    <w:bookmarkEnd w:id="43"/>
    <w:bookmarkEnd w:id="45"/>
    <w:bookmarkEnd w:id="124"/>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苹方-简"/>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ABDF819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
    <w:next w:val="3"/>
    <w:link w:val="26"/>
    <w:qFormat/>
    <w:uiPriority w:val="11"/>
    <w:rPr>
      <w:rFonts w:eastAsiaTheme="majorEastAsia" w:cstheme="majorBidi"/>
      <w:color w:val="585858" w:themeColor="text1" w:themeTint="A6"/>
      <w:spacing w:val="15"/>
      <w:sz w:val="28"/>
      <w:szCs w:val="28"/>
    </w:rPr>
  </w:style>
  <w:style w:type="paragraph" w:styleId="16">
    <w:name w:val="footnote text"/>
    <w:basedOn w:val="1"/>
    <w:unhideWhenUsed/>
    <w:qFormat/>
    <w:uiPriority w:val="9"/>
  </w:style>
  <w:style w:type="paragraph" w:styleId="17">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7"/>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color w:val="345A8A"/>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6"/>
    <w:next w:val="16"/>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shd w:val="clear" w:fill="F1F3F5"/>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3B4F"/>
      <w:shd w:val="clear" w:fill="F1F3F5"/>
    </w:rPr>
  </w:style>
  <w:style w:type="character" w:customStyle="1" w:styleId="53">
    <w:name w:val="DataTypeTok"/>
    <w:basedOn w:val="48"/>
    <w:uiPriority w:val="0"/>
    <w:rPr>
      <w:color w:val="AD0000"/>
      <w:shd w:val="clear" w:fill="F1F3F5"/>
    </w:rPr>
  </w:style>
  <w:style w:type="character" w:customStyle="1" w:styleId="54">
    <w:name w:val="DecValTok"/>
    <w:basedOn w:val="48"/>
    <w:uiPriority w:val="0"/>
    <w:rPr>
      <w:color w:val="AD0000"/>
      <w:shd w:val="clear" w:fill="F1F3F5"/>
    </w:rPr>
  </w:style>
  <w:style w:type="character" w:customStyle="1" w:styleId="55">
    <w:name w:val="BaseNTok"/>
    <w:basedOn w:val="48"/>
    <w:uiPriority w:val="0"/>
    <w:rPr>
      <w:color w:val="AD0000"/>
      <w:shd w:val="clear" w:fill="F1F3F5"/>
    </w:rPr>
  </w:style>
  <w:style w:type="character" w:customStyle="1" w:styleId="56">
    <w:name w:val="FloatTok"/>
    <w:basedOn w:val="48"/>
    <w:uiPriority w:val="0"/>
    <w:rPr>
      <w:color w:val="AD0000"/>
      <w:shd w:val="clear" w:fill="F1F3F5"/>
    </w:rPr>
  </w:style>
  <w:style w:type="character" w:customStyle="1" w:styleId="57">
    <w:name w:val="ConstantTok"/>
    <w:basedOn w:val="48"/>
    <w:uiPriority w:val="0"/>
    <w:rPr>
      <w:color w:val="8F5902"/>
      <w:shd w:val="clear" w:fill="F1F3F5"/>
    </w:rPr>
  </w:style>
  <w:style w:type="character" w:customStyle="1" w:styleId="58">
    <w:name w:val="CharTok"/>
    <w:basedOn w:val="48"/>
    <w:uiPriority w:val="0"/>
    <w:rPr>
      <w:color w:val="20794D"/>
      <w:shd w:val="clear" w:fill="F1F3F5"/>
    </w:rPr>
  </w:style>
  <w:style w:type="character" w:customStyle="1" w:styleId="59">
    <w:name w:val="SpecialCharTok"/>
    <w:basedOn w:val="48"/>
    <w:uiPriority w:val="0"/>
    <w:rPr>
      <w:color w:val="5E5E5E"/>
      <w:shd w:val="clear" w:fill="F1F3F5"/>
    </w:rPr>
  </w:style>
  <w:style w:type="character" w:customStyle="1" w:styleId="60">
    <w:name w:val="StringTok"/>
    <w:basedOn w:val="48"/>
    <w:uiPriority w:val="0"/>
    <w:rPr>
      <w:color w:val="20794D"/>
      <w:shd w:val="clear" w:fill="F1F3F5"/>
    </w:rPr>
  </w:style>
  <w:style w:type="character" w:customStyle="1" w:styleId="61">
    <w:name w:val="VerbatimStringTok"/>
    <w:basedOn w:val="48"/>
    <w:uiPriority w:val="0"/>
    <w:rPr>
      <w:color w:val="20794D"/>
      <w:shd w:val="clear" w:fill="F1F3F5"/>
    </w:rPr>
  </w:style>
  <w:style w:type="character" w:customStyle="1" w:styleId="62">
    <w:name w:val="SpecialStringTok"/>
    <w:basedOn w:val="48"/>
    <w:uiPriority w:val="0"/>
    <w:rPr>
      <w:color w:val="20794D"/>
      <w:shd w:val="clear" w:fill="F1F3F5"/>
    </w:rPr>
  </w:style>
  <w:style w:type="character" w:customStyle="1" w:styleId="63">
    <w:name w:val="ImportTok"/>
    <w:basedOn w:val="48"/>
    <w:uiPriority w:val="0"/>
    <w:rPr>
      <w:color w:val="00769E"/>
      <w:shd w:val="clear" w:fill="F1F3F5"/>
    </w:rPr>
  </w:style>
  <w:style w:type="character" w:customStyle="1" w:styleId="64">
    <w:name w:val="CommentTok"/>
    <w:basedOn w:val="48"/>
    <w:uiPriority w:val="0"/>
    <w:rPr>
      <w:color w:val="5E5E5E"/>
      <w:shd w:val="clear" w:fill="F1F3F5"/>
    </w:rPr>
  </w:style>
  <w:style w:type="character" w:customStyle="1" w:styleId="65">
    <w:name w:val="DocumentationTok"/>
    <w:basedOn w:val="48"/>
    <w:uiPriority w:val="0"/>
    <w:rPr>
      <w:i/>
      <w:color w:val="5E5E5E"/>
      <w:shd w:val="clear" w:fill="F1F3F5"/>
    </w:rPr>
  </w:style>
  <w:style w:type="character" w:customStyle="1" w:styleId="66">
    <w:name w:val="AnnotationTok"/>
    <w:basedOn w:val="48"/>
    <w:uiPriority w:val="0"/>
    <w:rPr>
      <w:color w:val="5E5E5E"/>
      <w:shd w:val="clear" w:fill="F1F3F5"/>
    </w:rPr>
  </w:style>
  <w:style w:type="character" w:customStyle="1" w:styleId="67">
    <w:name w:val="CommentVarTok"/>
    <w:basedOn w:val="48"/>
    <w:uiPriority w:val="0"/>
    <w:rPr>
      <w:i/>
      <w:color w:val="5E5E5E"/>
      <w:shd w:val="clear" w:fill="F1F3F5"/>
    </w:rPr>
  </w:style>
  <w:style w:type="character" w:customStyle="1" w:styleId="68">
    <w:name w:val="OtherTok"/>
    <w:basedOn w:val="48"/>
    <w:uiPriority w:val="0"/>
    <w:rPr>
      <w:color w:val="003B4F"/>
      <w:shd w:val="clear" w:fill="F1F3F5"/>
    </w:rPr>
  </w:style>
  <w:style w:type="character" w:customStyle="1" w:styleId="69">
    <w:name w:val="FunctionTok"/>
    <w:basedOn w:val="48"/>
    <w:uiPriority w:val="0"/>
    <w:rPr>
      <w:color w:val="4758AB"/>
      <w:shd w:val="clear" w:fill="F1F3F5"/>
    </w:rPr>
  </w:style>
  <w:style w:type="character" w:customStyle="1" w:styleId="70">
    <w:name w:val="VariableTok"/>
    <w:basedOn w:val="48"/>
    <w:uiPriority w:val="0"/>
    <w:rPr>
      <w:color w:val="111111"/>
      <w:shd w:val="clear" w:fill="F1F3F5"/>
    </w:rPr>
  </w:style>
  <w:style w:type="character" w:customStyle="1" w:styleId="71">
    <w:name w:val="ControlFlowTok"/>
    <w:basedOn w:val="48"/>
    <w:uiPriority w:val="0"/>
    <w:rPr>
      <w:b/>
      <w:color w:val="003B4F"/>
      <w:shd w:val="clear" w:fill="F1F3F5"/>
    </w:rPr>
  </w:style>
  <w:style w:type="character" w:customStyle="1" w:styleId="72">
    <w:name w:val="OperatorTok"/>
    <w:basedOn w:val="48"/>
    <w:uiPriority w:val="0"/>
    <w:rPr>
      <w:color w:val="5E5E5E"/>
      <w:shd w:val="clear" w:fill="F1F3F5"/>
    </w:rPr>
  </w:style>
  <w:style w:type="character" w:customStyle="1" w:styleId="73">
    <w:name w:val="BuiltInTok"/>
    <w:basedOn w:val="48"/>
    <w:uiPriority w:val="0"/>
    <w:rPr>
      <w:color w:val="003B4F"/>
      <w:shd w:val="clear" w:fill="F1F3F5"/>
    </w:rPr>
  </w:style>
  <w:style w:type="character" w:customStyle="1" w:styleId="74">
    <w:name w:val="ExtensionTok"/>
    <w:basedOn w:val="48"/>
    <w:uiPriority w:val="0"/>
    <w:rPr>
      <w:color w:val="003B4F"/>
      <w:shd w:val="clear" w:fill="F1F3F5"/>
    </w:rPr>
  </w:style>
  <w:style w:type="character" w:customStyle="1" w:styleId="75">
    <w:name w:val="PreprocessorTok"/>
    <w:basedOn w:val="48"/>
    <w:uiPriority w:val="0"/>
    <w:rPr>
      <w:color w:val="AD0000"/>
      <w:shd w:val="clear" w:fill="F1F3F5"/>
    </w:rPr>
  </w:style>
  <w:style w:type="character" w:customStyle="1" w:styleId="76">
    <w:name w:val="AttributeTok"/>
    <w:basedOn w:val="48"/>
    <w:uiPriority w:val="0"/>
    <w:rPr>
      <w:color w:val="657422"/>
      <w:shd w:val="clear" w:fill="F1F3F5"/>
    </w:rPr>
  </w:style>
  <w:style w:type="character" w:customStyle="1" w:styleId="77">
    <w:name w:val="RegionMarkerTok"/>
    <w:basedOn w:val="48"/>
    <w:uiPriority w:val="0"/>
    <w:rPr>
      <w:color w:val="003B4F"/>
      <w:shd w:val="clear" w:fill="F1F3F5"/>
    </w:rPr>
  </w:style>
  <w:style w:type="character" w:customStyle="1" w:styleId="78">
    <w:name w:val="InformationTok"/>
    <w:basedOn w:val="48"/>
    <w:uiPriority w:val="0"/>
    <w:rPr>
      <w:color w:val="5E5E5E"/>
      <w:shd w:val="clear" w:fill="F1F3F5"/>
    </w:rPr>
  </w:style>
  <w:style w:type="character" w:customStyle="1" w:styleId="79">
    <w:name w:val="WarningTok"/>
    <w:basedOn w:val="48"/>
    <w:uiPriority w:val="0"/>
    <w:rPr>
      <w:i/>
      <w:color w:val="5E5E5E"/>
      <w:shd w:val="clear" w:fill="F1F3F5"/>
    </w:rPr>
  </w:style>
  <w:style w:type="character" w:customStyle="1" w:styleId="80">
    <w:name w:val="AlertTok"/>
    <w:basedOn w:val="48"/>
    <w:uiPriority w:val="0"/>
    <w:rPr>
      <w:color w:val="AD0000"/>
      <w:shd w:val="clear" w:fill="F1F3F5"/>
    </w:rPr>
  </w:style>
  <w:style w:type="character" w:customStyle="1" w:styleId="81">
    <w:name w:val="ErrorTok"/>
    <w:basedOn w:val="48"/>
    <w:uiPriority w:val="0"/>
    <w:rPr>
      <w:color w:val="AD0000"/>
      <w:shd w:val="clear" w:fill="F1F3F5"/>
    </w:rPr>
  </w:style>
  <w:style w:type="character" w:customStyle="1" w:styleId="82">
    <w:name w:val="NormalTok"/>
    <w:basedOn w:val="48"/>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83</Words>
  <Characters>475</Characters>
  <Lines>12</Lines>
  <Paragraphs>8</Paragraphs>
  <TotalTime>29</TotalTime>
  <ScaleCrop>false</ScaleCrop>
  <LinksUpToDate>false</LinksUpToDate>
  <CharactersWithSpaces>583</CharactersWithSpaces>
  <Application>WPS Office_12.1.21937.21937_F1E327BC-269C-435d-A152-05C5408002CA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2025-07-27T21:59:00Z</dcterms:created>
  <dc:creator>Ziyuan Li; Stefano Coretta</dc:creator>
  <cp:keywords>Bilingualism • Dementia • Alzheimer’s Disease • Bayesian Meta-analysis • Bilingualism Effect</cp:keywords>
  <cp:lastModifiedBy>WPS_1749092674</cp:lastModifiedBy>
  <dcterms:modified xsi:type="dcterms:W3CDTF">2025-07-27T22:24:22Z</dcterms:modified>
  <dc:title>Bilingualism Effect for Delaying Dementia Onset: A Bayesian Meta-Analysis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[Crl]: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Moreover, subgroup analysis revealed a consistent pattern of delayed symptom onset among bilinguals, though the estimated delays differed across dementia types. However, due to the limited number of studies available for each demenita subtype, uncertainty remains regarding whether bilingualism induces differential effects across dementia types. This highlights the need for further research specifically targeting non-Alzheimer’s dementias to better clarify these potential differences.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y fmtid="{D5CDD505-2E9C-101B-9397-08002B2CF9AE}" pid="18" name="KSOProductBuildVer">
    <vt:lpwstr>2052-12.1.21937.21937</vt:lpwstr>
  </property>
  <property fmtid="{D5CDD505-2E9C-101B-9397-08002B2CF9AE}" pid="19" name="ICV">
    <vt:lpwstr>5EC27B34490758A49636866891EC7084_42</vt:lpwstr>
  </property>
</Properties>
</file>