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D8086">
      <w:pPr>
        <w:pStyle w:val="17"/>
      </w:pPr>
      <w:r>
        <w:t>Bilingualism Effect for Delaying Dementia Onset: A Bayesian Meta-Analysis</w:t>
      </w:r>
    </w:p>
    <w:p w14:paraId="28BFE18D">
      <w:pPr>
        <w:pStyle w:val="27"/>
        <w:rPr>
          <w:sz w:val="32"/>
          <w:szCs w:val="32"/>
        </w:rPr>
      </w:pPr>
    </w:p>
    <w:p w14:paraId="0AB75292">
      <w:pPr>
        <w:pStyle w:val="27"/>
        <w:rPr>
          <w:sz w:val="32"/>
          <w:szCs w:val="32"/>
        </w:rPr>
      </w:pPr>
      <w:r>
        <w:rPr>
          <w:sz w:val="32"/>
          <w:szCs w:val="32"/>
        </w:rPr>
        <w:t>Ziyuan Li*</w:t>
      </w:r>
    </w:p>
    <w:p w14:paraId="35E759F2">
      <w:pPr>
        <w:pStyle w:val="27"/>
        <w:rPr>
          <w:sz w:val="32"/>
          <w:szCs w:val="32"/>
        </w:rPr>
      </w:pPr>
      <w:r>
        <w:rPr>
          <w:sz w:val="32"/>
          <w:szCs w:val="32"/>
        </w:rPr>
        <w:t>Stefano Coretta</w:t>
      </w:r>
    </w:p>
    <w:p w14:paraId="08A4AD08">
      <w:pPr>
        <w:pStyle w:val="3"/>
        <w:jc w:val="center"/>
        <w:rPr>
          <w:lang w:eastAsia="zh-CN"/>
        </w:rPr>
      </w:pPr>
      <w:r>
        <w:t>Un</w:t>
      </w:r>
      <w:r>
        <w:rPr>
          <w:lang w:eastAsia="zh-CN"/>
        </w:rPr>
        <w:t>iversity of Edinburgh</w:t>
      </w:r>
    </w:p>
    <w:p w14:paraId="4A8C87F7">
      <w:pPr>
        <w:pStyle w:val="3"/>
        <w:jc w:val="center"/>
        <w:rPr>
          <w:lang w:eastAsia="zh-CN"/>
        </w:rPr>
      </w:pPr>
    </w:p>
    <w:p w14:paraId="63C71DF1">
      <w:pPr>
        <w:pStyle w:val="3"/>
        <w:jc w:val="center"/>
        <w:rPr>
          <w:lang w:eastAsia="zh-CN"/>
        </w:rPr>
      </w:pPr>
    </w:p>
    <w:p w14:paraId="5AE5F382">
      <w:pPr>
        <w:pStyle w:val="3"/>
        <w:jc w:val="center"/>
        <w:rPr>
          <w:lang w:eastAsia="zh-CN"/>
        </w:rPr>
      </w:pPr>
    </w:p>
    <w:p w14:paraId="32286C4E">
      <w:pPr>
        <w:pStyle w:val="3"/>
        <w:jc w:val="center"/>
        <w:rPr>
          <w:lang w:eastAsia="zh-CN"/>
        </w:rPr>
      </w:pPr>
    </w:p>
    <w:p w14:paraId="0C4A4094">
      <w:pPr>
        <w:pStyle w:val="3"/>
        <w:jc w:val="center"/>
        <w:rPr>
          <w:lang w:eastAsia="zh-CN"/>
        </w:rPr>
      </w:pPr>
    </w:p>
    <w:p w14:paraId="5AE242A2">
      <w:pPr>
        <w:pStyle w:val="3"/>
        <w:jc w:val="center"/>
        <w:rPr>
          <w:lang w:eastAsia="zh-CN"/>
        </w:rPr>
      </w:pPr>
    </w:p>
    <w:p w14:paraId="23897303">
      <w:pPr>
        <w:pStyle w:val="3"/>
        <w:jc w:val="center"/>
        <w:rPr>
          <w:lang w:eastAsia="zh-CN"/>
        </w:rPr>
      </w:pPr>
    </w:p>
    <w:p w14:paraId="124B2F3C">
      <w:pPr>
        <w:pStyle w:val="3"/>
        <w:jc w:val="center"/>
        <w:rPr>
          <w:lang w:eastAsia="zh-CN"/>
        </w:rPr>
      </w:pPr>
    </w:p>
    <w:p w14:paraId="1D8B99FA">
      <w:pPr>
        <w:pStyle w:val="3"/>
        <w:jc w:val="center"/>
        <w:rPr>
          <w:lang w:eastAsia="zh-CN"/>
        </w:rPr>
      </w:pPr>
    </w:p>
    <w:p w14:paraId="651D9C14">
      <w:pPr>
        <w:pStyle w:val="3"/>
        <w:jc w:val="center"/>
        <w:rPr>
          <w:lang w:eastAsia="zh-CN"/>
        </w:rPr>
      </w:pPr>
    </w:p>
    <w:p w14:paraId="709EF585">
      <w:pPr>
        <w:pStyle w:val="3"/>
        <w:jc w:val="center"/>
        <w:rPr>
          <w:lang w:eastAsia="zh-CN"/>
        </w:rPr>
      </w:pPr>
      <w:r>
        <w:rPr>
          <w:lang w:eastAsia="zh-CN"/>
        </w:rPr>
        <w:t xml:space="preserve">Ziyuan Li, Department of Linguistics and English Language, 3 Charles St, University of Edinburgh, Edinburgh EH8 9AD, United Kingdom. </w:t>
      </w:r>
    </w:p>
    <w:p w14:paraId="4FD1ED6B">
      <w:pPr>
        <w:pStyle w:val="3"/>
        <w:jc w:val="center"/>
        <w:rPr>
          <w:lang w:eastAsia="zh-CN"/>
        </w:rPr>
      </w:pPr>
      <w:r>
        <w:rPr>
          <w:lang w:eastAsia="zh-CN"/>
        </w:rPr>
        <w:t>Stefano Coretta, Department of Linguistics and English Language, 3 Charles St, University of Edinburgh, Edinburgh EH8 9AD, United Kingdom.</w:t>
      </w:r>
    </w:p>
    <w:p w14:paraId="466BEDE8">
      <w:pPr>
        <w:pStyle w:val="3"/>
        <w:jc w:val="center"/>
        <w:rPr>
          <w:lang w:eastAsia="zh-CN"/>
        </w:rPr>
      </w:pPr>
      <w:r>
        <w:rPr>
          <w:lang w:eastAsia="zh-CN"/>
        </w:rPr>
        <w:t>*Correspondence concerning this article should be addressed to Ziyuan Li, Department of Linguistics and English Language, 3 Charles St, University of Edinburgh, Edinburgh EH8 9AD, United Kingdom. Tel: +8618031633636; E-mail: hka9peter@gmail.com</w:t>
      </w:r>
    </w:p>
    <w:p w14:paraId="5E02D01B">
      <w:pPr>
        <w:pStyle w:val="3"/>
        <w:jc w:val="center"/>
      </w:pPr>
    </w:p>
    <w:p w14:paraId="6F82B65A">
      <w:pPr>
        <w:pStyle w:val="28"/>
      </w:pPr>
      <w:r>
        <w:t>Abstract</w:t>
      </w:r>
    </w:p>
    <w:p w14:paraId="049A92F6">
      <w:pPr>
        <w:pStyle w:val="29"/>
        <w:jc w:val="both"/>
      </w:pPr>
      <w:r>
        <w:t>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w:t>
      </w:r>
    </w:p>
    <w:p w14:paraId="350902AD">
      <w:pPr>
        <w:pStyle w:val="3"/>
        <w:rPr>
          <w:lang w:eastAsia="zh-CN"/>
        </w:rPr>
      </w:pPr>
      <w:r>
        <w:t>Keywords: Bilingualism • Dementia • Alzheimer’s Disease • Bayesian Meta-analysis • Bilingualism Effect</w:t>
      </w:r>
    </w:p>
    <w:p w14:paraId="7B550965">
      <w:pPr>
        <w:pStyle w:val="2"/>
        <w:jc w:val="both"/>
      </w:pPr>
      <w:bookmarkStart w:id="0" w:name="introduction"/>
    </w:p>
    <w:p w14:paraId="74CB7A25">
      <w:pPr>
        <w:pStyle w:val="2"/>
        <w:jc w:val="both"/>
      </w:pPr>
    </w:p>
    <w:p w14:paraId="257567D0">
      <w:pPr>
        <w:pStyle w:val="2"/>
        <w:jc w:val="both"/>
      </w:pPr>
    </w:p>
    <w:p w14:paraId="6E597BE5">
      <w:pPr>
        <w:pStyle w:val="2"/>
        <w:jc w:val="both"/>
      </w:pPr>
    </w:p>
    <w:p w14:paraId="77C5327E">
      <w:pPr>
        <w:pStyle w:val="2"/>
        <w:jc w:val="both"/>
      </w:pPr>
    </w:p>
    <w:p w14:paraId="1F080647">
      <w:pPr>
        <w:pStyle w:val="2"/>
        <w:jc w:val="both"/>
      </w:pPr>
    </w:p>
    <w:p w14:paraId="2DC35367">
      <w:pPr>
        <w:pStyle w:val="2"/>
        <w:jc w:val="both"/>
      </w:pPr>
    </w:p>
    <w:p w14:paraId="354117E2">
      <w:pPr>
        <w:pStyle w:val="2"/>
        <w:jc w:val="both"/>
      </w:pPr>
    </w:p>
    <w:p w14:paraId="722FD04C">
      <w:pPr>
        <w:pStyle w:val="2"/>
        <w:jc w:val="both"/>
      </w:pPr>
    </w:p>
    <w:p w14:paraId="745C4379">
      <w:pPr>
        <w:pStyle w:val="3"/>
      </w:pPr>
    </w:p>
    <w:p w14:paraId="39048903">
      <w:pPr>
        <w:pStyle w:val="2"/>
        <w:jc w:val="both"/>
      </w:pPr>
      <w:r>
        <w:t>Introduction</w:t>
      </w:r>
    </w:p>
    <w:p w14:paraId="7E0900EB">
      <w:pPr>
        <w:pStyle w:val="23"/>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ageing adults may face an increasing risk of dementia, a range of neurodegenerative diseases, as a result of deterioration of brain tissue (Mooij et al., 2018) and a loss of functional connectivity between regions (Brier et al., 2012). Such diseases affect language skills, memory and in later stages, bodily functions (Berkes &amp; Bialystok, 2022; Homer et al., 1994). With the ageing population and increased longevity of life, the prevalence of dementia also increases (Anderson et al., 2020; Berkes &amp; Bialystok, 2022). According to the World Health Organization (2020), the total number of patients with dementia may rise to 82 million in 2030 and more than 150 million in 2050, which will bring enormous physical and psychological stress on both individual and societal levels. Unfortunately, it is still unclear how to prevent the pathology in ageing adults (Kepp, 2016) and the pharmaceutical treatments’ effects on slowing down its progression are inadequate (Massoud &amp; Gauthier, 2010). However, several socio-behavioural factors may contribute to cognitive reserve, which helps individuals use compensatory mechanisms or functional processes to cope with neurodegeneration and pathology (Bialystok et al., 2007). These factors include education (Stern et al., 1999), complex social networking (Bennett et al., 2006), challenging occupational tasks (Stern et al., 2020), increasing physical activity (Sofi et al., 2011), and bilingualism (Bak, 2016; Jafari et al., 2021).</w:t>
      </w:r>
    </w:p>
    <w:p w14:paraId="13A81DBB">
      <w:pPr>
        <w:pStyle w:val="3"/>
        <w:rPr>
          <w:rFonts w:hint="default"/>
        </w:rPr>
      </w:pPr>
    </w:p>
    <w:p w14:paraId="3A75267E">
      <w:pPr>
        <w:pStyle w:val="3"/>
        <w:jc w:val="both"/>
      </w:pPr>
      <w:r>
        <w:rPr>
          <w:rFonts w:hint="default" w:ascii="Times New Roman Regular" w:hAnsi="Times New Roman Regular" w:cs="Times New Roman Regular"/>
          <w:sz w:val="24"/>
          <w:szCs w:val="24"/>
        </w:rPr>
        <w:t>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 (e.g., Bialystok et al., 2007; Craik et al., 2010). Yet, prospective studies revealed inconclusive results on bilingualism’s effect on reducing the risks of dementia (see Lawton et al., 2015 for null results; Zahodne et al., 2014 for positive results) while other retrospective studies showed a shorter delay of onset of dementia (e.g., 1.5 years: Berkes et al., 2020; 0.9 years: Chertkow et al., 2010). Previous meta-analyses also revealed inconsistent results. The meta-analysis by Mukadam et al. (2017) only included four prospective studies and found no evidence for the protective effects of bilingualism on dementia while Anderson et al. (2020) meta-analysis that included 15 age-of-onset studies and 6 incidence studies found moderate evidence for bilingualism’s delaying of symptoms (Cohen’s d = 0.32) and weak evidence for bilingualism’s reducing the incidence of having the AD (d = 0.10). Despite such inconsistency, one potential modulating variable, dementia types, has been neglected by previous meta-analyses. Lee (2022) pointed out that different subtypes of dementia seem to be deferred by different lengths of time in bilinguals compared with monolinguals. For instance, in Alladi et al. (2013), bilingualism’s delayed length of onset was 3.2 years, 6.0 years, 3.7 years, and 2.3 years for Alzheimer’s dementia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p w14:paraId="0F774757">
      <w:pPr>
        <w:pStyle w:val="3"/>
        <w:jc w:val="both"/>
      </w:pPr>
    </w:p>
    <w:bookmarkEnd w:id="0"/>
    <w:p w14:paraId="3B5271A3">
      <w:pPr>
        <w:pStyle w:val="2"/>
        <w:jc w:val="both"/>
      </w:pPr>
      <w:bookmarkStart w:id="1" w:name="Xc01f65c9f8d19cb5ce14fa41c1fb45a7f36a491"/>
      <w:r>
        <w:t>Mechanisms behind Bilingualism’s Effect on Dementia</w:t>
      </w:r>
    </w:p>
    <w:p w14:paraId="64DE4717">
      <w:pPr>
        <w:pStyle w:val="4"/>
        <w:jc w:val="both"/>
      </w:pPr>
      <w:bookmarkStart w:id="2" w:name="introducing-cognitive-reserve"/>
      <w:r>
        <w:t>Introducing Cognitive Reserve</w:t>
      </w:r>
    </w:p>
    <w:p w14:paraId="3E5A2522">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Reserve in a broader sense refers to the individual variations in cognitive ability, clinical condition, and functional capacity in ageing and brain disease, which indicates that specific conditions of brain health can lead to different cognitive or functional outcomes in different individuals (Berkes &amp; Bialystok, 2022). Stern et al. (2020) stated that there are different types of reserve, namely brain reserve and cognitive reserve. The former refers to the neurobiological quality such as cortical thickness, quantity of neurons, and total brain volume at a given point in time (Stern et al., 2020). Individuals with high brain reserve are supposed to better withstand ageing and neurological decline since they have more tissue to lose. Such a passive model of reserve is impacted by genetic and lifestyle factors, and it does not invoke active cognitive adaptation (Stern et al., 2020). In contrast, cognitive reserve is thought of as an active reserve form which depends on individuals’ adaptability to cognitive processes (Berkes &amp; Bialystok, 2022). As mentioned before, Individuals can adopt remedial mechanisms to better cope with ageing and brain loss (Berkes &amp; Bialystok, 2022). In this sense, there should be several outcomes when comparing high-cognitive reserve and low-cognitive reserve ageing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14:paraId="55005FED">
      <w:pPr>
        <w:pStyle w:val="3"/>
        <w:rPr>
          <w:rFonts w:hint="default"/>
        </w:rPr>
      </w:pPr>
    </w:p>
    <w:p w14:paraId="234F52C9">
      <w:pPr>
        <w:pStyle w:val="3"/>
        <w:jc w:val="both"/>
        <w:rPr>
          <w:rFonts w:hint="default" w:ascii="Times New Roman Regular" w:hAnsi="Times New Roman Regular" w:cs="Times New Roman Regular"/>
        </w:rPr>
      </w:pPr>
      <w:r>
        <w:rPr>
          <w:rFonts w:hint="default" w:ascii="Times New Roman Regular" w:hAnsi="Times New Roman Regular" w:cs="Times New Roman Regular"/>
        </w:rPr>
        <w:t>There are many factors that may contribute to cognitive reserve, which are limited by two prerequisites (Berkes &amp; Bialystok, 2022). The first one is that these factors should be sufficiently challenging and continuous (Scarmeas &amp; Stern, 2003).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 (Stern, 2002, 2012).</w:t>
      </w:r>
    </w:p>
    <w:p w14:paraId="519B5D3C">
      <w:pPr>
        <w:pStyle w:val="3"/>
        <w:jc w:val="both"/>
      </w:pPr>
    </w:p>
    <w:bookmarkEnd w:id="2"/>
    <w:p w14:paraId="35279CCC">
      <w:pPr>
        <w:pStyle w:val="4"/>
        <w:jc w:val="both"/>
      </w:pPr>
      <w:bookmarkStart w:id="3" w:name="X2b4e761f43a4a50cd42c16721094b882b7c9d4c"/>
      <w:r>
        <w:t>Bilingualism as a Contributor of Cognitive Reserve</w:t>
      </w:r>
    </w:p>
    <w:p w14:paraId="4BB7054A">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The use of multiple languages is considered a challenging activity since bilinguals have to constantly deal with the joint activation of both languages (Bialystok et al., 2012). Evidence for such joint activation is found by psycholinguists from cross-language priming, which is the facilitative effect of a word in one language on the retrieval of a semantically related word in another language (e.g., Thierry &amp; Wu, 2007). This means that bilinguals have to select the appropriate language while inhibiting the others for effective language production, which allows bilinguals to possess better inhibitory control than monolinguals. Yet, Bialystok &amp; Craik (2022) 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 (e.g., Blom et al., 2014; Comishen &amp; Bialystok, 2021). The “advantage” is generally more obvious in older adults with null results mostly found in younger adults who may reach the ceiling effect.</w:t>
      </w:r>
    </w:p>
    <w:p w14:paraId="69C70D74">
      <w:pPr>
        <w:pStyle w:val="3"/>
        <w:rPr>
          <w:rFonts w:hint="default"/>
        </w:rPr>
      </w:pPr>
    </w:p>
    <w:p w14:paraId="4752D727">
      <w:pPr>
        <w:pStyle w:val="3"/>
        <w:jc w:val="both"/>
        <w:rPr>
          <w:rFonts w:hint="default" w:ascii="Times New Roman Regular" w:hAnsi="Times New Roman Regular" w:cs="Times New Roman Regular"/>
        </w:rPr>
      </w:pPr>
      <w:r>
        <w:rPr>
          <w:rFonts w:hint="default" w:ascii="Times New Roman Regular" w:hAnsi="Times New Roman Regular" w:cs="Times New Roman Regular"/>
        </w:rPr>
        <w:t>From the perspective of neuroscience, one explanation for bilinguals’ enhanced executive function may be that multiple language use reallocates the cognitive demand from anterior regions to posterior lobes and subcortical regions including the basal ganglia (Grundy &amp; Anderson, 2017). The anterior lobes are typically believed for complex EF tasks while posterior and subcortical regions are largely believed for automatic processing. Several neuroimaging studies have provided evidence for such a shift to improve neural efficiency in the bilingual brain. For instance, Abutalebi et al. (2015) used fMRI to record bilingual and monolingual brain signals when they performed flanker tasks. The results show that bilinguals showed better behavioural performance and that they recruited less anterior cingulate cortex (ACC) than monolinguals (Abutalebi et al., 2015). In Waldie et al. (2009), the fMRI results showed that Macedonian-English bilinguals possessed more activation in the basal ganglia area compared with monolinguals when they performed a Stroop task. Since the basal ganglia is a subcortical area that functions as a gate for anterior cortical regions, Waldie et al. (2009) also provide evidence for bilinguals’ reallocation of cognitive resources.</w:t>
      </w:r>
    </w:p>
    <w:p w14:paraId="457885CA">
      <w:pPr>
        <w:pStyle w:val="3"/>
        <w:jc w:val="both"/>
        <w:rPr>
          <w:rFonts w:hint="default" w:ascii="Times New Roman Regular" w:hAnsi="Times New Roman Regular" w:cs="Times New Roman Regular"/>
        </w:rPr>
      </w:pPr>
    </w:p>
    <w:p w14:paraId="5014C2E4">
      <w:pPr>
        <w:pStyle w:val="3"/>
        <w:jc w:val="both"/>
        <w:rPr>
          <w:rFonts w:hint="default" w:ascii="Times New Roman Regular" w:hAnsi="Times New Roman Regular" w:cs="Times New Roman Regular"/>
        </w:rPr>
      </w:pPr>
      <w:r>
        <w:rPr>
          <w:rFonts w:hint="default" w:ascii="Times New Roman Regular" w:hAnsi="Times New Roman Regular" w:cs="Times New Roman Regular"/>
        </w:rPr>
        <w:t>As adults age, their decreased automatic processing ability requires them to occupy the anterior lobes that are originally responsible for complex EF with simple tasks (Davis et al., 2008; Grady et al., 1994). This should at least partially account for older adults’ difficulty in performing complex tasks and declined cognitive function (Davis et al., 2008). Thus, bilingualism contributes to cognitive reserve by reallocating the cognitive demand from anterior regions to posterior and subcortical regions and sustaining the automatic process, which leaves space for complex EF.</w:t>
      </w:r>
    </w:p>
    <w:p w14:paraId="7291CD2E">
      <w:pPr>
        <w:pStyle w:val="3"/>
        <w:jc w:val="both"/>
      </w:pPr>
    </w:p>
    <w:bookmarkEnd w:id="3"/>
    <w:p w14:paraId="478588DB">
      <w:pPr>
        <w:pStyle w:val="4"/>
        <w:jc w:val="both"/>
      </w:pPr>
      <w:bookmarkStart w:id="4" w:name="Xa082ffd05e3a83ac27f2b8291cdf4d1d05b64ea"/>
      <w:r>
        <w:t>The Limits of Bilingualism Effect on Dementia</w:t>
      </w:r>
    </w:p>
    <w:p w14:paraId="68E02634">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that bilingualism can do in terms of protection against dementia. The following part will briefly introduce previous studies and meta-analyses on the perspectives respectively.</w:t>
      </w:r>
    </w:p>
    <w:p w14:paraId="534A9D68">
      <w:pPr>
        <w:pStyle w:val="3"/>
        <w:rPr>
          <w:rFonts w:hint="default"/>
        </w:rPr>
      </w:pPr>
    </w:p>
    <w:p w14:paraId="7A268143">
      <w:pPr>
        <w:pStyle w:val="3"/>
        <w:jc w:val="both"/>
        <w:rPr>
          <w:rFonts w:hint="default" w:ascii="Times New Roman Regular" w:hAnsi="Times New Roman Regular" w:cs="Times New Roman Regular"/>
        </w:rPr>
      </w:pPr>
      <w:r>
        <w:rPr>
          <w:rFonts w:hint="default" w:ascii="Times New Roman Regular" w:hAnsi="Times New Roman Regular" w:cs="Times New Roman Regular"/>
        </w:rPr>
        <w:t>As mentioned before, one important prediction from cognitive reserve is that individuals with high reserve will show a delayed onset of impairment than individuals with low reserve (Berkes &amp; Bialystok, 2022). Retrospective studies compared the age of onset or diagnosis of dementia for both bilinguals and monolinguals in clinical samples. Bialystok et al. (2007) were the first to examine such effects on clinical populations with dementia. By examining the records of 184 patients with equivalent progression of Mini-Mnetal State Examination [MMSE; Folstein et al. (1975)] scores in Toronto Canada, they found that bilingual patients developed symptoms of dementia later than their monolingual peers for around 4 years (F (1, 178) = 9.16, p&lt;0.003). The results have been replicated in different populations in various countries such as China (Zheng et al., 2018), India (Alladi et al., 2013), and Belgium (E. V. Y. Woumans et al., 2015). Given the mostly positive results of previous retrospective studies and the moderate effect (Cohen’s d = 0.32) of previous meta-analysis (Anderson et al., 2020), it seems that bilingualism’s delaying effect is less inconclusive than incidence rate studies.</w:t>
      </w:r>
    </w:p>
    <w:p w14:paraId="08B6D088">
      <w:pPr>
        <w:pStyle w:val="3"/>
        <w:jc w:val="both"/>
        <w:rPr>
          <w:rFonts w:hint="default" w:ascii="Times New Roman Regular" w:hAnsi="Times New Roman Regular" w:cs="Times New Roman Regular"/>
        </w:rPr>
      </w:pPr>
    </w:p>
    <w:p w14:paraId="3239E884">
      <w:pPr>
        <w:pStyle w:val="3"/>
        <w:jc w:val="both"/>
        <w:rPr>
          <w:rFonts w:hint="default" w:ascii="Times New Roman Regular" w:hAnsi="Times New Roman Regular" w:cs="Times New Roman Regular"/>
        </w:rPr>
      </w:pPr>
      <w:r>
        <w:rPr>
          <w:rFonts w:hint="default" w:ascii="Times New Roman Regular" w:hAnsi="Times New Roman Regular" w:cs="Times New Roman Regular"/>
        </w:rPr>
        <w:t>Compared to retrospective studies, most prospective studies have a different outcome variable, the dementia incidence rate in certain populations (Grundy &amp; Anderson, 2017). These studies track groups of healthy individuals and collect the rates of dementia in the groups during the study period. Yet, these prospective studies tend to find non-significant results of bilingualism’s preventive effects. For instance, (Zahodne et al., 2014) followed a sample of 1067 old Spanish-English bilinguals and Spanish monolinguals in New York while collecting their cognitive test scores and clinical diagnoses every 18 to 24 months for approximately 20 years. At the end of the study, 31% of monolinguals and 20% of bilinguals had been diagnosed dementia (Zahodne et al., 2014). The results showed that bilingualism was associated with 0.291 lower log odds of incidence rates. After accounting for other predictors, bilingualism was not correlated with dementia risk despite attending higher education and being female being associated with lower dementia risk (Zahodne et al., 2014). Similarly, Lawton et al. (2015) and Ljungberg et al. (2016) also found no single correlation between reduced dementia risk and bilingualism in the US (x2(1, n=81) = .13, p = .72) and Sweden (bilinguals: Hazard Ratio = 1.43, 95% CI = 0.73 − 2.85, p = .29) respectively. Moreover, Mukadam et al. (2017) 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 “a strategy to delay dementia” (Mukadam et al., 2017, p. 53). Yet the present study will argue that their argument is premature and that the difference of bilingualism’s delaying effect and preventive effect should be drawn.</w:t>
      </w:r>
    </w:p>
    <w:p w14:paraId="12182137">
      <w:pPr>
        <w:pStyle w:val="3"/>
        <w:jc w:val="both"/>
        <w:rPr>
          <w:rFonts w:hint="default" w:ascii="Times New Roman Regular" w:hAnsi="Times New Roman Regular" w:cs="Times New Roman Regular"/>
        </w:rPr>
      </w:pPr>
    </w:p>
    <w:p w14:paraId="7299EF7C">
      <w:pPr>
        <w:pStyle w:val="3"/>
        <w:jc w:val="both"/>
        <w:rPr>
          <w:rFonts w:hint="default" w:ascii="Times New Roman Regular" w:hAnsi="Times New Roman Regular" w:cs="Times New Roman Regular"/>
        </w:rPr>
      </w:pPr>
      <w:r>
        <w:rPr>
          <w:rFonts w:hint="default" w:ascii="Times New Roman Regular" w:hAnsi="Times New Roman Regular" w:cs="Times New Roman Regular"/>
        </w:rPr>
        <w:t>Since the publication of their meta-analysis (Mukadam et al., 2017), several scholars have criticised their conceptual and methodological approach (Grundy &amp; Anderson, 2017; E. Woumans et al., 2017). For the conceptual issue, most prospective studies examined the dementia incidence rate, which is different from the age at onset of dementia, the outcome variable of retrospective studies. The interpretation of the null summary effect of the four prospective studies should not be conflated with bilingualism’s effect on the age of dementia onset. Thus, Mukadam et al. (2017) 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 Venugopal et al. (2024) also committed a bilingual effect on lower dementia risks among non-immigrant populations in India. Given these limitations of previous meta-analysis, the present meta-analysis will reexamine the bilingualism’s effect on age at onset of dementia and incidence rates respectively.</w:t>
      </w:r>
    </w:p>
    <w:p w14:paraId="1CBC5946">
      <w:pPr>
        <w:pStyle w:val="3"/>
        <w:jc w:val="both"/>
        <w:rPr>
          <w:rFonts w:hint="default" w:ascii="Times New Roman Regular" w:hAnsi="Times New Roman Regular" w:cs="Times New Roman Regular"/>
        </w:rPr>
      </w:pPr>
    </w:p>
    <w:p w14:paraId="16855898">
      <w:pPr>
        <w:pStyle w:val="3"/>
        <w:jc w:val="both"/>
        <w:rPr>
          <w:rFonts w:hint="default" w:ascii="Times New Roman Regular" w:hAnsi="Times New Roman Regular" w:cs="Times New Roman Regular"/>
        </w:rPr>
      </w:pPr>
      <w:r>
        <w:rPr>
          <w:rFonts w:hint="default" w:ascii="Times New Roman Regular" w:hAnsi="Times New Roman Regular" w:cs="Times New Roman Regular"/>
        </w:rPr>
        <w:t>Additionally, there may be some limits considering the effect of bilingualism on dementia. There is no reason to expect bilingualism as a factor of cognitive reserve to prevent 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meta-analysis and the potential limits of the bilingualism effect, the present meta-analyses will reexamine the bilingualism’s effect on age at onset of dementia and incidence rates respectively.</w:t>
      </w:r>
    </w:p>
    <w:p w14:paraId="268F0784">
      <w:pPr>
        <w:pStyle w:val="3"/>
        <w:jc w:val="both"/>
        <w:rPr>
          <w:rFonts w:hint="default" w:ascii="Times New Roman Regular" w:hAnsi="Times New Roman Regular" w:cs="Times New Roman Regular"/>
        </w:rPr>
      </w:pPr>
    </w:p>
    <w:bookmarkEnd w:id="4"/>
    <w:p w14:paraId="14A46BF4">
      <w:pPr>
        <w:pStyle w:val="4"/>
        <w:jc w:val="both"/>
      </w:pPr>
      <w:bookmarkStart w:id="5" w:name="research-questions"/>
      <w:r>
        <w:t>Research Questions</w:t>
      </w:r>
    </w:p>
    <w:p w14:paraId="206007E7">
      <w:pPr>
        <w:pStyle w:val="23"/>
        <w:numPr>
          <w:ilvl w:val="0"/>
          <w:numId w:val="1"/>
        </w:numPr>
        <w:jc w:val="both"/>
        <w:rPr>
          <w:rFonts w:hint="default"/>
        </w:rPr>
      </w:pPr>
      <w:r>
        <w:rPr>
          <w:rFonts w:hint="default" w:ascii="Times New Roman Regular" w:hAnsi="Times New Roman Regular" w:cs="Times New Roman Regular"/>
        </w:rPr>
        <w:t>. Are there differences between the age at onset of dementia for bilinguals and monolinguals? If so, is the effect influenced greatly by bias? (2). Is there a bilingualism preventing effect on dementia? (3). Are there other variables that influence the relation between bilingualism and age at onset of dementia?</w:t>
      </w:r>
    </w:p>
    <w:p w14:paraId="61699A5E">
      <w:pPr>
        <w:pStyle w:val="3"/>
        <w:rPr>
          <w:rFonts w:hint="default"/>
        </w:rPr>
      </w:pPr>
    </w:p>
    <w:p w14:paraId="3BACCA79">
      <w:pPr>
        <w:pStyle w:val="3"/>
        <w:jc w:val="both"/>
        <w:rPr>
          <w:rFonts w:hint="default" w:ascii="Times New Roman Regular" w:hAnsi="Times New Roman Regular" w:cs="Times New Roman Regular"/>
        </w:rPr>
      </w:pPr>
      <w:r>
        <w:rPr>
          <w:rFonts w:hint="default" w:ascii="Times New Roman Regular" w:hAnsi="Times New Roman Regular" w:cs="Times New Roman Regular"/>
        </w:rPr>
        <w:t>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avg_comparison() function (Arel-Bundock et al., 2024). The inspection for bias will be achieved through the funnel plot (Light &amp; Pillemer, 1984).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the section 3.5.</w:t>
      </w:r>
    </w:p>
    <w:p w14:paraId="11DC81B6">
      <w:pPr>
        <w:pStyle w:val="3"/>
        <w:jc w:val="both"/>
      </w:pPr>
    </w:p>
    <w:bookmarkEnd w:id="1"/>
    <w:bookmarkEnd w:id="5"/>
    <w:p w14:paraId="6EE056D4">
      <w:pPr>
        <w:pStyle w:val="2"/>
        <w:jc w:val="both"/>
      </w:pPr>
      <w:bookmarkStart w:id="6" w:name="methods"/>
      <w:r>
        <w:t>Methods</w:t>
      </w:r>
    </w:p>
    <w:p w14:paraId="2F6FEFD0">
      <w:pPr>
        <w:pStyle w:val="4"/>
        <w:jc w:val="both"/>
      </w:pPr>
      <w:bookmarkStart w:id="7" w:name="literature-searching"/>
      <w:r>
        <w:t>Literature Searching</w:t>
      </w:r>
    </w:p>
    <w:p w14:paraId="744FCE82">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The datasets used in the present meta-analysis were PsycInfo, PubMed, and Google Scholar. A search of these databases and data extraction were conducted by Z.L. with the following keywords: (“bilingualism” OR “multilingualism”) AND (“Alzheimer’s disease” OR “dementia” OR MCI).</w:t>
      </w:r>
    </w:p>
    <w:p w14:paraId="31A560C6">
      <w:pPr>
        <w:pStyle w:val="3"/>
      </w:pPr>
    </w:p>
    <w:bookmarkEnd w:id="7"/>
    <w:p w14:paraId="34B24A29">
      <w:pPr>
        <w:pStyle w:val="4"/>
        <w:jc w:val="both"/>
      </w:pPr>
      <w:bookmarkStart w:id="8" w:name="inclusion-and-exclusion-criteria"/>
      <w:r>
        <w:t>Inclusion and Exclusion Criteria</w:t>
      </w:r>
    </w:p>
    <w:p w14:paraId="36D3E72E">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For a study to be included, it must meet the following criteria: (a). The study must include the bilingual and monolingual samples. (b). The study should be about dementia or mild cognitive impairment (MCI). (c). The articles included need to provide necessary information of both bilingual and monolingual groups (i.e., for age at onset study: sample size, the mean age of onset and standard deviation of each group; for incidence rate study: sample size, the number of individuals who developed dementia during the study period). Additionally, they have to report mean years of education and standard deviation for both bilingual and monolingual groups.</w:t>
      </w:r>
    </w:p>
    <w:p w14:paraId="0437197F">
      <w:pPr>
        <w:pStyle w:val="3"/>
      </w:pPr>
    </w:p>
    <w:bookmarkEnd w:id="8"/>
    <w:p w14:paraId="7A5892D8">
      <w:pPr>
        <w:pStyle w:val="4"/>
        <w:jc w:val="both"/>
      </w:pPr>
      <w:bookmarkStart w:id="9" w:name="data-coding"/>
      <w:r>
        <w:t>Data Coding</w:t>
      </w:r>
    </w:p>
    <w:p w14:paraId="33065F15">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After collecting the included studies, it is necessary to code the data for analysis. For the age at onset study, the column names in the data set include Study, mean, SD, N, mobi, dementia_type, and years_of_education. In detail, in the Study column, the last name of all the authors (if the number of authors is under three) or the last name of the first author (if the number of authors is above three) and year of publication were extracted for each study. The mean and SD are the mean age at onset/diagnosis for dementia or MCI and its standard deviation. N is the number of participants in each group within each study. The monolingual and bilingual group is represented under the mobi column as monolingual and bilingual.</w:t>
      </w:r>
    </w:p>
    <w:p w14:paraId="40526C5F">
      <w:pPr>
        <w:pStyle w:val="3"/>
        <w:rPr>
          <w:rFonts w:hint="default" w:ascii="Times New Roman Regular" w:hAnsi="Times New Roman Regular" w:cs="Times New Roman Regular"/>
        </w:rPr>
      </w:pPr>
    </w:p>
    <w:p w14:paraId="167A70CA">
      <w:pPr>
        <w:pStyle w:val="3"/>
        <w:jc w:val="both"/>
        <w:rPr>
          <w:rFonts w:hint="default" w:ascii="Times New Roman Regular" w:hAnsi="Times New Roman Regular" w:cs="Times New Roman Regular"/>
        </w:rPr>
      </w:pPr>
      <w:r>
        <w:rPr>
          <w:rFonts w:hint="default" w:ascii="Times New Roman Regular" w:hAnsi="Times New Roman Regular" w:cs="Times New Roman Regular"/>
        </w:rPr>
        <w:t>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p w14:paraId="79166AA3">
      <w:pPr>
        <w:pStyle w:val="3"/>
        <w:jc w:val="both"/>
      </w:pPr>
    </w:p>
    <w:bookmarkEnd w:id="9"/>
    <w:p w14:paraId="7245A5C9">
      <w:pPr>
        <w:pStyle w:val="4"/>
        <w:jc w:val="both"/>
      </w:pPr>
      <w:bookmarkStart w:id="10" w:name="statistical-analysis"/>
      <w:r>
        <w:t>Statistical Analysis</w:t>
      </w:r>
    </w:p>
    <w:p w14:paraId="74F5F6E5">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The present meta-analysis will employ the brm package in R (Bürkner, 2021) 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 (Schmid et al., 2020). Instead, it produces a full posterior probability distribution of parameters which reveals more uncertainty of the data. It is better for fields with limited data and will employ prior information. The prior setting, forest plot and funnel plot drawing will be explained further in the results section.</w:t>
      </w:r>
    </w:p>
    <w:p w14:paraId="4E67313E">
      <w:pPr>
        <w:pStyle w:val="3"/>
      </w:pPr>
    </w:p>
    <w:bookmarkEnd w:id="10"/>
    <w:p w14:paraId="1B0D982B">
      <w:pPr>
        <w:pStyle w:val="4"/>
        <w:jc w:val="both"/>
      </w:pPr>
      <w:bookmarkStart w:id="11" w:name="X46bed80078d62df1b00135780685e120fc50855"/>
      <w:r>
        <w:t>Confounding Variables and Modulating Factors</w:t>
      </w:r>
    </w:p>
    <w:p w14:paraId="73936F87">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Apart from generating summary effects for included studies, it is necessary to check the effect of other confounding variables especially when there is an inconsistent relation between an independent variable and an outcome across studies (Frazier et al., 2004).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the previous meta-analysis (Anderson et al., 2020), the present study will also conduct an extra regression model to include the confounding variable years of education (YoE). Additionally, it will also conduct a subgroup analysis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p w14:paraId="0923494A">
      <w:pPr>
        <w:pStyle w:val="3"/>
      </w:pPr>
    </w:p>
    <w:p w14:paraId="7A2A79F0">
      <w:pPr>
        <w:pStyle w:val="5"/>
        <w:jc w:val="both"/>
      </w:pPr>
      <w:bookmarkStart w:id="12" w:name="education-as-a-confounding-variable"/>
      <w:r>
        <w:t>Education as a Confounding Variable</w:t>
      </w:r>
    </w:p>
    <w:p w14:paraId="4A94DB9B">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 xml:space="preserve">Bak (2016) states that education and immigration status are two obvious confounding variables of bilingualism research. In a systematic review conducted by Sharp &amp; Gatz (2011), 51 out of 88 studies that examined the relationship between dementia and education showed a significant effect. Their results show that lower education is related to increased risks of dementia, especially in developed countries (Sharp &amp; Gatz, 2011). In some retrospective studies of bilingualism and dementia, the differences between the years of education of bilinguals and monolinguals were often noteworthy. For instance, the mean years of education for monolinguals and bilinguals were 6.9 and 13.9 respectively in Alladi et al. (2017) and 4.92 and 10.97 in Zheng et al. (2018). Some studies argued that bilingualism was still a significant factor in delaying dementia onset after controlling the covariates including education (e.g., Alladi et al., 2013), yet the statistical power may be weak due to the small sample size Paap (2019). Although the significant relationship between the risks of dementia and education was not always replicated Gatz et al. (2001), it is still necessary to examine its influence on the current result of the meta-analysis model. This is also because, in some areas, children have to attend education to be bilinguals. For instance, in countries that consider English as a foreign language such as China, students have to learn English at school to be Mandarin and English bilinguals. Therefore, the relation between education, bilingualism and dementia is shown in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"fig-dag"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1</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w:t>
      </w:r>
    </w:p>
    <w:tbl>
      <w:tblPr>
        <w:tblStyle w:val="41"/>
        <w:tblW w:w="5000" w:type="pct"/>
        <w:tblInd w:w="0" w:type="dxa"/>
        <w:tblLayout w:type="fixed"/>
        <w:tblCellMar>
          <w:top w:w="0" w:type="dxa"/>
          <w:left w:w="108" w:type="dxa"/>
          <w:bottom w:w="0" w:type="dxa"/>
          <w:right w:w="108" w:type="dxa"/>
        </w:tblCellMar>
      </w:tblPr>
      <w:tblGrid>
        <w:gridCol w:w="9576"/>
      </w:tblGrid>
      <w:tr w14:paraId="35B03606">
        <w:tc>
          <w:tcPr>
            <w:tcW w:w="7920" w:type="dxa"/>
          </w:tcPr>
          <w:p w14:paraId="4BB9A70B">
            <w:pPr>
              <w:pStyle w:val="24"/>
              <w:jc w:val="both"/>
            </w:pPr>
            <w:bookmarkStart w:id="13" w:name="fig-dag"/>
            <w:r>
              <w:drawing>
                <wp:inline distT="0" distB="0" distL="0" distR="0">
                  <wp:extent cx="5334000" cy="3642995"/>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5"/>
                          <a:stretch>
                            <a:fillRect/>
                          </a:stretch>
                        </pic:blipFill>
                        <pic:spPr>
                          <a:xfrm>
                            <a:off x="0" y="0"/>
                            <a:ext cx="5334000" cy="3643222"/>
                          </a:xfrm>
                          <a:prstGeom prst="rect">
                            <a:avLst/>
                          </a:prstGeom>
                          <a:noFill/>
                          <a:ln w="9525">
                            <a:noFill/>
                          </a:ln>
                        </pic:spPr>
                      </pic:pic>
                    </a:graphicData>
                  </a:graphic>
                </wp:inline>
              </w:drawing>
            </w:r>
          </w:p>
          <w:p w14:paraId="2C4A33C1">
            <w:pPr>
              <w:pStyle w:val="45"/>
              <w:spacing w:before="200"/>
              <w:jc w:val="both"/>
            </w:pPr>
            <w:r>
              <w:t>Figure 1: Directed Acyclic Graph showing the potential influence of years of education (confounding variable) and dementia type (modulating variable).</w:t>
            </w:r>
          </w:p>
          <w:bookmarkEnd w:id="13"/>
        </w:tc>
      </w:tr>
    </w:tbl>
    <w:p w14:paraId="441565E3">
      <w:pPr>
        <w:pStyle w:val="3"/>
        <w:jc w:val="both"/>
        <w:rPr>
          <w:rFonts w:hint="default" w:ascii="Times New Roman Regular" w:hAnsi="Times New Roman Regular" w:cs="Times New Roman Regular"/>
        </w:rPr>
      </w:pPr>
      <w:r>
        <w:rPr>
          <w:rFonts w:hint="default" w:ascii="Times New Roman Regular" w:hAnsi="Times New Roman Regular" w:cs="Times New Roman Regular"/>
        </w:rPr>
        <w:t>Additionally, immigration status has been argued to confound the bilingualism effect since healthier people are more likely to become immigrants, who are also bilingual (Fuller-Thomson &amp; Kuh, 2014).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 (e.g., Alladi et al., 2013; Zheng et al., 2018). In other words, if the bilingualism’s protective effect on dementia is indeed due to the healthy immigrant effect, no bilingualism advantage is supposed to be found in these studies. Secondly, Brini et al. (2020) conducted subgroup analyses to compare the study that adjusted for immigration status to those that did not in their meta-analysis of bilingualism and age at onset of dementia. The results showed that the two subgroups were not significantly different concerning bilingualism’s delaying effect (Brini et al., 2020). Thus, the present meta-analysis will not repeat the subgroup analysis of immigration status.</w:t>
      </w:r>
    </w:p>
    <w:p w14:paraId="298E2287">
      <w:pPr>
        <w:pStyle w:val="3"/>
        <w:jc w:val="both"/>
      </w:pPr>
    </w:p>
    <w:bookmarkEnd w:id="12"/>
    <w:p w14:paraId="03F289EA">
      <w:pPr>
        <w:pStyle w:val="5"/>
        <w:jc w:val="both"/>
      </w:pPr>
      <w:bookmarkStart w:id="14" w:name="dementia-type-as-a-modulating-variable"/>
      <w:r>
        <w:t>Dementia Type as a Modulating Variable</w:t>
      </w:r>
    </w:p>
    <w:p w14:paraId="0AA17E53">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As mentioned in the introduction, bilingualism’s effect may be different for different types of dementia (Alladi et al., 2013). Even within the same sample, the difference in the delaying effect can be quite large (4 years for FTD dementia and 1.4 years for Mixed dementia in Alladi et al., 2013).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w:t>
      </w:r>
    </w:p>
    <w:p w14:paraId="43F9EFD3">
      <w:pPr>
        <w:pStyle w:val="3"/>
      </w:pPr>
    </w:p>
    <w:bookmarkEnd w:id="6"/>
    <w:bookmarkEnd w:id="11"/>
    <w:bookmarkEnd w:id="14"/>
    <w:p w14:paraId="7077DEFC">
      <w:pPr>
        <w:pStyle w:val="2"/>
        <w:jc w:val="both"/>
      </w:pPr>
      <w:bookmarkStart w:id="15" w:name="results"/>
      <w:r>
        <w:t>Results</w:t>
      </w:r>
    </w:p>
    <w:p w14:paraId="41B26986">
      <w:pPr>
        <w:pStyle w:val="4"/>
        <w:jc w:val="both"/>
      </w:pPr>
      <w:bookmarkStart w:id="16" w:name="literature-searching-1"/>
      <w:r>
        <w:t>Literature Searching</w:t>
      </w:r>
    </w:p>
    <w:p w14:paraId="74871CCF">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 xml:space="preserve">Shown in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"fig-prisma"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2</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41"/>
        <w:tblW w:w="5000" w:type="pct"/>
        <w:tblInd w:w="0" w:type="dxa"/>
        <w:tblLayout w:type="fixed"/>
        <w:tblCellMar>
          <w:top w:w="0" w:type="dxa"/>
          <w:left w:w="108" w:type="dxa"/>
          <w:bottom w:w="0" w:type="dxa"/>
          <w:right w:w="108" w:type="dxa"/>
        </w:tblCellMar>
      </w:tblPr>
      <w:tblGrid>
        <w:gridCol w:w="9576"/>
      </w:tblGrid>
      <w:tr w14:paraId="0FA65E6B">
        <w:tc>
          <w:tcPr>
            <w:tcW w:w="7920" w:type="dxa"/>
          </w:tcPr>
          <w:p w14:paraId="7E6916F3">
            <w:pPr>
              <w:pStyle w:val="24"/>
              <w:jc w:val="both"/>
            </w:pPr>
            <w:bookmarkStart w:id="17" w:name="fig-prisma"/>
            <w:r>
              <w:drawing>
                <wp:inline distT="0" distB="0" distL="0" distR="0">
                  <wp:extent cx="5334000" cy="543242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6"/>
                          <a:stretch>
                            <a:fillRect/>
                          </a:stretch>
                        </pic:blipFill>
                        <pic:spPr>
                          <a:xfrm>
                            <a:off x="0" y="0"/>
                            <a:ext cx="5334000" cy="5432777"/>
                          </a:xfrm>
                          <a:prstGeom prst="rect">
                            <a:avLst/>
                          </a:prstGeom>
                          <a:noFill/>
                          <a:ln w="9525">
                            <a:noFill/>
                          </a:ln>
                        </pic:spPr>
                      </pic:pic>
                    </a:graphicData>
                  </a:graphic>
                </wp:inline>
              </w:drawing>
            </w:r>
          </w:p>
          <w:p w14:paraId="20A25BBE">
            <w:pPr>
              <w:pStyle w:val="45"/>
              <w:spacing w:before="200"/>
              <w:jc w:val="both"/>
            </w:pPr>
            <w:r>
              <w:t>Figure 2: Prisma flow diagram showing the number of studies included in the meta-analysis according to PRISMA (Preferred Reporting Items for Systematic reviews and Meta-Analysis) 2020.</w:t>
            </w:r>
          </w:p>
          <w:bookmarkEnd w:id="17"/>
        </w:tc>
      </w:tr>
    </w:tbl>
    <w:p w14:paraId="7C80F2E7">
      <w:pPr>
        <w:pStyle w:val="3"/>
        <w:jc w:val="both"/>
        <w:rPr>
          <w:rFonts w:hint="default" w:ascii="Times New Roman Regular" w:hAnsi="Times New Roman Regular" w:cs="Times New Roman Regular"/>
        </w:rPr>
      </w:pPr>
      <w:r>
        <w:rPr>
          <w:rFonts w:hint="default" w:ascii="Times New Roman Regular" w:hAnsi="Times New Roman Regular" w:cs="Times New Roman Regular"/>
        </w:rPr>
        <w:t>To fit in the Bayesian meta-analysis model, the researcher retrieved the summary data from each study, including the age at onset/diagnosis, standard deviation, number of individuals in bilingual and monolingual groups, years of education for each group, and dementia types in each study. One special case is that Zheng et al. (2018) included two monolingual groups: Mandarin and Cantonese. Different from previous meta-analyses to combine them into one monolingual group (Brini et al., 2020), the Bayesian linear model allows for two monolingual groups and one bilingual group. For the age at onset/diagnosis model, the final included sample was 23 pairs of participants (N = 3674, including 2023 monolinguals and 1641 bilinguals).</w:t>
      </w:r>
    </w:p>
    <w:bookmarkEnd w:id="16"/>
    <w:p w14:paraId="79F3856B">
      <w:pPr>
        <w:pStyle w:val="4"/>
        <w:jc w:val="both"/>
      </w:pPr>
      <w:bookmarkStart w:id="18" w:name="prior-distribution-setting"/>
      <w:r>
        <w:t>Prior Distribution Setting</w:t>
      </w:r>
    </w:p>
    <w:p w14:paraId="0E5263AB">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For a specified Bayesian model, the posterior inference relies on both the likelihood and the prior (Schmid et al., 2020). The present Bayesian random-effect model for age at onset studies specifies three priors. First, it specifies a LKJ (2) prior on the correlation matrix (Nicenboim et al., 2024). The setting of its parameter = 2 would avoid favouring extreme correlations, which provides a relatively uninformative or weakly informative prior. Second, it specifies a Student-t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the case, age at onset of dementia) would fall within 95%Crl of (65 ± 2*22.5) years. The reason for a prior belief of the mean age at onset to be centred around 65 is that most previous studies have dementia age at onsets around 58 and 76, which is important historical evidence (Turner et al., 2009). Also, the 95 credible intervals of 20 and 110 provide enough variability for the age onset of adult neurodegenerative disease.</w:t>
      </w:r>
    </w:p>
    <w:p w14:paraId="4BF7793A">
      <w:pPr>
        <w:pStyle w:val="3"/>
      </w:pPr>
    </w:p>
    <w:bookmarkEnd w:id="18"/>
    <w:p w14:paraId="09C64C19">
      <w:pPr>
        <w:pStyle w:val="4"/>
        <w:jc w:val="both"/>
      </w:pPr>
      <w:bookmarkStart w:id="19" w:name="Xd0df9da9ee21d5417233a08b5c4c4fb8729a75c"/>
      <w:r>
        <w:t>Results for Meta-analysis of Bilingualism and Age at Onset of Dementia</w:t>
      </w:r>
    </w:p>
    <w:p w14:paraId="17621EAC">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 xml:space="preserve">We fitted a Bayesian linear regression model with mobi (language group) as the predictor, mean (age at onset) as the outcome variable and measurement error (added with se (SE) at the left side of the model formula). The results showed that at the population level, the estimated age at dementia onset for monolinguals was between 65.04 and 68.82 years at 95% Crl (β = 68.39, Est.Error = 1.64). For bilinguals, the estimated age at dementia onset was between 68.82 and 74.61 years at 95% Crl (β = 71.68, Est.Error = 1.49). I further used “avg_comparisons()” function to summarise the average marginal effects for bilinguals and monolinguals (Arel-Bundock et al., 2024), which showed that the average difference between the age at dementia onset for bilinguals and monolinguals was between 2.8 and 4.1 years at 95% Crl with an estimate of 3.45 years. This meant that the bilingual population tends to have a later dementia symptom onset of around 3.45 years than monolinguals based on the provided data. A similar result was also shown in the forest plot of the difference in effect for bilinguals and monolinguals in which the majority of the studies have a positive value that favours bilingualism (see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"fig-fig3"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3</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The majority of studies’ 95% credible interval was positive. Only one study (Duncan et al., 2018) resulted in a negative effect that monolinguals have a later dementia onset than bilinguals by around 1.42 years. Overall, the meta-analytic effect showed a relatively positive result that favoured bilinguals’ delayed onset of dementia. The following section will check the heterogeneity across the studies.</w:t>
      </w:r>
    </w:p>
    <w:tbl>
      <w:tblPr>
        <w:tblStyle w:val="41"/>
        <w:tblW w:w="5000" w:type="pct"/>
        <w:tblInd w:w="0" w:type="dxa"/>
        <w:tblLayout w:type="fixed"/>
        <w:tblCellMar>
          <w:top w:w="0" w:type="dxa"/>
          <w:left w:w="108" w:type="dxa"/>
          <w:bottom w:w="0" w:type="dxa"/>
          <w:right w:w="108" w:type="dxa"/>
        </w:tblCellMar>
      </w:tblPr>
      <w:tblGrid>
        <w:gridCol w:w="9576"/>
      </w:tblGrid>
      <w:tr w14:paraId="5F6B97FC">
        <w:tc>
          <w:tcPr>
            <w:tcW w:w="7920" w:type="dxa"/>
          </w:tcPr>
          <w:p w14:paraId="2A3F59D1">
            <w:pPr>
              <w:pStyle w:val="24"/>
              <w:jc w:val="both"/>
            </w:pPr>
            <w:bookmarkStart w:id="20" w:name="fig-fig3"/>
            <w:r>
              <w:drawing>
                <wp:inline distT="0" distB="0" distL="0" distR="0">
                  <wp:extent cx="5943600" cy="3665220"/>
                  <wp:effectExtent l="0" t="0" r="0" b="0"/>
                  <wp:docPr id="133117953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9537" name="Picture 1" descr="A graph with numbers and lines&#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inline>
              </w:drawing>
            </w:r>
          </w:p>
          <w:p w14:paraId="455E3C9A">
            <w:pPr>
              <w:pStyle w:val="45"/>
              <w:spacing w:before="200"/>
              <w:jc w:val="both"/>
            </w:pPr>
            <w:r>
              <w:t>Figure 3: Forest plot of Bilingualism and Age at Onset of Dementia (Note: The estimates and 95% CrI are the differences between bilinguals and monolinguals, so a positive number indicates later onsets for bilinguals.)</w:t>
            </w:r>
          </w:p>
          <w:p w14:paraId="5B657CA4">
            <w:pPr>
              <w:pStyle w:val="45"/>
              <w:spacing w:before="200"/>
              <w:jc w:val="both"/>
            </w:pPr>
          </w:p>
          <w:bookmarkEnd w:id="20"/>
        </w:tc>
      </w:tr>
    </w:tbl>
    <w:p w14:paraId="3DB29AC7">
      <w:pPr>
        <w:pStyle w:val="5"/>
        <w:jc w:val="both"/>
      </w:pPr>
      <w:bookmarkStart w:id="21" w:name="heterogeneity-across-studies"/>
      <w:r>
        <w:t>Heterogeneity across Studies</w:t>
      </w:r>
    </w:p>
    <w:p w14:paraId="07E8A448">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In the present Bayesian meta-analysis model, heterogeneity was mainly expressed by the random effects at the group level, which was the difference in age at onset for mobi (monolingual group and bilingual group) across different study levels. At the group level, the standard deviation for mobimonolingual and mobibilingual was 7.13 with a 95% Crl [5.24, 9.93], and 6.54 with a 95% Crl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the researcher used the spread_draws() function (Kay &amp; Mastny, 2023) to draw two new forest plots that show the difference between the population-level mean age at dementia onset and each study’s age at dementia onset for bilinguals and monolinguals respectively (see Figure 4).</w:t>
      </w:r>
    </w:p>
    <w:tbl>
      <w:tblPr>
        <w:tblStyle w:val="41"/>
        <w:tblW w:w="5000" w:type="pct"/>
        <w:tblInd w:w="0" w:type="dxa"/>
        <w:tblLayout w:type="fixed"/>
        <w:tblCellMar>
          <w:top w:w="0" w:type="dxa"/>
          <w:left w:w="108" w:type="dxa"/>
          <w:bottom w:w="0" w:type="dxa"/>
          <w:right w:w="108" w:type="dxa"/>
        </w:tblCellMar>
      </w:tblPr>
      <w:tblGrid>
        <w:gridCol w:w="9576"/>
      </w:tblGrid>
      <w:tr w14:paraId="35BA92E5">
        <w:tc>
          <w:tcPr>
            <w:tcW w:w="7920" w:type="dxa"/>
          </w:tcPr>
          <w:p w14:paraId="02F3056C">
            <w:pPr>
              <w:pStyle w:val="24"/>
              <w:jc w:val="both"/>
            </w:pPr>
            <w:bookmarkStart w:id="22" w:name="fig-fig4"/>
            <w:r>
              <w:drawing>
                <wp:inline distT="0" distB="0" distL="0" distR="0">
                  <wp:extent cx="5334000" cy="3429000"/>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8"/>
                          <a:stretch>
                            <a:fillRect/>
                          </a:stretch>
                        </pic:blipFill>
                        <pic:spPr>
                          <a:xfrm>
                            <a:off x="0" y="0"/>
                            <a:ext cx="5334000" cy="3429000"/>
                          </a:xfrm>
                          <a:prstGeom prst="rect">
                            <a:avLst/>
                          </a:prstGeom>
                          <a:noFill/>
                          <a:ln w="9525">
                            <a:noFill/>
                          </a:ln>
                        </pic:spPr>
                      </pic:pic>
                    </a:graphicData>
                  </a:graphic>
                </wp:inline>
              </w:drawing>
            </w:r>
          </w:p>
          <w:p w14:paraId="4023BA9B">
            <w:pPr>
              <w:pStyle w:val="45"/>
              <w:spacing w:before="200"/>
              <w:jc w:val="both"/>
            </w:pPr>
            <w:r>
              <w:t>Figure 4: Forest plot showing the estimated difference between each study’s estimate and population-level estimate grouped by mobi (the dotted line marks the approximate boundaries between the three groups).</w:t>
            </w:r>
          </w:p>
          <w:bookmarkEnd w:id="22"/>
        </w:tc>
      </w:tr>
    </w:tbl>
    <w:p w14:paraId="51A229B7">
      <w:pPr>
        <w:pStyle w:val="3"/>
        <w:jc w:val="both"/>
        <w:rPr>
          <w:rFonts w:hint="default" w:ascii="Times New Roman Regular" w:hAnsi="Times New Roman Regular" w:cs="Times New Roman Regular"/>
        </w:rPr>
      </w:pPr>
      <w:r>
        <w:rPr>
          <w:rFonts w:hint="default" w:ascii="Times New Roman Regular" w:hAnsi="Times New Roman Regular" w:cs="Times New Roman Regular"/>
        </w:rPr>
        <w:t xml:space="preserve">As illustrated in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"fig-fig4"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4</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xml:space="preserve">, the studies seemed to be divided into three groups for each of the two plots. The estimated mean age at onsets for the first group of 8 studies were later than the population-level age at onset for around 3 to 8 years </w:t>
      </w:r>
      <w:r>
        <w:rPr>
          <w:rFonts w:hint="eastAsia" w:ascii="Times New Roman Regular" w:hAnsi="Times New Roman Regular" w:eastAsia="宋体" w:cs="Times New Roman Regular"/>
          <w:color w:val="FF0000"/>
          <w:lang w:val="en-US" w:eastAsia="zh-CN"/>
        </w:rPr>
        <w:t>(</w:t>
      </w:r>
      <w:r>
        <w:rPr>
          <w:rFonts w:hint="default" w:ascii="Times New Roman Regular" w:hAnsi="Times New Roman Regular" w:cs="Times New Roman Regular"/>
        </w:rPr>
        <w:t xml:space="preserve">Berkes et al. (2020); Bialystok et al. (2014); Chertkow et al. (2010); Clare et al. (2016); Craik et al. (2010); Ossher et al. (2013); Perani et al. (2017); E. V. Y. Woumans et al. (2015)). For the second group of 6 studies, the mean age at onsets were earlier than the population-level age at onset for around 6 to 10 years (Alladi et al. (2013); Alladi et al. (2017); Leon et al. (2020); Leon et al. (2024); Ramakrishnan et al. (2017); Mendez et al. (2020)). The third group of 4 studies (in the middle of the plot) were more complex, which clustered around the estimated population-level age at onset yet with different patterns for bilinguals and monolinguals (Bialystok et al., 2007; Duncan et al., 2018; Kowoll et al., 2016; Zheng et al., 2018). For instance, in Duncan et al. (2018), the estimated mean effect for the bilingual group was close to the population-level effect, but its monolinguals’ estimation was more than 5 years later than the population-level effect for monolinguals. Such a difference in monolingual and bilingual groups made Duncan et al. (2018) the only study that had a bilingual early mean dementia onset estimation, which is shown in the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"fig-fig3"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3</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5A1376B0">
      <w:pPr>
        <w:pStyle w:val="3"/>
        <w:jc w:val="both"/>
        <w:rPr>
          <w:rFonts w:hint="default" w:ascii="Times New Roman Regular" w:hAnsi="Times New Roman Regular" w:cs="Times New Roman Regular"/>
        </w:rPr>
      </w:pPr>
    </w:p>
    <w:p w14:paraId="5527391B">
      <w:pPr>
        <w:pStyle w:val="3"/>
        <w:jc w:val="both"/>
        <w:rPr>
          <w:rFonts w:hint="default" w:ascii="Times New Roman Regular" w:hAnsi="Times New Roman Regular" w:cs="Times New Roman Regular"/>
        </w:rPr>
      </w:pPr>
      <w:r>
        <w:rPr>
          <w:rFonts w:hint="default" w:ascii="Times New Roman Regular" w:hAnsi="Times New Roman Regular" w:cs="Times New Roman Regular"/>
        </w:rPr>
        <w:t>A careful investigation into the contexts of each study provided some potential evidence for such heterogeneity. One prominent difference between the first and second groups of studies might be the type of dementia. Among the 6 studies in the second group, three of them involved the FTD variant of dementia, one of them involved MCI patients and the other two involved AD patients. In contrast, seven out of eight studies in the first group and all of the four studies in the third group involved AD patients despite one study having MCI patients. Such differences in the distribution of types of dementia among different groups of studies further called for subgroup analysis of different types of dementia and to investigate whether the type of dementia influences the differences in age at onset of dementia in bilinguals and monolinguals (see 4.3.3).</w:t>
      </w:r>
    </w:p>
    <w:p w14:paraId="61D0709C">
      <w:pPr>
        <w:pStyle w:val="3"/>
        <w:jc w:val="both"/>
      </w:pPr>
    </w:p>
    <w:bookmarkEnd w:id="21"/>
    <w:p w14:paraId="5CC6A2AA">
      <w:pPr>
        <w:pStyle w:val="5"/>
        <w:jc w:val="both"/>
      </w:pPr>
      <w:bookmarkStart w:id="23" w:name="the-role-of-education-is-uncertain"/>
      <w:r>
        <w:t>The Role of Education is Uncertain</w:t>
      </w:r>
    </w:p>
    <w:p w14:paraId="4B5B3623">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To examine whether years of education had an influence on the meta-analytic effect, I included years of education into the right side of previous Bayesian linear model. The results showed that the population-level effect of “years of education” on the age at onset of dementia was between -0.63 and 0.36 at 95% Crl (β = -0.11, Est.Error = 0.26). It was quite uncertain about the role of Education since the effect involves both negative and positive values. This indicates that we are still uncertain whether “years of education” has an effect on age at onset of dementia (either positive or negative) or not, based on the data in the meta-analysis.</w:t>
      </w:r>
    </w:p>
    <w:p w14:paraId="0538C984">
      <w:pPr>
        <w:pStyle w:val="3"/>
        <w:jc w:val="both"/>
        <w:rPr>
          <w:rFonts w:hint="default" w:ascii="Times New Roman Regular" w:hAnsi="Times New Roman Regular" w:cs="Times New Roman Regular"/>
        </w:rPr>
      </w:pPr>
      <w:r>
        <w:rPr>
          <w:rFonts w:hint="default" w:ascii="Times New Roman Regular" w:hAnsi="Times New Roman Regular" w:cs="Times New Roman Regular"/>
        </w:rPr>
        <w:t>Additionally, the estimated mean age at dementia onsets for monolinguals and bilinguals was 69.62 years with a 95% Crl [63.16, 77.00] and 73.03 years with a 95% Crl [66.05, 80.53] after including years of education into the model. Using avg_comparisons() again, the mean average difference between the age at dementia onset for bilinguals and monolinguals was 3.65 years with a 95% Crl [2.55, 4.91]. The result was close to the previous model, where education was not included (3.45 years with a 95% Crl [2.8, 4.1]). Therefore, the results from Bayesian linear regression indicated that years of education did not have a strong effect on the effect of bilingualism on age at onset of dementia, although the role of education is uncertain.</w:t>
      </w:r>
    </w:p>
    <w:p w14:paraId="0D11C32B">
      <w:pPr>
        <w:pStyle w:val="3"/>
        <w:jc w:val="both"/>
      </w:pPr>
    </w:p>
    <w:bookmarkEnd w:id="23"/>
    <w:p w14:paraId="6E977689">
      <w:pPr>
        <w:pStyle w:val="5"/>
        <w:jc w:val="both"/>
      </w:pPr>
      <w:bookmarkStart w:id="24" w:name="subgroup-analysis-of-dementia-type"/>
      <w:r>
        <w:t>Subgroup Analysis of Dementia Type</w:t>
      </w:r>
    </w:p>
    <w:p w14:paraId="43AB5EB4">
      <w:pPr>
        <w:pStyle w:val="44"/>
        <w:jc w:val="both"/>
      </w:pPr>
      <w:r>
        <w:t>Cross-sectional Studies of Three Dementia Subgroups</w:t>
      </w:r>
    </w:p>
    <w:tbl>
      <w:tblPr>
        <w:tblStyle w:val="41"/>
        <w:tblW w:w="5000" w:type="pct"/>
        <w:tblInd w:w="0" w:type="dxa"/>
        <w:tblLayout w:type="fixed"/>
        <w:tblCellMar>
          <w:top w:w="0" w:type="dxa"/>
          <w:left w:w="108" w:type="dxa"/>
          <w:bottom w:w="0" w:type="dxa"/>
          <w:right w:w="108" w:type="dxa"/>
        </w:tblCellMar>
      </w:tblPr>
      <w:tblGrid>
        <w:gridCol w:w="2261"/>
        <w:gridCol w:w="2394"/>
        <w:gridCol w:w="2261"/>
        <w:gridCol w:w="2660"/>
      </w:tblGrid>
      <w:tr w14:paraId="7B6ADE99">
        <w:trPr>
          <w:tblHeader/>
        </w:trPr>
        <w:tc>
          <w:tcPr>
            <w:tcW w:w="2261" w:type="dxa"/>
            <w:tcBorders>
              <w:bottom w:val="single" w:color="auto" w:sz="0" w:space="0"/>
              <w:insideH w:val="single" w:sz="0" w:space="0"/>
            </w:tcBorders>
            <w:vAlign w:val="bottom"/>
          </w:tcPr>
          <w:p w14:paraId="205CFFAD">
            <w:pPr>
              <w:pStyle w:val="24"/>
              <w:jc w:val="both"/>
            </w:pPr>
            <w:r>
              <w:t>Study</w:t>
            </w:r>
          </w:p>
        </w:tc>
        <w:tc>
          <w:tcPr>
            <w:tcW w:w="2394" w:type="dxa"/>
            <w:tcBorders>
              <w:bottom w:val="single" w:color="auto" w:sz="0" w:space="0"/>
              <w:insideH w:val="single" w:sz="0" w:space="0"/>
            </w:tcBorders>
            <w:vAlign w:val="bottom"/>
          </w:tcPr>
          <w:p w14:paraId="2AC952FC">
            <w:pPr>
              <w:pStyle w:val="24"/>
              <w:jc w:val="both"/>
            </w:pPr>
            <w:r>
              <w:t>Dementia Diagnosis</w:t>
            </w:r>
          </w:p>
        </w:tc>
        <w:tc>
          <w:tcPr>
            <w:tcW w:w="2261" w:type="dxa"/>
            <w:tcBorders>
              <w:bottom w:val="single" w:color="auto" w:sz="0" w:space="0"/>
              <w:insideH w:val="single" w:sz="0" w:space="0"/>
            </w:tcBorders>
            <w:vAlign w:val="bottom"/>
          </w:tcPr>
          <w:p w14:paraId="08815DCC">
            <w:pPr>
              <w:pStyle w:val="24"/>
              <w:jc w:val="both"/>
            </w:pPr>
            <w:r>
              <w:t>Type of Dementia or MCI</w:t>
            </w:r>
          </w:p>
        </w:tc>
        <w:tc>
          <w:tcPr>
            <w:tcW w:w="2660" w:type="dxa"/>
            <w:tcBorders>
              <w:bottom w:val="single" w:color="auto" w:sz="0" w:space="0"/>
              <w:insideH w:val="single" w:sz="0" w:space="0"/>
            </w:tcBorders>
            <w:vAlign w:val="bottom"/>
          </w:tcPr>
          <w:p w14:paraId="65F82330">
            <w:pPr>
              <w:pStyle w:val="24"/>
              <w:jc w:val="both"/>
            </w:pPr>
            <w:r>
              <w:t>Mean Age of Diagnosis &amp; Symptom Onset (SD)</w:t>
            </w:r>
          </w:p>
        </w:tc>
      </w:tr>
      <w:tr w14:paraId="001EBF73">
        <w:tc>
          <w:tcPr>
            <w:tcW w:w="2261" w:type="dxa"/>
          </w:tcPr>
          <w:p w14:paraId="4DEA7E94">
            <w:pPr>
              <w:pStyle w:val="24"/>
              <w:jc w:val="both"/>
            </w:pPr>
            <w:r>
              <w:t>Alladi et al. (2013)</w:t>
            </w:r>
          </w:p>
        </w:tc>
        <w:tc>
          <w:tcPr>
            <w:tcW w:w="2394" w:type="dxa"/>
          </w:tcPr>
          <w:p w14:paraId="3806DC4B">
            <w:pPr>
              <w:pStyle w:val="24"/>
              <w:jc w:val="both"/>
            </w:pPr>
            <w:r>
              <w:t>Cambridge Memory Clinic model</w:t>
            </w:r>
          </w:p>
        </w:tc>
        <w:tc>
          <w:tcPr>
            <w:tcW w:w="2261" w:type="dxa"/>
          </w:tcPr>
          <w:p w14:paraId="7A3DEBA1">
            <w:pPr>
              <w:pStyle w:val="24"/>
              <w:jc w:val="both"/>
            </w:pPr>
            <w:r>
              <w:t>AD</w:t>
            </w:r>
          </w:p>
        </w:tc>
        <w:tc>
          <w:tcPr>
            <w:tcW w:w="2660" w:type="dxa"/>
          </w:tcPr>
          <w:p w14:paraId="34857D25">
            <w:pPr>
              <w:pStyle w:val="24"/>
              <w:jc w:val="both"/>
            </w:pPr>
            <w:r>
              <w:t>ML: 65.4 (10.0); BL: 68.6 (9.6)</w:t>
            </w:r>
          </w:p>
        </w:tc>
      </w:tr>
      <w:tr w14:paraId="4C057931">
        <w:tc>
          <w:tcPr>
            <w:tcW w:w="2261" w:type="dxa"/>
          </w:tcPr>
          <w:p w14:paraId="36A34B6F">
            <w:pPr>
              <w:pStyle w:val="24"/>
              <w:jc w:val="both"/>
            </w:pPr>
            <w:r>
              <w:t>Bialystok et al. (2007)</w:t>
            </w:r>
          </w:p>
        </w:tc>
        <w:tc>
          <w:tcPr>
            <w:tcW w:w="2394" w:type="dxa"/>
          </w:tcPr>
          <w:p w14:paraId="3191C50E">
            <w:pPr>
              <w:pStyle w:val="24"/>
              <w:jc w:val="both"/>
            </w:pPr>
            <w:r>
              <w:t>NINCDS-ADRDA</w:t>
            </w:r>
          </w:p>
        </w:tc>
        <w:tc>
          <w:tcPr>
            <w:tcW w:w="2261" w:type="dxa"/>
          </w:tcPr>
          <w:p w14:paraId="4041893F">
            <w:pPr>
              <w:pStyle w:val="24"/>
              <w:jc w:val="both"/>
            </w:pPr>
            <w:r>
              <w:t>AD</w:t>
            </w:r>
          </w:p>
        </w:tc>
        <w:tc>
          <w:tcPr>
            <w:tcW w:w="2660" w:type="dxa"/>
          </w:tcPr>
          <w:p w14:paraId="2D3B0397">
            <w:pPr>
              <w:pStyle w:val="24"/>
              <w:jc w:val="both"/>
            </w:pPr>
            <w:r>
              <w:t>ML: 71.4 (9.6); BL: 75.5 (8.5)</w:t>
            </w:r>
          </w:p>
        </w:tc>
      </w:tr>
      <w:tr w14:paraId="13E1F843">
        <w:tc>
          <w:tcPr>
            <w:tcW w:w="2261" w:type="dxa"/>
          </w:tcPr>
          <w:p w14:paraId="090735A1">
            <w:pPr>
              <w:pStyle w:val="24"/>
              <w:jc w:val="both"/>
            </w:pPr>
            <w:r>
              <w:t>Bialystok et al. (2014)</w:t>
            </w:r>
          </w:p>
        </w:tc>
        <w:tc>
          <w:tcPr>
            <w:tcW w:w="2394" w:type="dxa"/>
          </w:tcPr>
          <w:p w14:paraId="74A11962">
            <w:pPr>
              <w:pStyle w:val="24"/>
              <w:jc w:val="both"/>
            </w:pPr>
            <w:r>
              <w:t>NA</w:t>
            </w:r>
          </w:p>
        </w:tc>
        <w:tc>
          <w:tcPr>
            <w:tcW w:w="2261" w:type="dxa"/>
          </w:tcPr>
          <w:p w14:paraId="6357B1C5">
            <w:pPr>
              <w:pStyle w:val="24"/>
              <w:jc w:val="both"/>
            </w:pPr>
            <w:r>
              <w:t>AD</w:t>
            </w:r>
          </w:p>
        </w:tc>
        <w:tc>
          <w:tcPr>
            <w:tcW w:w="2660" w:type="dxa"/>
          </w:tcPr>
          <w:p w14:paraId="364BC56F">
            <w:pPr>
              <w:pStyle w:val="24"/>
              <w:jc w:val="both"/>
            </w:pPr>
            <w:r>
              <w:t>ML: 70.9 (11.0); BL: 78.2 (8.9)</w:t>
            </w:r>
          </w:p>
        </w:tc>
      </w:tr>
      <w:tr w14:paraId="7C6611FD">
        <w:tc>
          <w:tcPr>
            <w:tcW w:w="2261" w:type="dxa"/>
          </w:tcPr>
          <w:p w14:paraId="5EFDDA03">
            <w:pPr>
              <w:pStyle w:val="24"/>
              <w:jc w:val="both"/>
            </w:pPr>
            <w:r>
              <w:t>Berkes et al. (2020)</w:t>
            </w:r>
          </w:p>
        </w:tc>
        <w:tc>
          <w:tcPr>
            <w:tcW w:w="2394" w:type="dxa"/>
          </w:tcPr>
          <w:p w14:paraId="4BA17D5B">
            <w:pPr>
              <w:pStyle w:val="24"/>
              <w:jc w:val="both"/>
            </w:pPr>
            <w:r>
              <w:t>MMSE, MoCA</w:t>
            </w:r>
          </w:p>
        </w:tc>
        <w:tc>
          <w:tcPr>
            <w:tcW w:w="2261" w:type="dxa"/>
          </w:tcPr>
          <w:p w14:paraId="0D52E4DA">
            <w:pPr>
              <w:pStyle w:val="24"/>
              <w:jc w:val="both"/>
            </w:pPr>
            <w:r>
              <w:t>AD</w:t>
            </w:r>
          </w:p>
        </w:tc>
        <w:tc>
          <w:tcPr>
            <w:tcW w:w="2660" w:type="dxa"/>
          </w:tcPr>
          <w:p w14:paraId="40223C0A">
            <w:pPr>
              <w:pStyle w:val="24"/>
              <w:jc w:val="both"/>
            </w:pPr>
            <w:r>
              <w:t>ML: 78.2 (7.7); BL: 79.8 (8.4)</w:t>
            </w:r>
          </w:p>
        </w:tc>
      </w:tr>
      <w:tr w14:paraId="2319F83E">
        <w:tc>
          <w:tcPr>
            <w:tcW w:w="2261" w:type="dxa"/>
          </w:tcPr>
          <w:p w14:paraId="72CD0640">
            <w:pPr>
              <w:pStyle w:val="24"/>
              <w:jc w:val="both"/>
            </w:pPr>
            <w:r>
              <w:t>Chertkow et al. (2010)</w:t>
            </w:r>
          </w:p>
        </w:tc>
        <w:tc>
          <w:tcPr>
            <w:tcW w:w="2394" w:type="dxa"/>
          </w:tcPr>
          <w:p w14:paraId="3E75C24E">
            <w:pPr>
              <w:pStyle w:val="24"/>
              <w:jc w:val="both"/>
            </w:pPr>
            <w:r>
              <w:t>Patient &amp; caregiver interviews</w:t>
            </w:r>
          </w:p>
        </w:tc>
        <w:tc>
          <w:tcPr>
            <w:tcW w:w="2261" w:type="dxa"/>
          </w:tcPr>
          <w:p w14:paraId="46AC0A52">
            <w:pPr>
              <w:pStyle w:val="24"/>
              <w:jc w:val="both"/>
            </w:pPr>
            <w:r>
              <w:t>AD</w:t>
            </w:r>
          </w:p>
        </w:tc>
        <w:tc>
          <w:tcPr>
            <w:tcW w:w="2660" w:type="dxa"/>
          </w:tcPr>
          <w:p w14:paraId="5114B96A">
            <w:pPr>
              <w:pStyle w:val="24"/>
              <w:jc w:val="both"/>
            </w:pPr>
            <w:r>
              <w:t>ML: 76.7 (7.8); BL: 77.6 (7.2)</w:t>
            </w:r>
          </w:p>
        </w:tc>
      </w:tr>
      <w:tr w14:paraId="11DBCBCB">
        <w:tc>
          <w:tcPr>
            <w:tcW w:w="2261" w:type="dxa"/>
          </w:tcPr>
          <w:p w14:paraId="3655291B">
            <w:pPr>
              <w:pStyle w:val="24"/>
              <w:jc w:val="both"/>
            </w:pPr>
            <w:r>
              <w:t>Clare et al. (2016)</w:t>
            </w:r>
          </w:p>
        </w:tc>
        <w:tc>
          <w:tcPr>
            <w:tcW w:w="2394" w:type="dxa"/>
          </w:tcPr>
          <w:p w14:paraId="7C16CEB1">
            <w:pPr>
              <w:pStyle w:val="24"/>
              <w:jc w:val="both"/>
            </w:pPr>
            <w:r>
              <w:t>LQ-SV</w:t>
            </w:r>
          </w:p>
        </w:tc>
        <w:tc>
          <w:tcPr>
            <w:tcW w:w="2261" w:type="dxa"/>
          </w:tcPr>
          <w:p w14:paraId="12044CFF">
            <w:pPr>
              <w:pStyle w:val="24"/>
              <w:jc w:val="both"/>
            </w:pPr>
            <w:r>
              <w:t>AD</w:t>
            </w:r>
          </w:p>
        </w:tc>
        <w:tc>
          <w:tcPr>
            <w:tcW w:w="2660" w:type="dxa"/>
          </w:tcPr>
          <w:p w14:paraId="4A0A8D4E">
            <w:pPr>
              <w:pStyle w:val="24"/>
              <w:jc w:val="both"/>
            </w:pPr>
            <w:r>
              <w:t>ML: 76.2 (8.75); BL: 79.3 (6.78)</w:t>
            </w:r>
          </w:p>
        </w:tc>
      </w:tr>
      <w:tr w14:paraId="64AABFE7">
        <w:tc>
          <w:tcPr>
            <w:tcW w:w="2261" w:type="dxa"/>
          </w:tcPr>
          <w:p w14:paraId="3825F826">
            <w:pPr>
              <w:pStyle w:val="24"/>
              <w:jc w:val="both"/>
            </w:pPr>
            <w:r>
              <w:t>Craik et al. (2010)</w:t>
            </w:r>
          </w:p>
        </w:tc>
        <w:tc>
          <w:tcPr>
            <w:tcW w:w="2394" w:type="dxa"/>
          </w:tcPr>
          <w:p w14:paraId="23AD95A2">
            <w:pPr>
              <w:pStyle w:val="24"/>
              <w:jc w:val="both"/>
            </w:pPr>
            <w:r>
              <w:t>NA</w:t>
            </w:r>
          </w:p>
        </w:tc>
        <w:tc>
          <w:tcPr>
            <w:tcW w:w="2261" w:type="dxa"/>
          </w:tcPr>
          <w:p w14:paraId="55523ACC">
            <w:pPr>
              <w:pStyle w:val="24"/>
              <w:jc w:val="both"/>
            </w:pPr>
            <w:r>
              <w:t>AD</w:t>
            </w:r>
          </w:p>
        </w:tc>
        <w:tc>
          <w:tcPr>
            <w:tcW w:w="2660" w:type="dxa"/>
          </w:tcPr>
          <w:p w14:paraId="4EA680DF">
            <w:pPr>
              <w:pStyle w:val="24"/>
              <w:jc w:val="both"/>
            </w:pPr>
            <w:r>
              <w:t>ML: 72.6 (10); BL: 77.7 (7.9)</w:t>
            </w:r>
          </w:p>
        </w:tc>
      </w:tr>
      <w:tr w14:paraId="73D30AFF">
        <w:tc>
          <w:tcPr>
            <w:tcW w:w="2261" w:type="dxa"/>
          </w:tcPr>
          <w:p w14:paraId="0590F968">
            <w:pPr>
              <w:pStyle w:val="24"/>
              <w:jc w:val="both"/>
            </w:pPr>
            <w:r>
              <w:t>Leon et al. (2020)</w:t>
            </w:r>
          </w:p>
        </w:tc>
        <w:tc>
          <w:tcPr>
            <w:tcW w:w="2394" w:type="dxa"/>
          </w:tcPr>
          <w:p w14:paraId="25BCC142">
            <w:pPr>
              <w:pStyle w:val="24"/>
              <w:jc w:val="both"/>
            </w:pPr>
            <w:r>
              <w:t>NA</w:t>
            </w:r>
          </w:p>
        </w:tc>
        <w:tc>
          <w:tcPr>
            <w:tcW w:w="2261" w:type="dxa"/>
          </w:tcPr>
          <w:p w14:paraId="554EB679">
            <w:pPr>
              <w:pStyle w:val="24"/>
              <w:jc w:val="both"/>
            </w:pPr>
            <w:r>
              <w:t>AD</w:t>
            </w:r>
          </w:p>
        </w:tc>
        <w:tc>
          <w:tcPr>
            <w:tcW w:w="2660" w:type="dxa"/>
          </w:tcPr>
          <w:p w14:paraId="47BB3452">
            <w:pPr>
              <w:pStyle w:val="24"/>
              <w:jc w:val="both"/>
            </w:pPr>
            <w:r>
              <w:t>ML: 60.3 (9.8); BL: 61.9 (9.8)</w:t>
            </w:r>
          </w:p>
        </w:tc>
      </w:tr>
      <w:tr w14:paraId="627ACC58">
        <w:tc>
          <w:tcPr>
            <w:tcW w:w="2261" w:type="dxa"/>
          </w:tcPr>
          <w:p w14:paraId="0259D758">
            <w:pPr>
              <w:pStyle w:val="24"/>
              <w:jc w:val="both"/>
            </w:pPr>
            <w:r>
              <w:t>Duncan et al. (2018)</w:t>
            </w:r>
          </w:p>
        </w:tc>
        <w:tc>
          <w:tcPr>
            <w:tcW w:w="2394" w:type="dxa"/>
          </w:tcPr>
          <w:p w14:paraId="4BA70470">
            <w:pPr>
              <w:pStyle w:val="24"/>
              <w:jc w:val="both"/>
            </w:pPr>
            <w:r>
              <w:t>NINCDS-ADRDA</w:t>
            </w:r>
          </w:p>
        </w:tc>
        <w:tc>
          <w:tcPr>
            <w:tcW w:w="2261" w:type="dxa"/>
          </w:tcPr>
          <w:p w14:paraId="616222BE">
            <w:pPr>
              <w:pStyle w:val="24"/>
              <w:jc w:val="both"/>
            </w:pPr>
            <w:r>
              <w:t>AD</w:t>
            </w:r>
          </w:p>
        </w:tc>
        <w:tc>
          <w:tcPr>
            <w:tcW w:w="2660" w:type="dxa"/>
          </w:tcPr>
          <w:p w14:paraId="0CDBACA4">
            <w:pPr>
              <w:pStyle w:val="24"/>
              <w:jc w:val="both"/>
            </w:pPr>
            <w:r>
              <w:t>ML: 74.3 (1.5); BL: 72.6 (1.6)</w:t>
            </w:r>
          </w:p>
        </w:tc>
      </w:tr>
      <w:tr w14:paraId="634D505E">
        <w:tc>
          <w:tcPr>
            <w:tcW w:w="2261" w:type="dxa"/>
          </w:tcPr>
          <w:p w14:paraId="1BFE31B9">
            <w:pPr>
              <w:pStyle w:val="24"/>
              <w:jc w:val="both"/>
            </w:pPr>
            <w:r>
              <w:t>Kowoll et al. (2016)</w:t>
            </w:r>
          </w:p>
        </w:tc>
        <w:tc>
          <w:tcPr>
            <w:tcW w:w="2394" w:type="dxa"/>
          </w:tcPr>
          <w:p w14:paraId="01C65350">
            <w:pPr>
              <w:pStyle w:val="24"/>
              <w:jc w:val="both"/>
            </w:pPr>
            <w:r>
              <w:t>NINCDS-ADRDA</w:t>
            </w:r>
          </w:p>
        </w:tc>
        <w:tc>
          <w:tcPr>
            <w:tcW w:w="2261" w:type="dxa"/>
          </w:tcPr>
          <w:p w14:paraId="3076D405">
            <w:pPr>
              <w:pStyle w:val="24"/>
              <w:jc w:val="both"/>
            </w:pPr>
            <w:r>
              <w:t>AD</w:t>
            </w:r>
          </w:p>
        </w:tc>
        <w:tc>
          <w:tcPr>
            <w:tcW w:w="2660" w:type="dxa"/>
          </w:tcPr>
          <w:p w14:paraId="59B080E2">
            <w:pPr>
              <w:pStyle w:val="24"/>
              <w:jc w:val="both"/>
            </w:pPr>
            <w:r>
              <w:t>ML: 71.6 (7.9); BL: 74.6 (6.8)</w:t>
            </w:r>
          </w:p>
        </w:tc>
      </w:tr>
      <w:tr w14:paraId="69F4EE9E">
        <w:tc>
          <w:tcPr>
            <w:tcW w:w="2261" w:type="dxa"/>
          </w:tcPr>
          <w:p w14:paraId="28110010">
            <w:pPr>
              <w:pStyle w:val="24"/>
              <w:jc w:val="both"/>
            </w:pPr>
            <w:r>
              <w:t>Perani et al. (2017)</w:t>
            </w:r>
          </w:p>
        </w:tc>
        <w:tc>
          <w:tcPr>
            <w:tcW w:w="2394" w:type="dxa"/>
          </w:tcPr>
          <w:p w14:paraId="2F3C3E74">
            <w:pPr>
              <w:pStyle w:val="24"/>
              <w:jc w:val="both"/>
            </w:pPr>
            <w:r>
              <w:t>NIA-AA</w:t>
            </w:r>
          </w:p>
        </w:tc>
        <w:tc>
          <w:tcPr>
            <w:tcW w:w="2261" w:type="dxa"/>
          </w:tcPr>
          <w:p w14:paraId="3534BD69">
            <w:pPr>
              <w:pStyle w:val="24"/>
              <w:jc w:val="both"/>
            </w:pPr>
            <w:r>
              <w:t>AD</w:t>
            </w:r>
          </w:p>
        </w:tc>
        <w:tc>
          <w:tcPr>
            <w:tcW w:w="2660" w:type="dxa"/>
          </w:tcPr>
          <w:p w14:paraId="435333BF">
            <w:pPr>
              <w:pStyle w:val="24"/>
              <w:jc w:val="both"/>
            </w:pPr>
            <w:r>
              <w:t>ML: 71.4 (4.88); BL: 77.1 (4.52)</w:t>
            </w:r>
          </w:p>
        </w:tc>
      </w:tr>
      <w:tr w14:paraId="4CE7378E">
        <w:tc>
          <w:tcPr>
            <w:tcW w:w="2261" w:type="dxa"/>
          </w:tcPr>
          <w:p w14:paraId="74730121">
            <w:pPr>
              <w:pStyle w:val="24"/>
              <w:jc w:val="both"/>
            </w:pPr>
            <w:r>
              <w:t>Mendez et al. (2020)</w:t>
            </w:r>
          </w:p>
        </w:tc>
        <w:tc>
          <w:tcPr>
            <w:tcW w:w="2394" w:type="dxa"/>
          </w:tcPr>
          <w:p w14:paraId="7AFF581B">
            <w:pPr>
              <w:pStyle w:val="24"/>
              <w:jc w:val="both"/>
            </w:pPr>
            <w:r>
              <w:t>NIA-AA</w:t>
            </w:r>
          </w:p>
        </w:tc>
        <w:tc>
          <w:tcPr>
            <w:tcW w:w="2261" w:type="dxa"/>
          </w:tcPr>
          <w:p w14:paraId="30E3ED16">
            <w:pPr>
              <w:pStyle w:val="24"/>
              <w:jc w:val="both"/>
            </w:pPr>
            <w:r>
              <w:t>AD</w:t>
            </w:r>
          </w:p>
        </w:tc>
        <w:tc>
          <w:tcPr>
            <w:tcW w:w="2660" w:type="dxa"/>
          </w:tcPr>
          <w:p w14:paraId="330B2069">
            <w:pPr>
              <w:pStyle w:val="24"/>
              <w:jc w:val="both"/>
            </w:pPr>
            <w:r>
              <w:t>ML: 58 (10.7); BL: 62.4 (10.5)</w:t>
            </w:r>
          </w:p>
        </w:tc>
      </w:tr>
      <w:tr w14:paraId="78B97C55">
        <w:tc>
          <w:tcPr>
            <w:tcW w:w="2261" w:type="dxa"/>
          </w:tcPr>
          <w:p w14:paraId="5D4B3380">
            <w:pPr>
              <w:pStyle w:val="24"/>
              <w:jc w:val="both"/>
            </w:pPr>
            <w:r>
              <w:t>E. V. Y. Woumans et al. (2015)</w:t>
            </w:r>
          </w:p>
        </w:tc>
        <w:tc>
          <w:tcPr>
            <w:tcW w:w="2394" w:type="dxa"/>
          </w:tcPr>
          <w:p w14:paraId="2903AB70">
            <w:pPr>
              <w:pStyle w:val="24"/>
              <w:jc w:val="both"/>
            </w:pPr>
            <w:r>
              <w:t>Neurologist + Neuropsychologist</w:t>
            </w:r>
          </w:p>
        </w:tc>
        <w:tc>
          <w:tcPr>
            <w:tcW w:w="2261" w:type="dxa"/>
          </w:tcPr>
          <w:p w14:paraId="0CD4BDC9">
            <w:pPr>
              <w:pStyle w:val="24"/>
              <w:jc w:val="both"/>
            </w:pPr>
            <w:r>
              <w:t>AD</w:t>
            </w:r>
          </w:p>
        </w:tc>
        <w:tc>
          <w:tcPr>
            <w:tcW w:w="2660" w:type="dxa"/>
          </w:tcPr>
          <w:p w14:paraId="5881702E">
            <w:pPr>
              <w:pStyle w:val="24"/>
              <w:jc w:val="both"/>
            </w:pPr>
            <w:r>
              <w:t>ML: 73.8 (8.8); BL: 75.5 (8.2)</w:t>
            </w:r>
          </w:p>
        </w:tc>
      </w:tr>
      <w:tr w14:paraId="36D35A37">
        <w:tc>
          <w:tcPr>
            <w:tcW w:w="2261" w:type="dxa"/>
          </w:tcPr>
          <w:p w14:paraId="7EE3D118">
            <w:pPr>
              <w:pStyle w:val="24"/>
              <w:jc w:val="both"/>
            </w:pPr>
            <w:r>
              <w:t>Zheng et al. (2018)</w:t>
            </w:r>
          </w:p>
        </w:tc>
        <w:tc>
          <w:tcPr>
            <w:tcW w:w="2394" w:type="dxa"/>
          </w:tcPr>
          <w:p w14:paraId="04D98E78">
            <w:pPr>
              <w:pStyle w:val="24"/>
              <w:jc w:val="both"/>
            </w:pPr>
            <w:r>
              <w:t>NINCDS-ADRDA</w:t>
            </w:r>
          </w:p>
        </w:tc>
        <w:tc>
          <w:tcPr>
            <w:tcW w:w="2261" w:type="dxa"/>
          </w:tcPr>
          <w:p w14:paraId="293B31BD">
            <w:pPr>
              <w:pStyle w:val="24"/>
              <w:jc w:val="both"/>
            </w:pPr>
            <w:r>
              <w:t>AD</w:t>
            </w:r>
          </w:p>
        </w:tc>
        <w:tc>
          <w:tcPr>
            <w:tcW w:w="2660" w:type="dxa"/>
          </w:tcPr>
          <w:p w14:paraId="5EEFF693">
            <w:pPr>
              <w:pStyle w:val="24"/>
              <w:jc w:val="both"/>
            </w:pPr>
            <w:r>
              <w:t>ML: 63.9 (96.5), 63.4 (8.94); BL: 70.9 (9.37)</w:t>
            </w:r>
          </w:p>
        </w:tc>
      </w:tr>
      <w:tr w14:paraId="4B511FB9">
        <w:trPr>
          <w:trHeight w:val="580" w:hRule="atLeast"/>
        </w:trPr>
        <w:tc>
          <w:tcPr>
            <w:tcW w:w="2261" w:type="dxa"/>
          </w:tcPr>
          <w:p w14:paraId="6538D0A3">
            <w:pPr>
              <w:pStyle w:val="24"/>
              <w:jc w:val="both"/>
            </w:pPr>
            <w:r>
              <w:t>Alladi et al. (2013)</w:t>
            </w:r>
          </w:p>
        </w:tc>
        <w:tc>
          <w:tcPr>
            <w:tcW w:w="2394" w:type="dxa"/>
          </w:tcPr>
          <w:p w14:paraId="4FA8E331">
            <w:pPr>
              <w:pStyle w:val="24"/>
              <w:jc w:val="both"/>
            </w:pPr>
            <w:r>
              <w:t>Cambridge Memory Clinic model</w:t>
            </w:r>
          </w:p>
        </w:tc>
        <w:tc>
          <w:tcPr>
            <w:tcW w:w="2261" w:type="dxa"/>
          </w:tcPr>
          <w:p w14:paraId="1D20B0CF">
            <w:pPr>
              <w:pStyle w:val="24"/>
              <w:jc w:val="both"/>
            </w:pPr>
            <w:r>
              <w:t>FTD</w:t>
            </w:r>
          </w:p>
        </w:tc>
        <w:tc>
          <w:tcPr>
            <w:tcW w:w="2660" w:type="dxa"/>
          </w:tcPr>
          <w:p w14:paraId="0A2BBF28">
            <w:pPr>
              <w:pStyle w:val="24"/>
              <w:jc w:val="both"/>
            </w:pPr>
            <w:r>
              <w:t>ML: 55.6 (10.5); BL: 61.6 (9)</w:t>
            </w:r>
          </w:p>
        </w:tc>
      </w:tr>
      <w:tr w14:paraId="60C7B7C6">
        <w:tc>
          <w:tcPr>
            <w:tcW w:w="2261" w:type="dxa"/>
          </w:tcPr>
          <w:p w14:paraId="023ACCE9">
            <w:pPr>
              <w:pStyle w:val="24"/>
              <w:jc w:val="both"/>
            </w:pPr>
            <w:r>
              <w:t>Alladi et al. (2017)</w:t>
            </w:r>
          </w:p>
        </w:tc>
        <w:tc>
          <w:tcPr>
            <w:tcW w:w="2394" w:type="dxa"/>
          </w:tcPr>
          <w:p w14:paraId="24D3ABD0">
            <w:pPr>
              <w:pStyle w:val="24"/>
              <w:jc w:val="both"/>
            </w:pPr>
            <w:r>
              <w:t>MMSE, ACE-R, CDR, FrSBe</w:t>
            </w:r>
          </w:p>
        </w:tc>
        <w:tc>
          <w:tcPr>
            <w:tcW w:w="2261" w:type="dxa"/>
          </w:tcPr>
          <w:p w14:paraId="677301A3">
            <w:pPr>
              <w:pStyle w:val="24"/>
              <w:jc w:val="both"/>
            </w:pPr>
            <w:r>
              <w:t>FTD</w:t>
            </w:r>
          </w:p>
        </w:tc>
        <w:tc>
          <w:tcPr>
            <w:tcW w:w="2660" w:type="dxa"/>
          </w:tcPr>
          <w:p w14:paraId="4212A81A">
            <w:pPr>
              <w:pStyle w:val="24"/>
              <w:jc w:val="both"/>
            </w:pPr>
            <w:r>
              <w:t>ML: 58.4 (9.3); BL: 61.7 (9.1)</w:t>
            </w:r>
          </w:p>
        </w:tc>
      </w:tr>
      <w:tr w14:paraId="1E96F5F5">
        <w:tc>
          <w:tcPr>
            <w:tcW w:w="2261" w:type="dxa"/>
          </w:tcPr>
          <w:p w14:paraId="68E207F6">
            <w:pPr>
              <w:pStyle w:val="24"/>
              <w:jc w:val="both"/>
            </w:pPr>
            <w:r>
              <w:t>Leon et al. (2024)</w:t>
            </w:r>
          </w:p>
        </w:tc>
        <w:tc>
          <w:tcPr>
            <w:tcW w:w="2394" w:type="dxa"/>
          </w:tcPr>
          <w:p w14:paraId="42584AD3">
            <w:pPr>
              <w:pStyle w:val="24"/>
              <w:jc w:val="both"/>
            </w:pPr>
            <w:r>
              <w:t>NA</w:t>
            </w:r>
          </w:p>
        </w:tc>
        <w:tc>
          <w:tcPr>
            <w:tcW w:w="2261" w:type="dxa"/>
          </w:tcPr>
          <w:p w14:paraId="503B4E0D">
            <w:pPr>
              <w:pStyle w:val="24"/>
              <w:jc w:val="both"/>
            </w:pPr>
            <w:r>
              <w:t>FTD</w:t>
            </w:r>
          </w:p>
        </w:tc>
        <w:tc>
          <w:tcPr>
            <w:tcW w:w="2660" w:type="dxa"/>
          </w:tcPr>
          <w:p w14:paraId="0E2E3AEB">
            <w:pPr>
              <w:pStyle w:val="24"/>
              <w:jc w:val="both"/>
            </w:pPr>
            <w:r>
              <w:t>ML: 59 (9.2); BL: 61.4 (7.9)</w:t>
            </w:r>
          </w:p>
        </w:tc>
      </w:tr>
      <w:tr w14:paraId="00915A83">
        <w:tc>
          <w:tcPr>
            <w:tcW w:w="2261" w:type="dxa"/>
          </w:tcPr>
          <w:p w14:paraId="20666E67">
            <w:pPr>
              <w:pStyle w:val="24"/>
              <w:jc w:val="both"/>
            </w:pPr>
            <w:r>
              <w:t>Berkes et al. (2020)</w:t>
            </w:r>
          </w:p>
        </w:tc>
        <w:tc>
          <w:tcPr>
            <w:tcW w:w="2394" w:type="dxa"/>
          </w:tcPr>
          <w:p w14:paraId="14A63A51">
            <w:pPr>
              <w:pStyle w:val="24"/>
              <w:jc w:val="both"/>
            </w:pPr>
            <w:r>
              <w:t>MMSE, MoCA</w:t>
            </w:r>
          </w:p>
        </w:tc>
        <w:tc>
          <w:tcPr>
            <w:tcW w:w="2261" w:type="dxa"/>
          </w:tcPr>
          <w:p w14:paraId="4817E12F">
            <w:pPr>
              <w:pStyle w:val="24"/>
              <w:jc w:val="both"/>
            </w:pPr>
            <w:r>
              <w:t>MCI</w:t>
            </w:r>
          </w:p>
        </w:tc>
        <w:tc>
          <w:tcPr>
            <w:tcW w:w="2660" w:type="dxa"/>
          </w:tcPr>
          <w:p w14:paraId="5726A4E9">
            <w:pPr>
              <w:pStyle w:val="24"/>
              <w:jc w:val="both"/>
            </w:pPr>
            <w:r>
              <w:t>ML: 75.5 (7.6); BL: 77.8 (8.2)</w:t>
            </w:r>
          </w:p>
        </w:tc>
      </w:tr>
      <w:tr w14:paraId="4C0C479F">
        <w:tc>
          <w:tcPr>
            <w:tcW w:w="2261" w:type="dxa"/>
          </w:tcPr>
          <w:p w14:paraId="6349FB3A">
            <w:pPr>
              <w:pStyle w:val="24"/>
              <w:jc w:val="both"/>
            </w:pPr>
            <w:r>
              <w:t>Ossher et al. (2013)</w:t>
            </w:r>
          </w:p>
        </w:tc>
        <w:tc>
          <w:tcPr>
            <w:tcW w:w="2394" w:type="dxa"/>
          </w:tcPr>
          <w:p w14:paraId="2837BD49">
            <w:pPr>
              <w:pStyle w:val="24"/>
              <w:jc w:val="both"/>
            </w:pPr>
            <w:r>
              <w:t>Neuropsychological interview</w:t>
            </w:r>
          </w:p>
        </w:tc>
        <w:tc>
          <w:tcPr>
            <w:tcW w:w="2261" w:type="dxa"/>
          </w:tcPr>
          <w:p w14:paraId="7D6556F5">
            <w:pPr>
              <w:pStyle w:val="24"/>
              <w:jc w:val="both"/>
            </w:pPr>
            <w:r>
              <w:t>Single Domain aMCI</w:t>
            </w:r>
          </w:p>
        </w:tc>
        <w:tc>
          <w:tcPr>
            <w:tcW w:w="2660" w:type="dxa"/>
          </w:tcPr>
          <w:p w14:paraId="33C5F31C">
            <w:pPr>
              <w:pStyle w:val="24"/>
              <w:jc w:val="both"/>
            </w:pPr>
            <w:r>
              <w:t>ML: 74.9 (49); BL: 79.4 (6.3)</w:t>
            </w:r>
          </w:p>
        </w:tc>
      </w:tr>
      <w:tr w14:paraId="040D4902">
        <w:tc>
          <w:tcPr>
            <w:tcW w:w="2261" w:type="dxa"/>
          </w:tcPr>
          <w:p w14:paraId="0E247F6C">
            <w:pPr>
              <w:pStyle w:val="24"/>
              <w:jc w:val="both"/>
            </w:pPr>
            <w:r>
              <w:t>Ossher et al. (2013)</w:t>
            </w:r>
          </w:p>
        </w:tc>
        <w:tc>
          <w:tcPr>
            <w:tcW w:w="2394" w:type="dxa"/>
          </w:tcPr>
          <w:p w14:paraId="293911DA">
            <w:pPr>
              <w:pStyle w:val="24"/>
              <w:jc w:val="both"/>
            </w:pPr>
            <w:r>
              <w:t>Neuropsychological interview</w:t>
            </w:r>
          </w:p>
        </w:tc>
        <w:tc>
          <w:tcPr>
            <w:tcW w:w="2261" w:type="dxa"/>
          </w:tcPr>
          <w:p w14:paraId="0D6E93D7">
            <w:pPr>
              <w:pStyle w:val="24"/>
              <w:jc w:val="both"/>
            </w:pPr>
            <w:r>
              <w:t>Multiple Domain aMCI</w:t>
            </w:r>
          </w:p>
        </w:tc>
        <w:tc>
          <w:tcPr>
            <w:tcW w:w="2660" w:type="dxa"/>
          </w:tcPr>
          <w:p w14:paraId="662A690F">
            <w:pPr>
              <w:pStyle w:val="24"/>
              <w:jc w:val="both"/>
            </w:pPr>
            <w:r>
              <w:t>ML: 75.2 (8.5); BL: 72.6 (7.2)</w:t>
            </w:r>
          </w:p>
        </w:tc>
      </w:tr>
      <w:tr w14:paraId="68C85722">
        <w:tc>
          <w:tcPr>
            <w:tcW w:w="2261" w:type="dxa"/>
          </w:tcPr>
          <w:p w14:paraId="0CB67C11">
            <w:pPr>
              <w:pStyle w:val="24"/>
              <w:jc w:val="both"/>
            </w:pPr>
            <w:r>
              <w:t>Ramakrishnan et al. (2017)</w:t>
            </w:r>
          </w:p>
        </w:tc>
        <w:tc>
          <w:tcPr>
            <w:tcW w:w="2394" w:type="dxa"/>
          </w:tcPr>
          <w:p w14:paraId="4FC23D57">
            <w:pPr>
              <w:pStyle w:val="24"/>
              <w:jc w:val="both"/>
            </w:pPr>
            <w:r>
              <w:t>Petersen’s criteria</w:t>
            </w:r>
          </w:p>
        </w:tc>
        <w:tc>
          <w:tcPr>
            <w:tcW w:w="2261" w:type="dxa"/>
          </w:tcPr>
          <w:p w14:paraId="69B8100A">
            <w:pPr>
              <w:pStyle w:val="24"/>
              <w:jc w:val="both"/>
            </w:pPr>
            <w:r>
              <w:t>MCI</w:t>
            </w:r>
          </w:p>
        </w:tc>
        <w:tc>
          <w:tcPr>
            <w:tcW w:w="2660" w:type="dxa"/>
          </w:tcPr>
          <w:p w14:paraId="554C3CE1">
            <w:pPr>
              <w:pStyle w:val="24"/>
              <w:jc w:val="both"/>
            </w:pPr>
            <w:r>
              <w:t>ML: 55.8 (12.2); BL: 63.2 (10.1)</w:t>
            </w:r>
          </w:p>
        </w:tc>
      </w:tr>
    </w:tbl>
    <w:p w14:paraId="68C3938F">
      <w:pPr>
        <w:pStyle w:val="3"/>
      </w:pPr>
      <w:r>
        <w:rPr>
          <w:b/>
          <w:bCs/>
        </w:rPr>
        <w:t>Abbreviations</w:t>
      </w:r>
      <w:r>
        <w:t>: ML = Monolinguals; BL = Bilinguals; MCI = Mild Cognitive Impairment;</w:t>
      </w:r>
      <w:r>
        <w:br w:type="textWrapping"/>
      </w:r>
      <w:r>
        <w:t>ACE-R = Addenbrooke’s Cognitive Examination-revised; FrSBe = Frontal Systems Behaviour Scale;MMSE = Mini-Mental State Examination; MoCA = Montreal Cognitive Assessment; NINCDS-ADRDA = National Institute on Aging-Alzheimer’s Association consensus criteria</w:t>
      </w:r>
    </w:p>
    <w:p w14:paraId="3200B77B">
      <w:pPr>
        <w:pStyle w:val="3"/>
        <w:jc w:val="both"/>
        <w:rPr>
          <w:rFonts w:hint="default" w:ascii="Times New Roman Regular" w:hAnsi="Times New Roman Regular" w:cs="Times New Roman Regular"/>
        </w:rPr>
      </w:pPr>
      <w:r>
        <w:rPr>
          <w:rFonts w:hint="default" w:ascii="Times New Roman Regular" w:hAnsi="Times New Roman Regular" w:cs="Times New Roman Regular"/>
        </w:rPr>
        <w:t>The subgroup analysis was used to compare whether the difference of the age at onset of dementia between bilinguals and monolinguals was different across different types of dementia. The studies were divided into three subgroups: AD dementia subgroup (including 14 studies), FTD dementia sub-group (including 3 studies), and MCI sub-group (including 3 studies), which are listed in the above table. The total number of studies was 20 because two studies (Alladi et al., 2013; Berkes et al., 2020) involved more than one type of dementia. For each subgroup, a Bayesian linear regression model which is similar to the main meta-analysis was employed with the same priors that had been set before.</w:t>
      </w:r>
    </w:p>
    <w:tbl>
      <w:tblPr>
        <w:tblStyle w:val="41"/>
        <w:tblW w:w="5000" w:type="pct"/>
        <w:tblInd w:w="0" w:type="dxa"/>
        <w:tblLayout w:type="fixed"/>
        <w:tblCellMar>
          <w:top w:w="0" w:type="dxa"/>
          <w:left w:w="108" w:type="dxa"/>
          <w:bottom w:w="0" w:type="dxa"/>
          <w:right w:w="108" w:type="dxa"/>
        </w:tblCellMar>
      </w:tblPr>
      <w:tblGrid>
        <w:gridCol w:w="9576"/>
      </w:tblGrid>
      <w:tr w14:paraId="5FD0CD11">
        <w:tc>
          <w:tcPr>
            <w:tcW w:w="7920" w:type="dxa"/>
          </w:tcPr>
          <w:p w14:paraId="608BBE0D">
            <w:pPr>
              <w:pStyle w:val="24"/>
              <w:jc w:val="both"/>
            </w:pPr>
            <w:bookmarkStart w:id="25" w:name="fig-fig5"/>
            <w:r>
              <w:drawing>
                <wp:inline distT="0" distB="0" distL="0" distR="0">
                  <wp:extent cx="5943600" cy="3606165"/>
                  <wp:effectExtent l="0" t="0" r="0" b="0"/>
                  <wp:docPr id="15053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946"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6C06E6CA">
            <w:pPr>
              <w:pStyle w:val="45"/>
              <w:spacing w:before="200"/>
              <w:jc w:val="both"/>
            </w:pPr>
            <w:r>
              <w:t>Figure 5: AD Subgroup: Forest plot of Bilingualism and Age at Onset of Dementia</w:t>
            </w:r>
          </w:p>
          <w:bookmarkEnd w:id="25"/>
        </w:tc>
      </w:tr>
    </w:tbl>
    <w:p w14:paraId="6857DE6A">
      <w:pPr>
        <w:pStyle w:val="3"/>
        <w:jc w:val="both"/>
        <w:rPr>
          <w:rFonts w:hint="default" w:ascii="Times New Roman Regular" w:hAnsi="Times New Roman Regular" w:cs="Times New Roman Regular"/>
        </w:rPr>
      </w:pPr>
      <w:r>
        <w:rPr>
          <w:rFonts w:hint="default" w:ascii="Times New Roman Regular" w:hAnsi="Times New Roman Regular" w:cs="Times New Roman Regular"/>
        </w:rPr>
        <w:t xml:space="preserve">For the AD dementia subgroup (see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"fig-fig5"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5</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xml:space="preserve"> for the forest plot), the results showed that at the </w:t>
      </w:r>
      <w:bookmarkStart w:id="118" w:name="_GoBack"/>
      <w:bookmarkEnd w:id="118"/>
      <w:r>
        <w:rPr>
          <w:rFonts w:hint="default" w:ascii="Times New Roman Regular" w:hAnsi="Times New Roman Regular" w:cs="Times New Roman Regular"/>
        </w:rPr>
        <w:t>population-level, monolinguals had an age at AD onset at 70.39 years with a 95%Crl [66.90, 73.33] while the age at AD onset for bilinguals was 73.68 with a 95%Crl [70.59, 76.69]. The mean average difference between the age at AD onset for bilinguals and monolinguals was 3.36 with a 95%Crl [2.61, 4.15]. Compared with the main meta-analytic results, the estimated age at AD onset was higher for both monolingual and bilingual populations. Yet, the difference between bilinguals’ and monolinguals’ age at onset (3.36-year) was smaller although very close to the main effect (3.45-year). Moreover, the level of heterogeneity decreased moderately compared with the mean meta-analytic results since the group-level estimated effects for mobimonolingual and mobibilingual were 6.09 and 5.57.</w:t>
      </w:r>
    </w:p>
    <w:tbl>
      <w:tblPr>
        <w:tblStyle w:val="41"/>
        <w:tblW w:w="5000" w:type="pct"/>
        <w:tblInd w:w="0" w:type="dxa"/>
        <w:tblLayout w:type="fixed"/>
        <w:tblCellMar>
          <w:top w:w="0" w:type="dxa"/>
          <w:left w:w="108" w:type="dxa"/>
          <w:bottom w:w="0" w:type="dxa"/>
          <w:right w:w="108" w:type="dxa"/>
        </w:tblCellMar>
      </w:tblPr>
      <w:tblGrid>
        <w:gridCol w:w="9576"/>
      </w:tblGrid>
      <w:tr w14:paraId="6C09350E">
        <w:tc>
          <w:tcPr>
            <w:tcW w:w="7920" w:type="dxa"/>
          </w:tcPr>
          <w:p w14:paraId="0DFC6F2A">
            <w:pPr>
              <w:pStyle w:val="24"/>
              <w:jc w:val="both"/>
            </w:pPr>
            <w:bookmarkStart w:id="26" w:name="fig-fig6"/>
            <w:r>
              <w:drawing>
                <wp:inline distT="0" distB="0" distL="0" distR="0">
                  <wp:extent cx="5943600" cy="3606165"/>
                  <wp:effectExtent l="0" t="0" r="0" b="0"/>
                  <wp:docPr id="1029039916" name="Picture 3"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9916" name="Picture 3" descr="A graph with blue dots and numbers&#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28414BE4">
            <w:pPr>
              <w:pStyle w:val="45"/>
              <w:spacing w:before="200"/>
              <w:jc w:val="both"/>
            </w:pPr>
            <w:r>
              <w:t>Figure 6: FTD Subgroup: Forest plot of Bilingualism and Age at Onset of Dementia</w:t>
            </w:r>
          </w:p>
          <w:bookmarkEnd w:id="26"/>
        </w:tc>
      </w:tr>
    </w:tbl>
    <w:p w14:paraId="38454203">
      <w:pPr>
        <w:pStyle w:val="3"/>
        <w:jc w:val="both"/>
        <w:rPr>
          <w:rFonts w:hint="default" w:ascii="Times New Roman Regular" w:hAnsi="Times New Roman Regular" w:cs="Times New Roman Regular"/>
        </w:rPr>
      </w:pPr>
      <w:r>
        <w:rPr>
          <w:rFonts w:hint="default" w:ascii="Times New Roman Regular" w:hAnsi="Times New Roman Regular" w:cs="Times New Roman Regular"/>
        </w:rPr>
        <w:t xml:space="preserve">For FTD dementia subgroup (see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"fig-fig6"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6</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xml:space="preserve"> for the forest plot), the estimated age at FTD onsets for monolinguals and bilinguals were 58.02 with a 95%Crl [52.95, 62.84] and 61.44 with a 95%Crl [57.01, 64.35], which were largely lower than the main meta-analytic effect and AD subgroup’s onset. Using avg_comparisons() again, the average difference in marginal effects for bilinguals and monolinguals was 3.76 with a 95%Crl [1.46, 6.26]. This showed that bilinguals were 3.76 years older than monolinguals when having the first symptom onset for FTD type of dementia. The heterogeneity level was even lower in this group as since the group-level estimated effects for mobimonolingual and mobibilingual were 2.92 and 1.61. Yet, the relatively low number of studies might have contributed to the low heterogeneity and the wide 95%Crl of the estimated difference between bilinguals and monolinguals at the population level.</w:t>
      </w:r>
    </w:p>
    <w:tbl>
      <w:tblPr>
        <w:tblStyle w:val="41"/>
        <w:tblW w:w="5000" w:type="pct"/>
        <w:tblInd w:w="0" w:type="dxa"/>
        <w:tblLayout w:type="fixed"/>
        <w:tblCellMar>
          <w:top w:w="0" w:type="dxa"/>
          <w:left w:w="108" w:type="dxa"/>
          <w:bottom w:w="0" w:type="dxa"/>
          <w:right w:w="108" w:type="dxa"/>
        </w:tblCellMar>
      </w:tblPr>
      <w:tblGrid>
        <w:gridCol w:w="9576"/>
      </w:tblGrid>
      <w:tr w14:paraId="42C0B73D">
        <w:tc>
          <w:tcPr>
            <w:tcW w:w="7920" w:type="dxa"/>
          </w:tcPr>
          <w:p w14:paraId="54024488">
            <w:pPr>
              <w:pStyle w:val="24"/>
              <w:jc w:val="both"/>
            </w:pPr>
            <w:bookmarkStart w:id="27" w:name="fig-fig7"/>
            <w:r>
              <w:drawing>
                <wp:inline distT="0" distB="0" distL="0" distR="0">
                  <wp:extent cx="5943600" cy="3606165"/>
                  <wp:effectExtent l="0" t="0" r="0" b="0"/>
                  <wp:docPr id="202308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80858"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760BEE45">
            <w:pPr>
              <w:pStyle w:val="45"/>
              <w:spacing w:before="200"/>
              <w:jc w:val="both"/>
            </w:pPr>
            <w:r>
              <w:t>Figure 7: MCI Subgroup: Forest plot of Bilingualism and Age at Onset of Dementia</w:t>
            </w:r>
          </w:p>
          <w:bookmarkEnd w:id="27"/>
        </w:tc>
      </w:tr>
    </w:tbl>
    <w:p w14:paraId="764287D5">
      <w:pPr>
        <w:pStyle w:val="3"/>
        <w:jc w:val="both"/>
        <w:rPr>
          <w:rFonts w:hint="default" w:ascii="Times New Roman Regular" w:hAnsi="Times New Roman Regular" w:cs="Times New Roman Regular"/>
        </w:rPr>
      </w:pPr>
      <w:r>
        <w:rPr>
          <w:rFonts w:hint="default" w:ascii="Times New Roman Regular" w:hAnsi="Times New Roman Regular" w:cs="Times New Roman Regular"/>
        </w:rPr>
        <w:t xml:space="preserve">For the MCI subgroup (see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"fig-fig7"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7</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xml:space="preserve"> for the forest plot), the estimated age at MCI onsets was 68.52 (95%Crl [54.91, 80.60]) for monolinguals and 72.06 (95%Crl [59.80, 83.31]) for bilinguals, which was slightly earlier than AD subgroup. Such results were expected since mild cognitive development is the transitional stage between healthy brain condition and dementia (Frank &amp; Petersen, 2008). However, the estimated average difference in marginal effects for bilinguals and monolinguals was 2.88 years with a 95%Crl [0.914, 4.84]. This difference between the age at onset of bilinguals and monolinguals was the smallest in the three subgroups. Additionally, the standard deviation for mobimonolingual (11.50) and mobibilingual (9.19) (group-level effects) were the largest among the three groups. This indicated that there were large variations between the age at onset across different studies in the MCI subgroups. It could be because one study’s (Ramakrishnan et al., 2017) age at MCI onset was extremely lower than the other two (Berkes et al., 2020; Ossher et al., 2013).</w:t>
      </w:r>
    </w:p>
    <w:p w14:paraId="61AD164D">
      <w:pPr>
        <w:pStyle w:val="3"/>
        <w:jc w:val="both"/>
        <w:rPr>
          <w:rFonts w:hint="default" w:ascii="Times New Roman Regular" w:hAnsi="Times New Roman Regular" w:cs="Times New Roman Regular"/>
        </w:rPr>
      </w:pPr>
    </w:p>
    <w:p w14:paraId="7161ED10">
      <w:pPr>
        <w:pStyle w:val="3"/>
        <w:jc w:val="both"/>
        <w:rPr>
          <w:rFonts w:hint="default" w:ascii="Times New Roman Regular" w:hAnsi="Times New Roman Regular" w:cs="Times New Roman Regular"/>
        </w:rPr>
      </w:pPr>
      <w:r>
        <w:rPr>
          <w:rFonts w:hint="default" w:ascii="Times New Roman Regular" w:hAnsi="Times New Roman Regular" w:cs="Times New Roman Regular"/>
        </w:rPr>
        <w:t>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p w14:paraId="2598F983">
      <w:pPr>
        <w:pStyle w:val="3"/>
        <w:jc w:val="both"/>
      </w:pPr>
    </w:p>
    <w:bookmarkEnd w:id="19"/>
    <w:bookmarkEnd w:id="24"/>
    <w:p w14:paraId="54D07439">
      <w:pPr>
        <w:pStyle w:val="4"/>
        <w:jc w:val="both"/>
      </w:pPr>
      <w:bookmarkStart w:id="28" w:name="addressing-bias"/>
      <w:r>
        <w:t>Addressing Bias</w:t>
      </w:r>
    </w:p>
    <w:tbl>
      <w:tblPr>
        <w:tblStyle w:val="41"/>
        <w:tblW w:w="5000" w:type="pct"/>
        <w:tblInd w:w="0" w:type="dxa"/>
        <w:tblLayout w:type="fixed"/>
        <w:tblCellMar>
          <w:top w:w="0" w:type="dxa"/>
          <w:left w:w="108" w:type="dxa"/>
          <w:bottom w:w="0" w:type="dxa"/>
          <w:right w:w="108" w:type="dxa"/>
        </w:tblCellMar>
      </w:tblPr>
      <w:tblGrid>
        <w:gridCol w:w="9576"/>
      </w:tblGrid>
      <w:tr w14:paraId="5520235F">
        <w:tc>
          <w:tcPr>
            <w:tcW w:w="7920" w:type="dxa"/>
          </w:tcPr>
          <w:p w14:paraId="5C07A0D2">
            <w:pPr>
              <w:pStyle w:val="24"/>
              <w:jc w:val="both"/>
            </w:pPr>
            <w:bookmarkStart w:id="29" w:name="fig-funnel-sd"/>
            <w:r>
              <w:drawing>
                <wp:inline distT="0" distB="0" distL="0" distR="0">
                  <wp:extent cx="5334000" cy="3429000"/>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12"/>
                          <a:stretch>
                            <a:fillRect/>
                          </a:stretch>
                        </pic:blipFill>
                        <pic:spPr>
                          <a:xfrm>
                            <a:off x="0" y="0"/>
                            <a:ext cx="5334000" cy="3429000"/>
                          </a:xfrm>
                          <a:prstGeom prst="rect">
                            <a:avLst/>
                          </a:prstGeom>
                          <a:noFill/>
                          <a:ln w="9525">
                            <a:noFill/>
                          </a:ln>
                        </pic:spPr>
                      </pic:pic>
                    </a:graphicData>
                  </a:graphic>
                </wp:inline>
              </w:drawing>
            </w:r>
          </w:p>
          <w:p w14:paraId="2BB18AA2">
            <w:pPr>
              <w:pStyle w:val="45"/>
              <w:spacing w:before="200"/>
              <w:jc w:val="both"/>
            </w:pPr>
            <w:r>
              <w:t>Figure 8: Funnel plot showing standard deviation differences between bilinguals and monolinguals in age at onset of dementia.</w:t>
            </w:r>
          </w:p>
          <w:bookmarkEnd w:id="29"/>
        </w:tc>
      </w:tr>
    </w:tbl>
    <w:p w14:paraId="4CF9C808">
      <w:pPr>
        <w:pStyle w:val="3"/>
        <w:jc w:val="both"/>
        <w:rPr>
          <w:rFonts w:hint="default" w:ascii="Times New Roman Regular" w:hAnsi="Times New Roman Regular" w:cs="Times New Roman Regular"/>
        </w:rPr>
      </w:pPr>
      <w:r>
        <w:rPr>
          <w:rFonts w:hint="default" w:ascii="Times New Roman Regular" w:hAnsi="Times New Roman Regular" w:cs="Times New Roman Regular"/>
        </w:rPr>
        <w:t xml:space="preserve">Potential bias in the meta-analytic estimates was accessed using the funnel plot method (Light &amp; Pillemer, 1984). The funnel plot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"fig-funnel-sd"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8</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xml:space="preserve"> 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"fig-funnel-sd"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8</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the dots are not symmetrically distributed around the summary effect although the number of studies in the left side of the summary effect is the same as the right side. Moreover, two studies on the left (Chertkow et al., 2010; Duncan et al., 2018) and one study on the right (Perani et al., 2017) were not covered in the funnel shape. This means that there is potential bias caused by the selected studies. Therefore, it was necessary to check whether the meta-analytic effect was greatly influenced by potential bias.</w:t>
      </w:r>
    </w:p>
    <w:p w14:paraId="1C5D1B67">
      <w:pPr>
        <w:pStyle w:val="3"/>
        <w:jc w:val="both"/>
        <w:rPr>
          <w:rFonts w:hint="default" w:ascii="Times New Roman Regular" w:hAnsi="Times New Roman Regular" w:cs="Times New Roman Regular"/>
        </w:rPr>
      </w:pPr>
    </w:p>
    <w:p w14:paraId="257BB08D">
      <w:pPr>
        <w:pStyle w:val="3"/>
        <w:jc w:val="both"/>
        <w:rPr>
          <w:rFonts w:hint="default" w:ascii="Times New Roman Regular" w:hAnsi="Times New Roman Regular" w:cs="Times New Roman Regular"/>
        </w:rPr>
      </w:pPr>
      <w:r>
        <w:rPr>
          <w:rFonts w:hint="default" w:ascii="Times New Roman Regular" w:hAnsi="Times New Roman Regular" w:cs="Times New Roman Regular"/>
        </w:rPr>
        <w:t>The researcher removed the studies that fell outside the funnel shape to rerun the Bayesian linear model. At the population level, the results showed that the estimated age at dementia onset for monolinguals is 66.46 with a 95%Crl [62.75, 70.17] and for bilinguals is 70.37 with a 95%Crl [67.03, 73.81]. The estimated average difference in the onset of dementia between bilinguals and monolinguals is 3.88 years with a 95%Crl [3.11, 4.65], which is even higher than the mean meta-analytic effect, 3.45 years. This provides evidence that the meta-analytic effect was not a total result of bias.</w:t>
      </w:r>
    </w:p>
    <w:p w14:paraId="5503D235">
      <w:pPr>
        <w:pStyle w:val="3"/>
        <w:jc w:val="both"/>
      </w:pPr>
    </w:p>
    <w:bookmarkEnd w:id="28"/>
    <w:p w14:paraId="1530DC4E">
      <w:pPr>
        <w:pStyle w:val="4"/>
        <w:jc w:val="both"/>
      </w:pPr>
      <w:bookmarkStart w:id="30" w:name="X97f3400c5758a52180f132a2118a35be6a27bb0"/>
      <w:r>
        <w:t>Results for Meta-analysis of Bilingualism and Dementia Prevalence Studies</w:t>
      </w:r>
    </w:p>
    <w:tbl>
      <w:tblPr>
        <w:tblStyle w:val="41"/>
        <w:tblW w:w="5000" w:type="pct"/>
        <w:tblInd w:w="0" w:type="dxa"/>
        <w:tblLayout w:type="fixed"/>
        <w:tblCellMar>
          <w:top w:w="0" w:type="dxa"/>
          <w:left w:w="108" w:type="dxa"/>
          <w:bottom w:w="0" w:type="dxa"/>
          <w:right w:w="108" w:type="dxa"/>
        </w:tblCellMar>
      </w:tblPr>
      <w:tblGrid>
        <w:gridCol w:w="9576"/>
      </w:tblGrid>
      <w:tr w14:paraId="6C3C9AF7">
        <w:tc>
          <w:tcPr>
            <w:tcW w:w="9576" w:type="dxa"/>
          </w:tcPr>
          <w:p w14:paraId="0E804FF7">
            <w:pPr>
              <w:pStyle w:val="24"/>
              <w:jc w:val="both"/>
            </w:pPr>
            <w:bookmarkStart w:id="31" w:name="fig-fig9"/>
            <w:r>
              <w:drawing>
                <wp:inline distT="0" distB="0" distL="0" distR="0">
                  <wp:extent cx="5943600" cy="3606165"/>
                  <wp:effectExtent l="0" t="0" r="0" b="0"/>
                  <wp:docPr id="1134338154" name="Picture 5"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38154" name="Picture 5" descr="A graph with numbers and lines&#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06165"/>
                          </a:xfrm>
                          <a:prstGeom prst="rect">
                            <a:avLst/>
                          </a:prstGeom>
                        </pic:spPr>
                      </pic:pic>
                    </a:graphicData>
                  </a:graphic>
                </wp:inline>
              </w:drawing>
            </w:r>
          </w:p>
          <w:p w14:paraId="6B886FF9">
            <w:pPr>
              <w:pStyle w:val="45"/>
              <w:spacing w:before="200"/>
              <w:jc w:val="both"/>
            </w:pPr>
            <w:r>
              <w:t>Figure 9: Forest plot of the estimated difference in dementia risk between bilinguals and monolinguals in each study.</w:t>
            </w:r>
          </w:p>
          <w:bookmarkEnd w:id="31"/>
        </w:tc>
      </w:tr>
    </w:tbl>
    <w:p w14:paraId="6C11EB24">
      <w:pPr>
        <w:pStyle w:val="3"/>
        <w:jc w:val="both"/>
        <w:rPr>
          <w:rFonts w:hint="default" w:ascii="Times New Roman Regular" w:hAnsi="Times New Roman Regular" w:cs="Times New Roman Regular"/>
        </w:rPr>
      </w:pPr>
      <w:r>
        <w:rPr>
          <w:rFonts w:hint="default" w:ascii="Times New Roman Regular" w:hAnsi="Times New Roman Regular" w:cs="Times New Roman Regular"/>
        </w:rPr>
        <w:t xml:space="preserve">To investigate whether bilingualism is associated with reduced dementia risks, we fitted a Bayesian hierarchical logistic regression model predicting the number of dementia cases out of total number of participants using a binomial likelihood. The results showed that the population-level estimate for monolingual is -2.06 with a 95%Crl [-3.05, -1.16] and that the estimate for bilingual is -2.27 with a 95%Crl [-3.09, -1.47]. We also used avg_comparison() to show the ratio of the average predicted probability of dementia for bilinguals to the average predicted probability of dementia for monolinguals, which resulted in a 0.845 estimate with a 95%Crl [0.726, 0.984].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"fig-fig9"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9</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xml:space="preserve"> for forest plot). It is possible that such a result was influenced by bias given the relatively small number of studies. Yet, the funnel plot is believed not to be reliable if the number of studies is under 10 (Sedgwick &amp; Marston, 2015). Therefore, the present thesis did not use funnel plot to address the potential bias.</w:t>
      </w:r>
    </w:p>
    <w:p w14:paraId="4E030CCD">
      <w:pPr>
        <w:pStyle w:val="3"/>
        <w:jc w:val="both"/>
        <w:rPr>
          <w:rFonts w:hint="default" w:ascii="Times New Roman Regular" w:hAnsi="Times New Roman Regular" w:cs="Times New Roman Regular"/>
        </w:rPr>
      </w:pPr>
    </w:p>
    <w:p w14:paraId="0676B633">
      <w:pPr>
        <w:pStyle w:val="3"/>
        <w:jc w:val="both"/>
        <w:rPr>
          <w:rFonts w:hint="default" w:ascii="Times New Roman Regular" w:hAnsi="Times New Roman Regular" w:cs="Times New Roman Regular"/>
        </w:rPr>
      </w:pPr>
      <w:r>
        <w:rPr>
          <w:rFonts w:hint="default" w:ascii="Times New Roman Regular" w:hAnsi="Times New Roman Regular" w:cs="Times New Roman Regular"/>
        </w:rPr>
        <w:t>Nevertheless, a detailed inspection of the context of these studies and the forest plot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\l "fig-fig9"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Figure 9</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 revealed that one study had great influence on the results (Venugopal et al., 2024). The estimated difference in dementia risk of bilinguals and monolinguals is between -1.27 and -0.43 log-odds at 95% probability, which corresponds to 21.9% and 39.4% lower probability for bilinguals (Venugopal et al., 2024). The study design of this community-based study is a corss-sectional study, which is different from the other five longitudinal studies. Considering such difference, we reran the Bayesian model without Venugopal et al. (2024). The results showed that the average incidence rates for bilinguals is about 86.6% of the incidence rate of monolinguals with a 95% Crl [0.634, 1.5]. This means that we are relatively uncertain about whether bilinguals have a lower incidence rate than monolinguals at the population-level, since the 95% credible interval cross 1.</w:t>
      </w:r>
    </w:p>
    <w:p w14:paraId="59D1171C">
      <w:pPr>
        <w:pStyle w:val="3"/>
        <w:jc w:val="both"/>
      </w:pPr>
    </w:p>
    <w:bookmarkEnd w:id="15"/>
    <w:bookmarkEnd w:id="30"/>
    <w:p w14:paraId="13386838">
      <w:pPr>
        <w:pStyle w:val="2"/>
        <w:jc w:val="both"/>
      </w:pPr>
      <w:bookmarkStart w:id="32" w:name="discussion"/>
      <w:r>
        <w:t>Discussion</w:t>
      </w:r>
    </w:p>
    <w:p w14:paraId="7602EDD4">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Numerous studies have investigated whether bilingualism influences aging and neurodegenerative disease, which have not reached a conclusive remark. Recently, three meta-analyses examined bilingualism and age at dementia onset or bilingualism and dementia prevalence rate (Anderson et al., 2020; Brini et al., 2020; Mukadam et al., 2017). However, the present thesis is the first meta-analysis to use Bayesian statistics to explore bilingualism and dementia. Moreover, it addressed the following research questions.</w:t>
      </w:r>
    </w:p>
    <w:p w14:paraId="77949DA3">
      <w:pPr>
        <w:pStyle w:val="3"/>
      </w:pPr>
    </w:p>
    <w:p w14:paraId="696AD4C6">
      <w:pPr>
        <w:pStyle w:val="4"/>
        <w:jc w:val="both"/>
      </w:pPr>
      <w:bookmarkStart w:id="33" w:name="X476bf588c2b49303e842dda09564f867687bcf5"/>
      <w:r>
        <w:t>Bilinguals Have a Delayed Onset of Dementia</w:t>
      </w:r>
    </w:p>
    <w:p w14:paraId="4271AC63">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In terms of the first research question (i.e., Are there differences between the age at onset of dementia for bilinguals and monolinguals? If so, is the effect influenced greatly by bias?), the findings reveal that bilinguals are 3.45 years older than monolinguals on average when they first have symptoms of dementia. This is in line with the results of two previous meta-analyses which found a moderate protective effect of bilingualism on age at dementia onset ranging from effect size Cohen’s d = 0.32 (Anderson et al., 2020) to a delay of 4.7 years for AD symptoms onset (Brini et al., 2020).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p w14:paraId="44451B00">
      <w:pPr>
        <w:pStyle w:val="3"/>
      </w:pPr>
    </w:p>
    <w:bookmarkEnd w:id="33"/>
    <w:p w14:paraId="1DEF207E">
      <w:pPr>
        <w:pStyle w:val="4"/>
        <w:jc w:val="both"/>
      </w:pPr>
      <w:bookmarkStart w:id="34" w:name="X23dc1278349a1e4fe68c8080647585d6eb1a909"/>
      <w:r>
        <w:t>The Bilingualism’s Preventive Effect is not Robust</w:t>
      </w:r>
    </w:p>
    <w:p w14:paraId="79BE4308">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For the second research question (i.e., Is there a bilingualism’s preventing effect on dementia?), the present thesis did not produce robust evidence although the meta-analytic effect favours bilingualism. The meta-analytic effect is that the incidence rate of dementia for bilinguals is 1.6% to 27.4% lower than monolinguals at 95% probability with an average estimate of 15.5% lower incidence. This result is largely in line with (Anderson et al., 2020), which found week evidence for bilingualism preventing dementia (Cohen’s d = 0.10).</w:t>
      </w:r>
    </w:p>
    <w:p w14:paraId="5564E6C3">
      <w:pPr>
        <w:pStyle w:val="3"/>
        <w:rPr>
          <w:rFonts w:hint="default"/>
        </w:rPr>
      </w:pPr>
    </w:p>
    <w:p w14:paraId="131E9221">
      <w:pPr>
        <w:pStyle w:val="3"/>
        <w:jc w:val="both"/>
        <w:rPr>
          <w:rFonts w:hint="default" w:ascii="Times New Roman Regular" w:hAnsi="Times New Roman Regular" w:cs="Times New Roman Regular"/>
        </w:rPr>
      </w:pPr>
      <w:r>
        <w:rPr>
          <w:rFonts w:hint="default" w:ascii="Times New Roman Regular" w:hAnsi="Times New Roman Regular" w:cs="Times New Roman Regular"/>
        </w:rPr>
        <w:t>However, the results in this analysis were greatly influenced by one individual study, Venugopal et al. (2024), which had a large effect. Venugopal et al. (2024) 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enough to support bilingualism’s effect on preventing the disease. One explanation could be that bilinguals have a delayed onset of dementia, some bilinguals in Venugopal et al. (2024) sample would develop dementia in the end yet did not show symptoms when they were researched. In this sense, bilinguals only delay the dementia onset rather than totally prevent the disease (Berkes &amp; Bialystok, 2022). The results became more uncertain after removing Venugopal et al. (2024), which provides no evidence for bilingualism’s preventive effect on dementia. This result (incidence rate: bilinguals/monolinguals 95%Crl [0.634, 1.5]) corresponds to Mukadam et al. (2017), which found a odds-ratio of [0.74, 1.23] at 95% confidence. Therefore, the present meta-analysis did not find robust evidence for bilingualism’s preventive effect on dementia.</w:t>
      </w:r>
    </w:p>
    <w:p w14:paraId="1B6A2FD7">
      <w:pPr>
        <w:pStyle w:val="3"/>
        <w:jc w:val="both"/>
      </w:pPr>
    </w:p>
    <w:bookmarkEnd w:id="34"/>
    <w:p w14:paraId="16D8B802">
      <w:pPr>
        <w:pStyle w:val="4"/>
        <w:jc w:val="both"/>
      </w:pPr>
      <w:bookmarkStart w:id="35" w:name="confounding-and-modulating-variables"/>
      <w:r>
        <w:t>Confounding and Modulating Variables</w:t>
      </w:r>
    </w:p>
    <w:p w14:paraId="1317EB2A">
      <w:pPr>
        <w:pStyle w:val="5"/>
        <w:jc w:val="both"/>
      </w:pPr>
      <w:bookmarkStart w:id="36" w:name="X21ec72ec4fc5cacfec759bd6f44de5af924cd8a"/>
      <w:r>
        <w:t>No Evidence for Education to be a Confounding Variable or not</w:t>
      </w:r>
    </w:p>
    <w:p w14:paraId="17A553D9">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 xml:space="preserve">This </w:t>
      </w:r>
      <w:r>
        <w:rPr>
          <w:rFonts w:hint="eastAsia" w:ascii="Times New Roman Regular" w:hAnsi="Times New Roman Regular" w:eastAsia="宋体" w:cs="Times New Roman Regular"/>
          <w:color w:val="FF0000"/>
          <w:lang w:val="en-US" w:eastAsia="zh-CN"/>
        </w:rPr>
        <w:t>meta-analysis</w:t>
      </w:r>
      <w:r>
        <w:rPr>
          <w:rFonts w:hint="default" w:ascii="Times New Roman Regular" w:hAnsi="Times New Roman Regular" w:cs="Times New Roman Regular"/>
        </w:rPr>
        <w:t xml:space="preserve">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 (e.g., Alladi et al., 2013; Anderson et al., 2020; Craik et al., 2010). Therefore, the present analysis further shows that differences in the bilinguals’ and monolinguals’ education status are not predictive of their differences in the age at symptom onset of dementia.</w:t>
      </w:r>
    </w:p>
    <w:p w14:paraId="64FD778E">
      <w:pPr>
        <w:pStyle w:val="3"/>
      </w:pPr>
    </w:p>
    <w:bookmarkEnd w:id="36"/>
    <w:p w14:paraId="3C8E580A">
      <w:pPr>
        <w:pStyle w:val="5"/>
        <w:jc w:val="both"/>
      </w:pPr>
      <w:bookmarkStart w:id="37" w:name="X5131b7e25cfc0c0e1ccb7f2e96bfc94d7a97092"/>
      <w:r>
        <w:t>Bilingualism may Defer Different Types of Dementia Differently</w:t>
      </w:r>
    </w:p>
    <w:p w14:paraId="3BD457EB">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Many recent studies have pointed out that bilinguals’ delay on age at dementia onset may be specific to different subtypes of dementia (Alladi et al., 2013; Lee, 2022). The results from the subgroup analysis in this meta-analysis provide evidence for such arguments. The difference between bilinguals and monolinguals was the largest on FTD subtype (3.76 years on average) following the AD subtype (3.36 years on average) and MCI (2.88 years on average). One explanation for such phenomena may be that the brain regions that are affected by different subtypes of dementia vary (Lee, 2022). For instance, AD subtype mainly affects the neurons in entorhinal cortex and hippocampus (Meda et al., 2013); FTD subtype causes atrophy in the frontal and temporal lobes (Chan et al., 2001) while vascular dementia subtype involves damage of white matter beneath the gray matter (Hase et al., 2018). Therefore, it could be that bilingualism tends to affect the functional connectivity of frontal and temporal lobes more efficiently as mentioned in section 2.2. Moreover, different language use experience may affect distinct brain areas, which indicates that bilinguals with different language experience may show different “advantage” on resisting various kinds of brain pathologies (Lee, 2022).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14:paraId="259FAB47">
      <w:pPr>
        <w:pStyle w:val="3"/>
        <w:rPr>
          <w:rFonts w:hint="default"/>
        </w:rPr>
      </w:pPr>
    </w:p>
    <w:p w14:paraId="5C3D9581">
      <w:pPr>
        <w:pStyle w:val="3"/>
        <w:jc w:val="both"/>
        <w:rPr>
          <w:rFonts w:hint="default" w:ascii="Times New Roman Regular" w:hAnsi="Times New Roman Regular" w:cs="Times New Roman Regular"/>
        </w:rPr>
      </w:pPr>
      <w:r>
        <w:rPr>
          <w:rFonts w:hint="default" w:ascii="Times New Roman Regular" w:hAnsi="Times New Roman Regular" w:cs="Times New Roman Regular"/>
        </w:rPr>
        <w:t>Future empirical studies investigating the bilingualism and dementia link are suggested to view bilingualism and dementia as highly dynamic phenomena rather than unitary ones. More efforts should be paid to investigate the neuropathology of different subtypes of dementia and how different bilingualism experiences affect the onset of symptoms of these subtypes. It should also be noted that bilingualism is not the only factor that contributes to cognitive reserve and the delay of dementia. On the one hand, future researchers should follow Alladi et al. (2013) and Craik et al. (2010) examples to control potential confounding variables. On the other, they can compare the effect of bilingualism with other mentally challenging activities such as engaging in difficult physical activities (Sofi et al., 2011), playing an instrument (Hanna-Pladdy &amp; MacKay, 2011).</w:t>
      </w:r>
    </w:p>
    <w:p w14:paraId="41E3D29B">
      <w:pPr>
        <w:pStyle w:val="3"/>
        <w:jc w:val="both"/>
      </w:pPr>
    </w:p>
    <w:bookmarkEnd w:id="32"/>
    <w:bookmarkEnd w:id="35"/>
    <w:bookmarkEnd w:id="37"/>
    <w:p w14:paraId="419D6C7A">
      <w:pPr>
        <w:pStyle w:val="2"/>
        <w:jc w:val="both"/>
      </w:pPr>
      <w:bookmarkStart w:id="38" w:name="limitations"/>
      <w:r>
        <w:t>Limitations</w:t>
      </w:r>
    </w:p>
    <w:p w14:paraId="4F574C67">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One potential limitation of the present thesis is that it does not view bilingualism as a continuum. This is partially because most previous empirical studies employed a dichotomous categorization of bilinguals and monolinguals. For the studies that did use bilingualism as a continuum, measurements also varies since some used the frequency of code-switching (Calabria et al., 2020) while others used objective measures (e.g., Boston Naming Test in Gollan et al., 2012). Given the limited number of such studies and various measurements, the present meta-analysis did not include them. Future meta-analyses can attempt to include these studies as more new studies using similar measurements appear.</w:t>
      </w:r>
    </w:p>
    <w:p w14:paraId="3DC71B67">
      <w:pPr>
        <w:pStyle w:val="3"/>
        <w:rPr>
          <w:rFonts w:hint="default"/>
        </w:rPr>
      </w:pPr>
    </w:p>
    <w:p w14:paraId="631ADB37">
      <w:pPr>
        <w:pStyle w:val="3"/>
        <w:jc w:val="both"/>
        <w:rPr>
          <w:rFonts w:hint="default" w:ascii="Times New Roman Regular" w:hAnsi="Times New Roman Regular" w:cs="Times New Roman Regular"/>
        </w:rPr>
      </w:pPr>
      <w:r>
        <w:rPr>
          <w:rFonts w:hint="default" w:ascii="Times New Roman Regular" w:hAnsi="Times New Roman Regular" w:cs="Times New Roman Regular"/>
        </w:rPr>
        <w:t>Borenstein et al. (2021) state that it is rare for researchers to collect all the studies that meet the inclusion criteria into the meta-analysis. The researcher is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p w14:paraId="2BFFCBFE">
      <w:pPr>
        <w:pStyle w:val="3"/>
        <w:jc w:val="both"/>
      </w:pPr>
    </w:p>
    <w:bookmarkEnd w:id="38"/>
    <w:p w14:paraId="1858B7FB">
      <w:pPr>
        <w:pStyle w:val="2"/>
        <w:jc w:val="both"/>
      </w:pPr>
      <w:bookmarkStart w:id="39" w:name="conclusion"/>
      <w:r>
        <w:t>Conclusion</w:t>
      </w:r>
    </w:p>
    <w:p w14:paraId="1E96DA59">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This meta-analysis investigated the correlates of bilingualism and the age at onset and incidence rates of dementia respectively. The results of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analysis provided evidence that the types of dementia may influence the relation between bilingualism and the age at onset of dementia, which calls on more research into different subtypes of dementia. In contrast, the results of the incidence rates study did not support that bilingualism prevents dementia from happening. Yet, we did not reach Mukadam et al. (2017) 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bookmarkEnd w:id="39"/>
    <w:p w14:paraId="1C434AB9">
      <w:pPr>
        <w:pStyle w:val="2"/>
        <w:jc w:val="both"/>
      </w:pPr>
      <w:bookmarkStart w:id="40" w:name="data-availability-statement"/>
      <w:r>
        <w:rPr>
          <w:b/>
          <w:bCs/>
        </w:rPr>
        <w:t>Data availability statement</w:t>
      </w:r>
    </w:p>
    <w:p w14:paraId="5C964C22">
      <w:pPr>
        <w:pStyle w:val="23"/>
        <w:jc w:val="both"/>
        <w:rPr>
          <w:rFonts w:hint="default" w:ascii="Times New Roman Regular" w:hAnsi="Times New Roman Regular" w:cs="Times New Roman Regular"/>
        </w:rPr>
      </w:pPr>
      <w:r>
        <w:rPr>
          <w:rFonts w:hint="default" w:ascii="Times New Roman Regular" w:hAnsi="Times New Roman Regular" w:cs="Times New Roman Regular"/>
        </w:rPr>
        <w:t xml:space="preserve">The Research Compendium of this study, including data and code, can be found at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"https://github.com/Peter-Ziyuan/Meta-analysis_Bilingualism-and-Dementia"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https://github.com/Peter-Ziyuan/Meta-analysis_Bilingualism-and-Dementia</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49599214">
      <w:pPr>
        <w:pStyle w:val="3"/>
      </w:pPr>
    </w:p>
    <w:p w14:paraId="715CC683">
      <w:pPr>
        <w:pStyle w:val="3"/>
        <w:rPr>
          <w:rFonts w:asciiTheme="majorHAnsi" w:hAnsiTheme="majorHAnsi" w:eastAsiaTheme="majorEastAsia" w:cstheme="majorBidi"/>
          <w:b/>
          <w:bCs/>
          <w:color w:val="0F4761" w:themeColor="accent1" w:themeShade="BF"/>
          <w:sz w:val="40"/>
          <w:szCs w:val="40"/>
        </w:rPr>
      </w:pPr>
      <w:r>
        <w:rPr>
          <w:rFonts w:asciiTheme="majorHAnsi" w:hAnsiTheme="majorHAnsi" w:eastAsiaTheme="majorEastAsia" w:cstheme="majorBidi"/>
          <w:b/>
          <w:bCs/>
          <w:color w:val="0F4761" w:themeColor="accent1" w:themeShade="BF"/>
          <w:sz w:val="40"/>
          <w:szCs w:val="40"/>
        </w:rPr>
        <w:t>Disclosure Statement</w:t>
      </w:r>
    </w:p>
    <w:p w14:paraId="07DA2B52">
      <w:pPr>
        <w:pStyle w:val="3"/>
        <w:rPr>
          <w:rFonts w:hint="default" w:ascii="Times New Roman Regular" w:hAnsi="Times New Roman Regular" w:cs="Times New Roman Regular"/>
        </w:rPr>
      </w:pPr>
      <w:r>
        <w:rPr>
          <w:rFonts w:hint="default" w:ascii="Times New Roman Regular" w:hAnsi="Times New Roman Regular" w:cs="Times New Roman Regular"/>
        </w:rPr>
        <w:t>The authors report no conflicts of interest.</w:t>
      </w:r>
    </w:p>
    <w:bookmarkEnd w:id="40"/>
    <w:p w14:paraId="0CF3A5A6">
      <w:pPr>
        <w:pStyle w:val="2"/>
        <w:jc w:val="both"/>
      </w:pPr>
      <w:bookmarkStart w:id="41" w:name="references"/>
      <w:r>
        <w:t>References</w:t>
      </w:r>
    </w:p>
    <w:p w14:paraId="7A2676FE">
      <w:pPr>
        <w:pStyle w:val="30"/>
        <w:ind w:left="454" w:hanging="454"/>
        <w:jc w:val="both"/>
        <w:rPr>
          <w:rFonts w:hint="default" w:ascii="Times New Roman Regular" w:hAnsi="Times New Roman Regular" w:cs="Times New Roman Regular"/>
        </w:rPr>
      </w:pPr>
      <w:bookmarkStart w:id="42" w:name="ref-abutalebi2015"/>
      <w:bookmarkStart w:id="43" w:name="refs"/>
      <w:r>
        <w:rPr>
          <w:rFonts w:hint="default" w:ascii="Times New Roman Regular" w:hAnsi="Times New Roman Regular" w:cs="Times New Roman Regular"/>
        </w:rPr>
        <w:t xml:space="preserve">Abutalebi, J., Canini, M., Della Rosa, P. A., Green, D. W., &amp; Weekes, B. S. (2015). The neuroprotective effects of bilingualism upon the inferior parietal lobule: A structural neuroimaging study in aging chinese bilinguals. </w:t>
      </w:r>
      <w:r>
        <w:rPr>
          <w:rFonts w:hint="default" w:ascii="Times New Roman Regular" w:hAnsi="Times New Roman Regular" w:cs="Times New Roman Regular"/>
          <w:i/>
          <w:iCs/>
        </w:rPr>
        <w:t>Journal of Neurolinguistics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33</w:t>
      </w:r>
      <w:r>
        <w:rPr>
          <w:rFonts w:hint="default" w:ascii="Times New Roman Regular" w:hAnsi="Times New Roman Regular" w:cs="Times New Roman Regular"/>
        </w:rPr>
        <w:t>, 3–13.</w:t>
      </w:r>
    </w:p>
    <w:bookmarkEnd w:id="42"/>
    <w:p w14:paraId="30AFD620">
      <w:pPr>
        <w:pStyle w:val="30"/>
        <w:ind w:left="454" w:hanging="454"/>
        <w:jc w:val="both"/>
        <w:rPr>
          <w:rFonts w:hint="default" w:ascii="Times New Roman Regular" w:hAnsi="Times New Roman Regular" w:cs="Times New Roman Regular"/>
        </w:rPr>
      </w:pPr>
      <w:bookmarkStart w:id="44" w:name="ref-alladi2013"/>
      <w:r>
        <w:rPr>
          <w:rFonts w:hint="default" w:ascii="Times New Roman Regular" w:hAnsi="Times New Roman Regular" w:cs="Times New Roman Regular"/>
        </w:rPr>
        <w:t xml:space="preserve">Alladi, S., Bak, T. H., Duggirala, V., Surampudi, B., Shailaja, M., Shukla, A. K., Chaudhuri, J. R., &amp; Kaul, S. (2013). Bilingualism delays age at onset of dementia, independent of education and immigration status. </w:t>
      </w:r>
      <w:r>
        <w:rPr>
          <w:rFonts w:hint="default" w:ascii="Times New Roman Regular" w:hAnsi="Times New Roman Regular" w:cs="Times New Roman Regular"/>
          <w:i/>
          <w:iCs/>
        </w:rPr>
        <w:t>Neurology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81</w:t>
      </w:r>
      <w:r>
        <w:rPr>
          <w:rFonts w:hint="default" w:ascii="Times New Roman Regular" w:hAnsi="Times New Roman Regular" w:cs="Times New Roman Regular"/>
        </w:rPr>
        <w:t>(22), 1938–1944.</w:t>
      </w:r>
    </w:p>
    <w:bookmarkEnd w:id="44"/>
    <w:p w14:paraId="64B65A05">
      <w:pPr>
        <w:pStyle w:val="30"/>
        <w:ind w:left="454" w:hanging="454"/>
        <w:jc w:val="both"/>
        <w:rPr>
          <w:rFonts w:hint="default" w:ascii="Times New Roman Regular" w:hAnsi="Times New Roman Regular" w:cs="Times New Roman Regular"/>
        </w:rPr>
      </w:pPr>
      <w:bookmarkStart w:id="45" w:name="ref-alladi2017"/>
      <w:r>
        <w:rPr>
          <w:rFonts w:hint="default" w:ascii="Times New Roman Regular" w:hAnsi="Times New Roman Regular" w:cs="Times New Roman Regular"/>
        </w:rPr>
        <w:t xml:space="preserve">Alladi, S., Bak, T. H., Shailaja, M., Gollahalli, D., Rajan, A., Surampudi, B., Hornberger, M., Duggirala, V., Chaudhuri, J. R., &amp; Kaul, S. (2017). Bilingualism delays the onset of behavioral but not aphasic forms of frontotemporal dementia. </w:t>
      </w:r>
      <w:r>
        <w:rPr>
          <w:rFonts w:hint="default" w:ascii="Times New Roman Regular" w:hAnsi="Times New Roman Regular" w:cs="Times New Roman Regular"/>
          <w:i/>
          <w:iCs/>
        </w:rPr>
        <w:t>Neuropsychologia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99</w:t>
      </w:r>
      <w:r>
        <w:rPr>
          <w:rFonts w:hint="default" w:ascii="Times New Roman Regular" w:hAnsi="Times New Roman Regular" w:cs="Times New Roman Regular"/>
        </w:rPr>
        <w:t>, 207–212.</w:t>
      </w:r>
    </w:p>
    <w:bookmarkEnd w:id="45"/>
    <w:p w14:paraId="42A86E33">
      <w:pPr>
        <w:pStyle w:val="30"/>
        <w:ind w:left="454" w:hanging="454"/>
        <w:jc w:val="both"/>
        <w:rPr>
          <w:rFonts w:hint="default" w:ascii="Times New Roman Regular" w:hAnsi="Times New Roman Regular" w:cs="Times New Roman Regular"/>
        </w:rPr>
      </w:pPr>
      <w:bookmarkStart w:id="46" w:name="ref-anderson2020"/>
      <w:r>
        <w:rPr>
          <w:rFonts w:hint="default" w:ascii="Times New Roman Regular" w:hAnsi="Times New Roman Regular" w:cs="Times New Roman Regular"/>
        </w:rPr>
        <w:t xml:space="preserve">Anderson, J. A., Hawrylewicz, K., &amp; Grundy, J. G. (2020). Does bilingualism protect against dementia? A meta-analysis. </w:t>
      </w:r>
      <w:r>
        <w:rPr>
          <w:rFonts w:hint="default" w:ascii="Times New Roman Regular" w:hAnsi="Times New Roman Regular" w:cs="Times New Roman Regular"/>
          <w:i/>
          <w:iCs/>
        </w:rPr>
        <w:t>Psychonomic Bulletin &amp; Review</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27</w:t>
      </w:r>
      <w:r>
        <w:rPr>
          <w:rFonts w:hint="default" w:ascii="Times New Roman Regular" w:hAnsi="Times New Roman Regular" w:cs="Times New Roman Regular"/>
        </w:rPr>
        <w:t>, 952–965.</w:t>
      </w:r>
    </w:p>
    <w:bookmarkEnd w:id="46"/>
    <w:p w14:paraId="52986215">
      <w:pPr>
        <w:pStyle w:val="30"/>
        <w:ind w:left="454" w:hanging="454"/>
        <w:jc w:val="both"/>
        <w:rPr>
          <w:rFonts w:hint="default" w:ascii="Times New Roman Regular" w:hAnsi="Times New Roman Regular" w:cs="Times New Roman Regular"/>
        </w:rPr>
      </w:pPr>
      <w:bookmarkStart w:id="47" w:name="ref-arel2024"/>
      <w:r>
        <w:rPr>
          <w:rFonts w:hint="default" w:ascii="Times New Roman Regular" w:hAnsi="Times New Roman Regular" w:cs="Times New Roman Regular"/>
        </w:rPr>
        <w:t xml:space="preserve">Arel-Bundock, V., Greifer, N., &amp; Heiss, A. (2024). How to interpret statistical models using marginaleffects for r and python. </w:t>
      </w:r>
      <w:r>
        <w:rPr>
          <w:rFonts w:hint="default" w:ascii="Times New Roman Regular" w:hAnsi="Times New Roman Regular" w:cs="Times New Roman Regular"/>
          <w:i/>
          <w:iCs/>
        </w:rPr>
        <w:t>Journal of Statistical Software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111</w:t>
      </w:r>
      <w:r>
        <w:rPr>
          <w:rFonts w:hint="default" w:ascii="Times New Roman Regular" w:hAnsi="Times New Roman Regular" w:cs="Times New Roman Regular"/>
        </w:rPr>
        <w:t>, 1–32.</w:t>
      </w:r>
    </w:p>
    <w:bookmarkEnd w:id="47"/>
    <w:p w14:paraId="3AF7AB60">
      <w:pPr>
        <w:pStyle w:val="30"/>
        <w:ind w:left="454" w:hanging="454"/>
        <w:jc w:val="both"/>
        <w:rPr>
          <w:rFonts w:hint="default" w:ascii="Times New Roman Regular" w:hAnsi="Times New Roman Regular" w:cs="Times New Roman Regular"/>
        </w:rPr>
      </w:pPr>
      <w:bookmarkStart w:id="48" w:name="ref-bak2016"/>
      <w:r>
        <w:rPr>
          <w:rFonts w:hint="default" w:ascii="Times New Roman Regular" w:hAnsi="Times New Roman Regular" w:cs="Times New Roman Regular"/>
        </w:rPr>
        <w:t xml:space="preserve">Bak, T. H. (2016). The impact of bilingualism on cognitive ageing and dementia: Finding a path through a forest of confounding variables. </w:t>
      </w:r>
      <w:r>
        <w:rPr>
          <w:rFonts w:hint="default" w:ascii="Times New Roman Regular" w:hAnsi="Times New Roman Regular" w:cs="Times New Roman Regular"/>
          <w:i/>
          <w:iCs/>
        </w:rPr>
        <w:t>Linguistic Approaches to Bilingualism</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6</w:t>
      </w:r>
      <w:r>
        <w:rPr>
          <w:rFonts w:hint="default" w:ascii="Times New Roman Regular" w:hAnsi="Times New Roman Regular" w:cs="Times New Roman Regular"/>
        </w:rPr>
        <w:t>(1-2), 205–226.</w:t>
      </w:r>
    </w:p>
    <w:bookmarkEnd w:id="48"/>
    <w:p w14:paraId="4A76635B">
      <w:pPr>
        <w:pStyle w:val="30"/>
        <w:ind w:left="454" w:hanging="454"/>
        <w:jc w:val="both"/>
        <w:rPr>
          <w:rFonts w:hint="default" w:ascii="Times New Roman Regular" w:hAnsi="Times New Roman Regular" w:cs="Times New Roman Regular"/>
        </w:rPr>
      </w:pPr>
      <w:bookmarkStart w:id="49" w:name="ref-bennett2006"/>
      <w:r>
        <w:rPr>
          <w:rFonts w:hint="default" w:ascii="Times New Roman Regular" w:hAnsi="Times New Roman Regular" w:cs="Times New Roman Regular"/>
        </w:rPr>
        <w:t xml:space="preserve">Bennett, D., Schneider, J., Arvanitakis, Z., Kelly, J., Aggarwal, N., Shah, R., &amp; Wilson, R. (2006). Neuropathology of older persons without cognitive impairment from two community-based studies. </w:t>
      </w:r>
      <w:r>
        <w:rPr>
          <w:rFonts w:hint="default" w:ascii="Times New Roman Regular" w:hAnsi="Times New Roman Regular" w:cs="Times New Roman Regular"/>
          <w:i/>
          <w:iCs/>
        </w:rPr>
        <w:t>Neurology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66</w:t>
      </w:r>
      <w:r>
        <w:rPr>
          <w:rFonts w:hint="default" w:ascii="Times New Roman Regular" w:hAnsi="Times New Roman Regular" w:cs="Times New Roman Regular"/>
        </w:rPr>
        <w:t>(12), 1837–1844.</w:t>
      </w:r>
    </w:p>
    <w:bookmarkEnd w:id="49"/>
    <w:p w14:paraId="3ACE7FF6">
      <w:pPr>
        <w:pStyle w:val="30"/>
        <w:ind w:left="454" w:hanging="454"/>
        <w:jc w:val="both"/>
        <w:rPr>
          <w:rFonts w:hint="default" w:ascii="Times New Roman Regular" w:hAnsi="Times New Roman Regular" w:cs="Times New Roman Regular"/>
        </w:rPr>
      </w:pPr>
      <w:bookmarkStart w:id="50" w:name="ref-berkes2022"/>
      <w:r>
        <w:rPr>
          <w:rFonts w:hint="default" w:ascii="Times New Roman Regular" w:hAnsi="Times New Roman Regular" w:cs="Times New Roman Regular"/>
        </w:rPr>
        <w:t xml:space="preserve">Berkes, M., &amp; Bialystok, E. (2022). Bilingualism as a contributor to cognitive reserve: What it can do and what it cannot do. </w:t>
      </w:r>
      <w:r>
        <w:rPr>
          <w:rFonts w:hint="default" w:ascii="Times New Roman Regular" w:hAnsi="Times New Roman Regular" w:cs="Times New Roman Regular"/>
          <w:i/>
          <w:iCs/>
        </w:rPr>
        <w:t>American Journal of Alzheimer’s Disease &amp; Other Dementias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37</w:t>
      </w:r>
      <w:r>
        <w:rPr>
          <w:rFonts w:hint="default" w:ascii="Times New Roman Regular" w:hAnsi="Times New Roman Regular" w:cs="Times New Roman Regular"/>
        </w:rPr>
        <w:t>, 15333175221091417.</w:t>
      </w:r>
    </w:p>
    <w:bookmarkEnd w:id="50"/>
    <w:p w14:paraId="1F0FDB68">
      <w:pPr>
        <w:pStyle w:val="30"/>
        <w:ind w:left="454" w:hanging="454"/>
        <w:jc w:val="both"/>
        <w:rPr>
          <w:rFonts w:hint="default" w:ascii="Times New Roman Regular" w:hAnsi="Times New Roman Regular" w:cs="Times New Roman Regular"/>
        </w:rPr>
      </w:pPr>
      <w:bookmarkStart w:id="51" w:name="ref-berkes2020"/>
      <w:r>
        <w:rPr>
          <w:rFonts w:hint="default" w:ascii="Times New Roman Regular" w:hAnsi="Times New Roman Regular" w:cs="Times New Roman Regular"/>
        </w:rPr>
        <w:t xml:space="preserve">Berkes, M., Bialystok, E., Craik, F. I., Troyer, A., &amp; Freedman, M. (2020). Conversion of mild cognitive impairment to alzheimer disease in monolingual and bilingual patients. </w:t>
      </w:r>
      <w:r>
        <w:rPr>
          <w:rFonts w:hint="default" w:ascii="Times New Roman Regular" w:hAnsi="Times New Roman Regular" w:cs="Times New Roman Regular"/>
          <w:i/>
          <w:iCs/>
        </w:rPr>
        <w:t>Alzheimer Disease &amp; Associated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34</w:t>
      </w:r>
      <w:r>
        <w:rPr>
          <w:rFonts w:hint="default" w:ascii="Times New Roman Regular" w:hAnsi="Times New Roman Regular" w:cs="Times New Roman Regular"/>
        </w:rPr>
        <w:t>(3), 225–230.</w:t>
      </w:r>
    </w:p>
    <w:bookmarkEnd w:id="51"/>
    <w:p w14:paraId="3E60F2DB">
      <w:pPr>
        <w:pStyle w:val="30"/>
        <w:ind w:left="454" w:hanging="454"/>
        <w:jc w:val="both"/>
        <w:rPr>
          <w:rFonts w:hint="default" w:ascii="Times New Roman Regular" w:hAnsi="Times New Roman Regular" w:cs="Times New Roman Regular"/>
        </w:rPr>
      </w:pPr>
      <w:bookmarkStart w:id="52" w:name="ref-bialystok2022"/>
      <w:r>
        <w:rPr>
          <w:rFonts w:hint="default" w:ascii="Times New Roman Regular" w:hAnsi="Times New Roman Regular" w:cs="Times New Roman Regular"/>
        </w:rPr>
        <w:t xml:space="preserve">Bialystok, E., &amp; Craik, F. I. (2022). How does bilingualism modify cognitive function? Attention to the mechanism. </w:t>
      </w:r>
      <w:r>
        <w:rPr>
          <w:rFonts w:hint="default" w:ascii="Times New Roman Regular" w:hAnsi="Times New Roman Regular" w:cs="Times New Roman Regular"/>
          <w:i/>
          <w:iCs/>
        </w:rPr>
        <w:t>Psychonomic Bulletin &amp; Review</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29</w:t>
      </w:r>
      <w:r>
        <w:rPr>
          <w:rFonts w:hint="default" w:ascii="Times New Roman Regular" w:hAnsi="Times New Roman Regular" w:cs="Times New Roman Regular"/>
        </w:rPr>
        <w:t>(4), 1246–1269.</w:t>
      </w:r>
    </w:p>
    <w:bookmarkEnd w:id="52"/>
    <w:p w14:paraId="28519FBD">
      <w:pPr>
        <w:pStyle w:val="30"/>
        <w:ind w:left="454" w:hanging="454"/>
        <w:jc w:val="both"/>
        <w:rPr>
          <w:rFonts w:hint="default" w:ascii="Times New Roman Regular" w:hAnsi="Times New Roman Regular" w:cs="Times New Roman Regular"/>
        </w:rPr>
      </w:pPr>
      <w:bookmarkStart w:id="53" w:name="ref-bialystok2007"/>
      <w:r>
        <w:rPr>
          <w:rFonts w:hint="default" w:ascii="Times New Roman Regular" w:hAnsi="Times New Roman Regular" w:cs="Times New Roman Regular"/>
        </w:rPr>
        <w:t xml:space="preserve">Bialystok, E., Craik, F. I. M., &amp; Freedman, M. (2007). Bilingualism as a protection against the onset of symptoms of dementia. </w:t>
      </w:r>
      <w:r>
        <w:rPr>
          <w:rFonts w:hint="default" w:ascii="Times New Roman Regular" w:hAnsi="Times New Roman Regular" w:cs="Times New Roman Regular"/>
          <w:i/>
          <w:iCs/>
        </w:rPr>
        <w:t>Neuropsychologia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45</w:t>
      </w:r>
      <w:r>
        <w:rPr>
          <w:rFonts w:hint="default" w:ascii="Times New Roman Regular" w:hAnsi="Times New Roman Regular" w:cs="Times New Roman Regular"/>
        </w:rPr>
        <w:t>(2), 459–464.</w:t>
      </w:r>
    </w:p>
    <w:bookmarkEnd w:id="53"/>
    <w:p w14:paraId="5E69E9E1">
      <w:pPr>
        <w:pStyle w:val="30"/>
        <w:ind w:left="454" w:hanging="454"/>
        <w:jc w:val="both"/>
        <w:rPr>
          <w:rFonts w:hint="default" w:ascii="Times New Roman Regular" w:hAnsi="Times New Roman Regular" w:cs="Times New Roman Regular"/>
        </w:rPr>
      </w:pPr>
      <w:bookmarkStart w:id="54" w:name="ref-bialystok2014"/>
      <w:r>
        <w:rPr>
          <w:rFonts w:hint="default" w:ascii="Times New Roman Regular" w:hAnsi="Times New Roman Regular" w:cs="Times New Roman Regular"/>
        </w:rPr>
        <w:t xml:space="preserve">Bialystok, E., Craik, F. I., Binns, M. A., Ossher, L., &amp; Freedman, M. (2014). Effects of bilingualism on the age of onset and progression of MCI and AD: Evidence from executive function tests. </w:t>
      </w:r>
      <w:r>
        <w:rPr>
          <w:rFonts w:hint="default" w:ascii="Times New Roman Regular" w:hAnsi="Times New Roman Regular" w:cs="Times New Roman Regular"/>
          <w:i/>
          <w:iCs/>
        </w:rPr>
        <w:t>Neuropsychology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28</w:t>
      </w:r>
      <w:r>
        <w:rPr>
          <w:rFonts w:hint="default" w:ascii="Times New Roman Regular" w:hAnsi="Times New Roman Regular" w:cs="Times New Roman Regular"/>
        </w:rPr>
        <w:t>(2), 290.</w:t>
      </w:r>
    </w:p>
    <w:bookmarkEnd w:id="54"/>
    <w:p w14:paraId="203E3CE0">
      <w:pPr>
        <w:pStyle w:val="30"/>
        <w:ind w:left="454" w:hanging="454"/>
        <w:jc w:val="both"/>
        <w:rPr>
          <w:rFonts w:hint="default" w:ascii="Times New Roman Regular" w:hAnsi="Times New Roman Regular" w:cs="Times New Roman Regular"/>
        </w:rPr>
      </w:pPr>
      <w:bookmarkStart w:id="55" w:name="ref-bialystok2012"/>
      <w:r>
        <w:rPr>
          <w:rFonts w:hint="default" w:ascii="Times New Roman Regular" w:hAnsi="Times New Roman Regular" w:cs="Times New Roman Regular"/>
        </w:rPr>
        <w:t xml:space="preserve">Bialystok, E., Craik, F. I., &amp; Luk, G. (2012). Bilingualism: Consequences for mind and brain. </w:t>
      </w:r>
      <w:r>
        <w:rPr>
          <w:rFonts w:hint="default" w:ascii="Times New Roman Regular" w:hAnsi="Times New Roman Regular" w:cs="Times New Roman Regular"/>
          <w:i/>
          <w:iCs/>
        </w:rPr>
        <w:t>Trends in Cognitive Sciences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16</w:t>
      </w:r>
      <w:r>
        <w:rPr>
          <w:rFonts w:hint="default" w:ascii="Times New Roman Regular" w:hAnsi="Times New Roman Regular" w:cs="Times New Roman Regular"/>
        </w:rPr>
        <w:t>(4), 240–250.</w:t>
      </w:r>
    </w:p>
    <w:bookmarkEnd w:id="55"/>
    <w:p w14:paraId="0EB21294">
      <w:pPr>
        <w:pStyle w:val="30"/>
        <w:ind w:left="454" w:hanging="454"/>
        <w:jc w:val="both"/>
        <w:rPr>
          <w:rFonts w:hint="default" w:ascii="Times New Roman Regular" w:hAnsi="Times New Roman Regular" w:cs="Times New Roman Regular"/>
        </w:rPr>
      </w:pPr>
      <w:bookmarkStart w:id="56" w:name="ref-blom2014"/>
      <w:r>
        <w:rPr>
          <w:rFonts w:hint="default" w:ascii="Times New Roman Regular" w:hAnsi="Times New Roman Regular" w:cs="Times New Roman Regular"/>
        </w:rPr>
        <w:t xml:space="preserve">Blom, E., Küntay, A. C., Messer, M., Verhagen, J., &amp; Leseman, P. (2014). The benefits of being bilingual: Working memory in bilingual turkish–dutch children. </w:t>
      </w:r>
      <w:r>
        <w:rPr>
          <w:rFonts w:hint="default" w:ascii="Times New Roman Regular" w:hAnsi="Times New Roman Regular" w:cs="Times New Roman Regular"/>
          <w:i/>
          <w:iCs/>
        </w:rPr>
        <w:t>Journal of Experimental Child 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128</w:t>
      </w:r>
      <w:r>
        <w:rPr>
          <w:rFonts w:hint="default" w:ascii="Times New Roman Regular" w:hAnsi="Times New Roman Regular" w:cs="Times New Roman Regular"/>
        </w:rPr>
        <w:t>, 105–119.</w:t>
      </w:r>
    </w:p>
    <w:bookmarkEnd w:id="56"/>
    <w:p w14:paraId="607F69E4">
      <w:pPr>
        <w:pStyle w:val="30"/>
        <w:ind w:left="454" w:hanging="454"/>
        <w:jc w:val="both"/>
        <w:rPr>
          <w:rFonts w:hint="default" w:ascii="Times New Roman Regular" w:hAnsi="Times New Roman Regular" w:cs="Times New Roman Regular"/>
        </w:rPr>
      </w:pPr>
      <w:bookmarkStart w:id="57" w:name="ref-borenstein2021"/>
      <w:r>
        <w:rPr>
          <w:rFonts w:hint="default" w:ascii="Times New Roman Regular" w:hAnsi="Times New Roman Regular" w:cs="Times New Roman Regular"/>
        </w:rPr>
        <w:t xml:space="preserve">Borenstein, M., Hedges, L. V., Higgins, J. P., &amp; Rothstein, H. R. (2021). </w:t>
      </w:r>
      <w:r>
        <w:rPr>
          <w:rFonts w:hint="default" w:ascii="Times New Roman Regular" w:hAnsi="Times New Roman Regular" w:cs="Times New Roman Regular"/>
          <w:i/>
          <w:iCs/>
        </w:rPr>
        <w:t>Introduction to meta-analysis</w:t>
      </w:r>
      <w:r>
        <w:rPr>
          <w:rFonts w:hint="default" w:ascii="Times New Roman Regular" w:hAnsi="Times New Roman Regular" w:cs="Times New Roman Regular"/>
        </w:rPr>
        <w:t>. John wiley &amp; sons.</w:t>
      </w:r>
    </w:p>
    <w:bookmarkEnd w:id="57"/>
    <w:p w14:paraId="130E3D87">
      <w:pPr>
        <w:pStyle w:val="30"/>
        <w:ind w:left="454" w:hanging="454"/>
        <w:jc w:val="both"/>
        <w:rPr>
          <w:rFonts w:hint="default" w:ascii="Times New Roman Regular" w:hAnsi="Times New Roman Regular" w:cs="Times New Roman Regular"/>
        </w:rPr>
      </w:pPr>
      <w:bookmarkStart w:id="58" w:name="ref-brier2012"/>
      <w:r>
        <w:rPr>
          <w:rFonts w:hint="default" w:ascii="Times New Roman Regular" w:hAnsi="Times New Roman Regular" w:cs="Times New Roman Regular"/>
        </w:rPr>
        <w:t xml:space="preserve">Brier, M. R., Thomas, J. B., Snyder, A. Z., Benzinger, T. L., Zhang, D., Raichle, M. E., Holtzman, D. M., Morris, J. C., &amp; Ances, B. M. (2012). Loss of intranetwork and internetwork resting state functional connections with alzheimer’s disease progression. </w:t>
      </w:r>
      <w:r>
        <w:rPr>
          <w:rFonts w:hint="default" w:ascii="Times New Roman Regular" w:hAnsi="Times New Roman Regular" w:cs="Times New Roman Regular"/>
          <w:i/>
          <w:iCs/>
        </w:rPr>
        <w:t>Journal of Neuroscience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32</w:t>
      </w:r>
      <w:r>
        <w:rPr>
          <w:rFonts w:hint="default" w:ascii="Times New Roman Regular" w:hAnsi="Times New Roman Regular" w:cs="Times New Roman Regular"/>
        </w:rPr>
        <w:t>(26), 8890–8899.</w:t>
      </w:r>
    </w:p>
    <w:bookmarkEnd w:id="58"/>
    <w:p w14:paraId="245B1486">
      <w:pPr>
        <w:pStyle w:val="30"/>
        <w:ind w:left="454" w:hanging="454"/>
        <w:jc w:val="both"/>
        <w:rPr>
          <w:rFonts w:hint="default" w:ascii="Times New Roman Regular" w:hAnsi="Times New Roman Regular" w:cs="Times New Roman Regular"/>
        </w:rPr>
      </w:pPr>
      <w:bookmarkStart w:id="59" w:name="ref-brini2020"/>
      <w:r>
        <w:rPr>
          <w:rFonts w:hint="default" w:ascii="Times New Roman Regular" w:hAnsi="Times New Roman Regular" w:cs="Times New Roman Regular"/>
        </w:rP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 </w:t>
      </w:r>
      <w:r>
        <w:rPr>
          <w:rFonts w:hint="default" w:ascii="Times New Roman Regular" w:hAnsi="Times New Roman Regular" w:cs="Times New Roman Regular"/>
          <w:i/>
          <w:iCs/>
        </w:rPr>
        <w:t>Neuropsychology Review</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30</w:t>
      </w:r>
      <w:r>
        <w:rPr>
          <w:rFonts w:hint="default" w:ascii="Times New Roman Regular" w:hAnsi="Times New Roman Regular" w:cs="Times New Roman Regular"/>
        </w:rPr>
        <w:t>, 1–24.</w:t>
      </w:r>
    </w:p>
    <w:bookmarkEnd w:id="59"/>
    <w:p w14:paraId="552F2029">
      <w:pPr>
        <w:pStyle w:val="30"/>
        <w:ind w:left="454" w:hanging="454"/>
        <w:jc w:val="both"/>
        <w:rPr>
          <w:rFonts w:hint="default" w:ascii="Times New Roman Regular" w:hAnsi="Times New Roman Regular" w:cs="Times New Roman Regular"/>
        </w:rPr>
      </w:pPr>
      <w:bookmarkStart w:id="60" w:name="ref-burkner2021"/>
      <w:r>
        <w:rPr>
          <w:rFonts w:hint="default" w:ascii="Times New Roman Regular" w:hAnsi="Times New Roman Regular" w:cs="Times New Roman Regular"/>
        </w:rPr>
        <w:t xml:space="preserve">Bürkner, P.-C. (2021). Bayesian item response modeling in r with brms and stan. </w:t>
      </w:r>
      <w:r>
        <w:rPr>
          <w:rFonts w:hint="default" w:ascii="Times New Roman Regular" w:hAnsi="Times New Roman Regular" w:cs="Times New Roman Regular"/>
          <w:i/>
          <w:iCs/>
        </w:rPr>
        <w:t>Journal of Statistical Software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100</w:t>
      </w:r>
      <w:r>
        <w:rPr>
          <w:rFonts w:hint="default" w:ascii="Times New Roman Regular" w:hAnsi="Times New Roman Regular" w:cs="Times New Roman Regular"/>
        </w:rPr>
        <w:t>, 1–54.</w:t>
      </w:r>
    </w:p>
    <w:bookmarkEnd w:id="60"/>
    <w:p w14:paraId="0BF1A9AD">
      <w:pPr>
        <w:pStyle w:val="30"/>
        <w:ind w:left="454" w:hanging="454"/>
        <w:jc w:val="both"/>
        <w:rPr>
          <w:rFonts w:hint="default" w:ascii="Times New Roman Regular" w:hAnsi="Times New Roman Regular" w:cs="Times New Roman Regular"/>
        </w:rPr>
      </w:pPr>
      <w:bookmarkStart w:id="61" w:name="ref-calabria2020"/>
      <w:r>
        <w:rPr>
          <w:rFonts w:hint="default" w:ascii="Times New Roman Regular" w:hAnsi="Times New Roman Regular" w:cs="Times New Roman Regular"/>
        </w:rPr>
        <w:t xml:space="preserve">Calabria, M., Hernández, M., Cattaneo, G., Suades, A., Serra, M., Juncadella, M., Reñé, R., Sala, I., Lleó, A., Ortiz-Gil, J., et al. (2020). Active bilingualism delays the onset of mild cognitive impairment. </w:t>
      </w:r>
      <w:r>
        <w:rPr>
          <w:rFonts w:hint="default" w:ascii="Times New Roman Regular" w:hAnsi="Times New Roman Regular" w:cs="Times New Roman Regular"/>
          <w:i/>
          <w:iCs/>
        </w:rPr>
        <w:t>Neuropsychologia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146</w:t>
      </w:r>
      <w:r>
        <w:rPr>
          <w:rFonts w:hint="default" w:ascii="Times New Roman Regular" w:hAnsi="Times New Roman Regular" w:cs="Times New Roman Regular"/>
        </w:rPr>
        <w:t>, 107528.</w:t>
      </w:r>
    </w:p>
    <w:bookmarkEnd w:id="61"/>
    <w:p w14:paraId="51071116">
      <w:pPr>
        <w:pStyle w:val="30"/>
        <w:ind w:left="454" w:hanging="454"/>
        <w:jc w:val="both"/>
        <w:rPr>
          <w:rFonts w:hint="default" w:ascii="Times New Roman Regular" w:hAnsi="Times New Roman Regular" w:cs="Times New Roman Regular"/>
        </w:rPr>
      </w:pPr>
      <w:bookmarkStart w:id="62" w:name="ref-chan2001"/>
      <w:r>
        <w:rPr>
          <w:rFonts w:hint="default" w:ascii="Times New Roman Regular" w:hAnsi="Times New Roman Regular" w:cs="Times New Roman Regular"/>
        </w:rPr>
        <w:t xml:space="preserve">Chan, D., Fox, N. C., Scahill, R. I., Crum, W. R., Whitwell, J. L., Leschziner, G., Rossor, A. M., Stevens, J. M., Cipolotti, L., &amp; Rossor, M. N. (2001). Patterns of temporal lobe atrophy in semantic dementia and alzheimer’s disease. </w:t>
      </w:r>
      <w:r>
        <w:rPr>
          <w:rFonts w:hint="default" w:ascii="Times New Roman Regular" w:hAnsi="Times New Roman Regular" w:cs="Times New Roman Regular"/>
          <w:i/>
          <w:iCs/>
        </w:rPr>
        <w:t>Annals of Neurology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49</w:t>
      </w:r>
      <w:r>
        <w:rPr>
          <w:rFonts w:hint="default" w:ascii="Times New Roman Regular" w:hAnsi="Times New Roman Regular" w:cs="Times New Roman Regular"/>
        </w:rPr>
        <w:t>(4), 433–442.</w:t>
      </w:r>
    </w:p>
    <w:bookmarkEnd w:id="62"/>
    <w:p w14:paraId="17275E86">
      <w:pPr>
        <w:pStyle w:val="30"/>
        <w:ind w:left="454" w:hanging="454"/>
        <w:jc w:val="both"/>
        <w:rPr>
          <w:rFonts w:hint="default" w:ascii="Times New Roman Regular" w:hAnsi="Times New Roman Regular" w:cs="Times New Roman Regular"/>
        </w:rPr>
      </w:pPr>
      <w:bookmarkStart w:id="63" w:name="ref-chertkow2010"/>
      <w:r>
        <w:rPr>
          <w:rFonts w:hint="default" w:ascii="Times New Roman Regular" w:hAnsi="Times New Roman Regular" w:cs="Times New Roman Regular"/>
        </w:rPr>
        <w:t xml:space="preserve">Chertkow, H., Whitehead, V., Phillips, N., Wolfson, C., Atherton, J., &amp; Bergman, H. (2010). Multilingualism (but not always bilingualism) delays the onset of alzheimer disease: Evidence from a bilingual community. </w:t>
      </w:r>
      <w:r>
        <w:rPr>
          <w:rFonts w:hint="default" w:ascii="Times New Roman Regular" w:hAnsi="Times New Roman Regular" w:cs="Times New Roman Regular"/>
          <w:i/>
          <w:iCs/>
        </w:rPr>
        <w:t>Alzheimer Disease &amp; Associated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24</w:t>
      </w:r>
      <w:r>
        <w:rPr>
          <w:rFonts w:hint="default" w:ascii="Times New Roman Regular" w:hAnsi="Times New Roman Regular" w:cs="Times New Roman Regular"/>
        </w:rPr>
        <w:t>(2), 118–125.</w:t>
      </w:r>
    </w:p>
    <w:bookmarkEnd w:id="63"/>
    <w:p w14:paraId="5C61F2E0">
      <w:pPr>
        <w:pStyle w:val="30"/>
        <w:ind w:left="454" w:hanging="454"/>
        <w:jc w:val="both"/>
        <w:rPr>
          <w:rFonts w:hint="default" w:ascii="Times New Roman Regular" w:hAnsi="Times New Roman Regular" w:cs="Times New Roman Regular"/>
        </w:rPr>
      </w:pPr>
      <w:bookmarkStart w:id="64" w:name="ref-clare2016"/>
      <w:r>
        <w:rPr>
          <w:rFonts w:hint="default" w:ascii="Times New Roman Regular" w:hAnsi="Times New Roman Regular" w:cs="Times New Roman Regular"/>
        </w:rPr>
        <w:t xml:space="preserve">Clare, L., Whitaker, C. J., Craik, F. I., Bialystok, E., Martyr, A., Martin-Forbes, P. A., Bastable, A. J., Pye, K. L., Quinn, C., Thomas, E. M., et al. (2016). Bilingualism, executive control, and age at diagnosis among people with early-stage a lzheimer’s disease in w ales. </w:t>
      </w:r>
      <w:r>
        <w:rPr>
          <w:rFonts w:hint="default" w:ascii="Times New Roman Regular" w:hAnsi="Times New Roman Regular" w:cs="Times New Roman Regular"/>
          <w:i/>
          <w:iCs/>
        </w:rPr>
        <w:t>Journal of Neuropsychology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10</w:t>
      </w:r>
      <w:r>
        <w:rPr>
          <w:rFonts w:hint="default" w:ascii="Times New Roman Regular" w:hAnsi="Times New Roman Regular" w:cs="Times New Roman Regular"/>
        </w:rPr>
        <w:t>(2), 163–185.</w:t>
      </w:r>
    </w:p>
    <w:bookmarkEnd w:id="64"/>
    <w:p w14:paraId="34AF5E0E">
      <w:pPr>
        <w:pStyle w:val="30"/>
        <w:ind w:left="454" w:hanging="454"/>
        <w:jc w:val="both"/>
        <w:rPr>
          <w:rFonts w:hint="default" w:ascii="Times New Roman Regular" w:hAnsi="Times New Roman Regular" w:cs="Times New Roman Regular"/>
        </w:rPr>
      </w:pPr>
      <w:bookmarkStart w:id="65" w:name="ref-comishen2021"/>
      <w:r>
        <w:rPr>
          <w:rFonts w:hint="default" w:ascii="Times New Roman Regular" w:hAnsi="Times New Roman Regular" w:cs="Times New Roman Regular"/>
        </w:rPr>
        <w:t xml:space="preserve">Comishen, K. J., &amp; Bialystok, E. (2021). Increases in attentional demands are associated with language group differences in working memory performance. </w:t>
      </w:r>
      <w:r>
        <w:rPr>
          <w:rFonts w:hint="default" w:ascii="Times New Roman Regular" w:hAnsi="Times New Roman Regular" w:cs="Times New Roman Regular"/>
          <w:i/>
          <w:iCs/>
        </w:rPr>
        <w:t>Brain and Cognition</w:t>
      </w:r>
      <w:r>
        <w:rPr>
          <w:rFonts w:hint="default" w:ascii="Times New Roman Regular" w:hAnsi="Times New Roman Regular" w:cs="Times New Roman Regular"/>
        </w:rPr>
        <w:t>.</w:t>
      </w:r>
    </w:p>
    <w:bookmarkEnd w:id="65"/>
    <w:p w14:paraId="46B82164">
      <w:pPr>
        <w:pStyle w:val="30"/>
        <w:ind w:left="454" w:hanging="454"/>
        <w:jc w:val="both"/>
        <w:rPr>
          <w:rFonts w:hint="default" w:ascii="Times New Roman Regular" w:hAnsi="Times New Roman Regular" w:cs="Times New Roman Regular"/>
        </w:rPr>
      </w:pPr>
      <w:bookmarkStart w:id="66" w:name="ref-craik2010"/>
      <w:r>
        <w:rPr>
          <w:rFonts w:hint="default" w:ascii="Times New Roman Regular" w:hAnsi="Times New Roman Regular" w:cs="Times New Roman Regular"/>
        </w:rPr>
        <w:t xml:space="preserve">Craik, F. I., Bialystok, E., &amp; Freedman, M. (2010). Delaying the onset of alzheimer disease: Bilingualism as a form of cognitive reserve. </w:t>
      </w:r>
      <w:r>
        <w:rPr>
          <w:rFonts w:hint="default" w:ascii="Times New Roman Regular" w:hAnsi="Times New Roman Regular" w:cs="Times New Roman Regular"/>
          <w:i/>
          <w:iCs/>
        </w:rPr>
        <w:t>Neurology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75</w:t>
      </w:r>
      <w:r>
        <w:rPr>
          <w:rFonts w:hint="default" w:ascii="Times New Roman Regular" w:hAnsi="Times New Roman Regular" w:cs="Times New Roman Regular"/>
        </w:rPr>
        <w:t>(19), 1726–1729.</w:t>
      </w:r>
    </w:p>
    <w:bookmarkEnd w:id="66"/>
    <w:p w14:paraId="20E5DF28">
      <w:pPr>
        <w:pStyle w:val="30"/>
        <w:ind w:left="454" w:hanging="454"/>
        <w:jc w:val="both"/>
        <w:rPr>
          <w:rFonts w:hint="default" w:ascii="Times New Roman Regular" w:hAnsi="Times New Roman Regular" w:cs="Times New Roman Regular"/>
        </w:rPr>
      </w:pPr>
      <w:bookmarkStart w:id="67" w:name="ref-davis2008"/>
      <w:r>
        <w:rPr>
          <w:rFonts w:hint="default" w:ascii="Times New Roman Regular" w:hAnsi="Times New Roman Regular" w:cs="Times New Roman Regular"/>
        </w:rPr>
        <w:t xml:space="preserve">Davis, S. W., Dennis, N. A., Daselaar, S. M., Fleck, M. S., &amp; Cabeza, R. (2008). Que PASA? The posterior–anterior shift in aging. </w:t>
      </w:r>
      <w:r>
        <w:rPr>
          <w:rFonts w:hint="default" w:ascii="Times New Roman Regular" w:hAnsi="Times New Roman Regular" w:cs="Times New Roman Regular"/>
          <w:i/>
          <w:iCs/>
        </w:rPr>
        <w:t>Cerebral Cortex</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18</w:t>
      </w:r>
      <w:r>
        <w:rPr>
          <w:rFonts w:hint="default" w:ascii="Times New Roman Regular" w:hAnsi="Times New Roman Regular" w:cs="Times New Roman Regular"/>
        </w:rPr>
        <w:t>(5), 1201–1209.</w:t>
      </w:r>
    </w:p>
    <w:bookmarkEnd w:id="67"/>
    <w:p w14:paraId="2DAED59A">
      <w:pPr>
        <w:pStyle w:val="30"/>
        <w:ind w:left="454" w:hanging="454"/>
        <w:jc w:val="both"/>
        <w:rPr>
          <w:rFonts w:hint="default" w:ascii="Times New Roman Regular" w:hAnsi="Times New Roman Regular" w:cs="Times New Roman Regular"/>
        </w:rPr>
      </w:pPr>
      <w:bookmarkStart w:id="68" w:name="ref-duncan2018"/>
      <w:r>
        <w:rPr>
          <w:rFonts w:hint="default" w:ascii="Times New Roman Regular" w:hAnsi="Times New Roman Regular" w:cs="Times New Roman Regular"/>
        </w:rPr>
        <w:t xml:space="preserve">Duncan, H. D., Nikelski, J., Pilon, R., Steffener, J., Chertkow, H., &amp; Phillips, N. A. (2018). Structural brain differences between monolingual and multilingual patients with mild cognitive impairment and alzheimer disease: Evidence for cognitive reserve. </w:t>
      </w:r>
      <w:r>
        <w:rPr>
          <w:rFonts w:hint="default" w:ascii="Times New Roman Regular" w:hAnsi="Times New Roman Regular" w:cs="Times New Roman Regular"/>
          <w:i/>
          <w:iCs/>
        </w:rPr>
        <w:t>Neuropsychologia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109</w:t>
      </w:r>
      <w:r>
        <w:rPr>
          <w:rFonts w:hint="default" w:ascii="Times New Roman Regular" w:hAnsi="Times New Roman Regular" w:cs="Times New Roman Regular"/>
        </w:rPr>
        <w:t>, 270–282.</w:t>
      </w:r>
    </w:p>
    <w:bookmarkEnd w:id="68"/>
    <w:p w14:paraId="27454725">
      <w:pPr>
        <w:pStyle w:val="30"/>
        <w:ind w:left="454" w:hanging="454"/>
        <w:jc w:val="both"/>
        <w:rPr>
          <w:rFonts w:hint="default" w:ascii="Times New Roman Regular" w:hAnsi="Times New Roman Regular" w:cs="Times New Roman Regular"/>
        </w:rPr>
      </w:pPr>
      <w:bookmarkStart w:id="69" w:name="ref-folstein1975"/>
      <w:r>
        <w:rPr>
          <w:rFonts w:hint="default" w:ascii="Times New Roman Regular" w:hAnsi="Times New Roman Regular" w:cs="Times New Roman Regular"/>
        </w:rPr>
        <w:t xml:space="preserve">Folstein, M. F., Folstein, S. E., &amp; McHugh, P. R. (1975). “Mini-mental state”: A practical method for grading the cognitive state of patients for the clinician. </w:t>
      </w:r>
      <w:r>
        <w:rPr>
          <w:rFonts w:hint="default" w:ascii="Times New Roman Regular" w:hAnsi="Times New Roman Regular" w:cs="Times New Roman Regular"/>
          <w:i/>
          <w:iCs/>
        </w:rPr>
        <w:t>Journal of Psychiatric Research</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12</w:t>
      </w:r>
      <w:r>
        <w:rPr>
          <w:rFonts w:hint="default" w:ascii="Times New Roman Regular" w:hAnsi="Times New Roman Regular" w:cs="Times New Roman Regular"/>
        </w:rPr>
        <w:t>(3), 189–198.</w:t>
      </w:r>
    </w:p>
    <w:bookmarkEnd w:id="69"/>
    <w:p w14:paraId="27C713E2">
      <w:pPr>
        <w:pStyle w:val="30"/>
        <w:ind w:left="454" w:hanging="454"/>
        <w:jc w:val="both"/>
        <w:rPr>
          <w:rFonts w:hint="default" w:ascii="Times New Roman Regular" w:hAnsi="Times New Roman Regular" w:cs="Times New Roman Regular"/>
        </w:rPr>
      </w:pPr>
      <w:bookmarkStart w:id="70" w:name="ref-frank2008"/>
      <w:r>
        <w:rPr>
          <w:rFonts w:hint="default" w:ascii="Times New Roman Regular" w:hAnsi="Times New Roman Regular" w:cs="Times New Roman Regular"/>
        </w:rPr>
        <w:t xml:space="preserve">Frank, A. R., &amp; Petersen, R. C. (2008). Mild cognitive impairment. In C. Duyckaerts &amp; I. Litvan (Eds.), </w:t>
      </w:r>
      <w:r>
        <w:rPr>
          <w:rFonts w:hint="default" w:ascii="Times New Roman Regular" w:hAnsi="Times New Roman Regular" w:cs="Times New Roman Regular"/>
          <w:i/>
          <w:iCs/>
        </w:rPr>
        <w:t>Handbook of clinical neurology</w:t>
      </w:r>
      <w:r>
        <w:rPr>
          <w:rFonts w:hint="default" w:ascii="Times New Roman Regular" w:hAnsi="Times New Roman Regular" w:cs="Times New Roman Regular"/>
        </w:rPr>
        <w:t xml:space="preserve"> (Vol. 89). Elsevier.</w:t>
      </w:r>
    </w:p>
    <w:bookmarkEnd w:id="70"/>
    <w:p w14:paraId="1B529CD8">
      <w:pPr>
        <w:pStyle w:val="30"/>
        <w:ind w:left="454" w:hanging="454"/>
        <w:jc w:val="both"/>
        <w:rPr>
          <w:rFonts w:hint="default" w:ascii="Times New Roman Regular" w:hAnsi="Times New Roman Regular" w:cs="Times New Roman Regular"/>
        </w:rPr>
      </w:pPr>
      <w:bookmarkStart w:id="71" w:name="ref-frazier2004"/>
      <w:r>
        <w:rPr>
          <w:rFonts w:hint="default" w:ascii="Times New Roman Regular" w:hAnsi="Times New Roman Regular" w:cs="Times New Roman Regular"/>
        </w:rPr>
        <w:t xml:space="preserve">Frazier, T. W., Demaree, H. A., &amp; Youngstrom, E. A. (2004). Meta-analysis of intellectual and neuropsychological test performance in attention-deficit/hyperactivity disorder. </w:t>
      </w:r>
      <w:r>
        <w:rPr>
          <w:rFonts w:hint="default" w:ascii="Times New Roman Regular" w:hAnsi="Times New Roman Regular" w:cs="Times New Roman Regular"/>
          <w:i/>
          <w:iCs/>
        </w:rPr>
        <w:t>Neuropsychology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18</w:t>
      </w:r>
      <w:r>
        <w:rPr>
          <w:rFonts w:hint="default" w:ascii="Times New Roman Regular" w:hAnsi="Times New Roman Regular" w:cs="Times New Roman Regular"/>
        </w:rPr>
        <w:t>(3), 543.</w:t>
      </w:r>
    </w:p>
    <w:bookmarkEnd w:id="71"/>
    <w:p w14:paraId="4B57D8D8">
      <w:pPr>
        <w:pStyle w:val="30"/>
        <w:ind w:left="454" w:hanging="454"/>
        <w:jc w:val="both"/>
        <w:rPr>
          <w:rFonts w:hint="default" w:ascii="Times New Roman Regular" w:hAnsi="Times New Roman Regular" w:cs="Times New Roman Regular"/>
        </w:rPr>
      </w:pPr>
      <w:bookmarkStart w:id="72" w:name="ref-fuller2014"/>
      <w:r>
        <w:rPr>
          <w:rFonts w:hint="default" w:ascii="Times New Roman Regular" w:hAnsi="Times New Roman Regular" w:cs="Times New Roman Regular"/>
        </w:rPr>
        <w:t xml:space="preserve">Fuller-Thomson, E., &amp; Kuh, D. (2014). </w:t>
      </w:r>
      <w:r>
        <w:rPr>
          <w:rFonts w:hint="default" w:ascii="Times New Roman Regular" w:hAnsi="Times New Roman Regular" w:cs="Times New Roman Regular"/>
          <w:i/>
          <w:iCs/>
        </w:rPr>
        <w:t>The healthy migrant effect may confound the link between bilingualism and delayed onset of alzheimer’s disease.</w:t>
      </w:r>
    </w:p>
    <w:bookmarkEnd w:id="72"/>
    <w:p w14:paraId="0426B029">
      <w:pPr>
        <w:pStyle w:val="30"/>
        <w:ind w:left="454" w:hanging="454"/>
        <w:jc w:val="both"/>
        <w:rPr>
          <w:rFonts w:hint="default" w:ascii="Times New Roman Regular" w:hAnsi="Times New Roman Regular" w:cs="Times New Roman Regular"/>
        </w:rPr>
      </w:pPr>
      <w:bookmarkStart w:id="73" w:name="ref-gatz2001"/>
      <w:r>
        <w:rPr>
          <w:rFonts w:hint="default" w:ascii="Times New Roman Regular" w:hAnsi="Times New Roman Regular" w:cs="Times New Roman Regular"/>
        </w:rPr>
        <w:t xml:space="preserve">Gatz, M., Svedberg, P., Pedersen, N. L., Mortimer, J. A., Berg, S., &amp; Johansson, B. (2001). Education and the risk of alzheimer’s disease: Findings from the study of dementia in swedish twins. </w:t>
      </w:r>
      <w:r>
        <w:rPr>
          <w:rFonts w:hint="default" w:ascii="Times New Roman Regular" w:hAnsi="Times New Roman Regular" w:cs="Times New Roman Regular"/>
          <w:i/>
          <w:iCs/>
        </w:rPr>
        <w:t>The Journals of Gerontology Series B: Psychological Sciences and Social Sciences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56</w:t>
      </w:r>
      <w:r>
        <w:rPr>
          <w:rFonts w:hint="default" w:ascii="Times New Roman Regular" w:hAnsi="Times New Roman Regular" w:cs="Times New Roman Regular"/>
        </w:rPr>
        <w:t>(5), P292–P300.</w:t>
      </w:r>
    </w:p>
    <w:bookmarkEnd w:id="73"/>
    <w:p w14:paraId="5B40D8A1">
      <w:pPr>
        <w:pStyle w:val="30"/>
        <w:ind w:left="454" w:hanging="454"/>
        <w:jc w:val="both"/>
        <w:rPr>
          <w:rFonts w:hint="default" w:ascii="Times New Roman Regular" w:hAnsi="Times New Roman Regular" w:cs="Times New Roman Regular"/>
        </w:rPr>
      </w:pPr>
      <w:bookmarkStart w:id="74" w:name="ref-gollan2012"/>
      <w:r>
        <w:rPr>
          <w:rFonts w:hint="default" w:ascii="Times New Roman Regular" w:hAnsi="Times New Roman Regular" w:cs="Times New Roman Regular"/>
        </w:rPr>
        <w:t xml:space="preserve">Gollan, T. H., Weissberger, G. H., Runnqvist, E., Montoya, R. I., &amp; Cera, C. M. (2012). Self-ratings of spoken language dominance: A multilingual naming test (MINT) and preliminary norms for young and aging spanish–english bilinguals. </w:t>
      </w:r>
      <w:r>
        <w:rPr>
          <w:rFonts w:hint="default" w:ascii="Times New Roman Regular" w:hAnsi="Times New Roman Regular" w:cs="Times New Roman Regular"/>
          <w:i/>
          <w:iCs/>
        </w:rPr>
        <w:t>Bilingualism: Language and Cognition</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15</w:t>
      </w:r>
      <w:r>
        <w:rPr>
          <w:rFonts w:hint="default" w:ascii="Times New Roman Regular" w:hAnsi="Times New Roman Regular" w:cs="Times New Roman Regular"/>
        </w:rPr>
        <w:t>(3), 594–615.</w:t>
      </w:r>
    </w:p>
    <w:bookmarkEnd w:id="74"/>
    <w:p w14:paraId="61C37A1E">
      <w:pPr>
        <w:pStyle w:val="30"/>
        <w:ind w:left="454" w:hanging="454"/>
        <w:jc w:val="both"/>
        <w:rPr>
          <w:rFonts w:hint="default" w:ascii="Times New Roman Regular" w:hAnsi="Times New Roman Regular" w:cs="Times New Roman Regular"/>
        </w:rPr>
      </w:pPr>
      <w:bookmarkStart w:id="75" w:name="ref-grady1994"/>
      <w:r>
        <w:rPr>
          <w:rFonts w:hint="default" w:ascii="Times New Roman Regular" w:hAnsi="Times New Roman Regular" w:cs="Times New Roman Regular"/>
        </w:rPr>
        <w:t xml:space="preserve">Grady, C. L., Maisog, J. M., Horwitz, B., Ungerleider, L. G., Mentis, M. J., Salerno, J. A., Pietrini, P., Wagner, E., &amp; Haxby, J. V. (1994). Age-related changes in cortical blood flow activation during visual processing of faces and location. </w:t>
      </w:r>
      <w:r>
        <w:rPr>
          <w:rFonts w:hint="default" w:ascii="Times New Roman Regular" w:hAnsi="Times New Roman Regular" w:cs="Times New Roman Regular"/>
          <w:i/>
          <w:iCs/>
        </w:rPr>
        <w:t>Journal of Neuroscience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14</w:t>
      </w:r>
      <w:r>
        <w:rPr>
          <w:rFonts w:hint="default" w:ascii="Times New Roman Regular" w:hAnsi="Times New Roman Regular" w:cs="Times New Roman Regular"/>
        </w:rPr>
        <w:t>(3), 1450–1462.</w:t>
      </w:r>
    </w:p>
    <w:bookmarkEnd w:id="75"/>
    <w:p w14:paraId="2330C4BD">
      <w:pPr>
        <w:pStyle w:val="30"/>
        <w:ind w:left="454" w:hanging="454"/>
        <w:jc w:val="both"/>
        <w:rPr>
          <w:rFonts w:hint="default" w:ascii="Times New Roman Regular" w:hAnsi="Times New Roman Regular" w:cs="Times New Roman Regular"/>
        </w:rPr>
      </w:pPr>
      <w:bookmarkStart w:id="76" w:name="ref-grundy2017"/>
      <w:r>
        <w:rPr>
          <w:rFonts w:hint="default" w:ascii="Times New Roman Regular" w:hAnsi="Times New Roman Regular" w:cs="Times New Roman Regular"/>
        </w:rPr>
        <w:t xml:space="preserve">Grundy, J. G., &amp; Anderson, J. A. (2017). Commentary: The relationship of bilingualism compared to monolingualism to the risk of cognitive decline or dementia: A systematic review and meta-analysis. </w:t>
      </w:r>
      <w:r>
        <w:rPr>
          <w:rFonts w:hint="default" w:ascii="Times New Roman Regular" w:hAnsi="Times New Roman Regular" w:cs="Times New Roman Regular"/>
          <w:i/>
          <w:iCs/>
        </w:rPr>
        <w:t>Frontiers in Aging Neuroscience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9</w:t>
      </w:r>
      <w:r>
        <w:rPr>
          <w:rFonts w:hint="default" w:ascii="Times New Roman Regular" w:hAnsi="Times New Roman Regular" w:cs="Times New Roman Regular"/>
        </w:rPr>
        <w:t>, 344.</w:t>
      </w:r>
    </w:p>
    <w:bookmarkEnd w:id="76"/>
    <w:p w14:paraId="20F85975">
      <w:pPr>
        <w:pStyle w:val="30"/>
        <w:ind w:left="454" w:hanging="454"/>
        <w:jc w:val="both"/>
        <w:rPr>
          <w:rFonts w:hint="default" w:ascii="Times New Roman Regular" w:hAnsi="Times New Roman Regular" w:cs="Times New Roman Regular"/>
        </w:rPr>
      </w:pPr>
      <w:bookmarkStart w:id="77" w:name="ref-hanna2011"/>
      <w:r>
        <w:rPr>
          <w:rFonts w:hint="default" w:ascii="Times New Roman Regular" w:hAnsi="Times New Roman Regular" w:cs="Times New Roman Regular"/>
        </w:rPr>
        <w:t xml:space="preserve">Hanna-Pladdy, B., &amp; MacKay, A. (2011). The relation between instrumental musical activity and cognitive aging. </w:t>
      </w:r>
      <w:r>
        <w:rPr>
          <w:rFonts w:hint="default" w:ascii="Times New Roman Regular" w:hAnsi="Times New Roman Regular" w:cs="Times New Roman Regular"/>
          <w:i/>
          <w:iCs/>
        </w:rPr>
        <w:t>Neuropsychology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25</w:t>
      </w:r>
      <w:r>
        <w:rPr>
          <w:rFonts w:hint="default" w:ascii="Times New Roman Regular" w:hAnsi="Times New Roman Regular" w:cs="Times New Roman Regular"/>
        </w:rPr>
        <w:t>(3), 378.</w:t>
      </w:r>
    </w:p>
    <w:bookmarkEnd w:id="77"/>
    <w:p w14:paraId="728CAC53">
      <w:pPr>
        <w:pStyle w:val="30"/>
        <w:ind w:left="454" w:hanging="454"/>
        <w:jc w:val="both"/>
        <w:rPr>
          <w:rFonts w:hint="default" w:ascii="Times New Roman Regular" w:hAnsi="Times New Roman Regular" w:cs="Times New Roman Regular"/>
        </w:rPr>
      </w:pPr>
      <w:bookmarkStart w:id="78" w:name="ref-hase2018"/>
      <w:r>
        <w:rPr>
          <w:rFonts w:hint="default" w:ascii="Times New Roman Regular" w:hAnsi="Times New Roman Regular" w:cs="Times New Roman Regular"/>
        </w:rPr>
        <w:t xml:space="preserve">Hase, Y., Horsburgh, K., Ihara, M., &amp; Kalaria, R. N. (2018). White matter degeneration in vascular and other ageing-related dementias. </w:t>
      </w:r>
      <w:r>
        <w:rPr>
          <w:rFonts w:hint="default" w:ascii="Times New Roman Regular" w:hAnsi="Times New Roman Regular" w:cs="Times New Roman Regular"/>
          <w:i/>
          <w:iCs/>
        </w:rPr>
        <w:t>Journal of Neurochemistry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144</w:t>
      </w:r>
      <w:r>
        <w:rPr>
          <w:rFonts w:hint="default" w:ascii="Times New Roman Regular" w:hAnsi="Times New Roman Regular" w:cs="Times New Roman Regular"/>
        </w:rPr>
        <w:t>(5), 617–633.</w:t>
      </w:r>
    </w:p>
    <w:bookmarkEnd w:id="78"/>
    <w:p w14:paraId="19BBEFA7">
      <w:pPr>
        <w:pStyle w:val="30"/>
        <w:ind w:left="454" w:hanging="454"/>
        <w:jc w:val="both"/>
        <w:rPr>
          <w:rFonts w:hint="default" w:ascii="Times New Roman Regular" w:hAnsi="Times New Roman Regular" w:cs="Times New Roman Regular"/>
        </w:rPr>
      </w:pPr>
      <w:bookmarkStart w:id="79" w:name="ref-homer1994"/>
      <w:r>
        <w:rPr>
          <w:rFonts w:hint="default" w:ascii="Times New Roman Regular" w:hAnsi="Times New Roman Regular" w:cs="Times New Roman Regular"/>
        </w:rPr>
        <w:t xml:space="preserve">Homer, J., Alberts, M. J., Dawson, D. V., &amp; Cook, G. M. (1994). Swallowing in alzheimer’s disease. </w:t>
      </w:r>
      <w:r>
        <w:rPr>
          <w:rFonts w:hint="default" w:ascii="Times New Roman Regular" w:hAnsi="Times New Roman Regular" w:cs="Times New Roman Regular"/>
          <w:i/>
          <w:iCs/>
        </w:rPr>
        <w:t>Alzheimer Disease &amp; Associated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8</w:t>
      </w:r>
      <w:r>
        <w:rPr>
          <w:rFonts w:hint="default" w:ascii="Times New Roman Regular" w:hAnsi="Times New Roman Regular" w:cs="Times New Roman Regular"/>
        </w:rPr>
        <w:t>(3), 177–189.</w:t>
      </w:r>
    </w:p>
    <w:bookmarkEnd w:id="79"/>
    <w:p w14:paraId="59E5AB1D">
      <w:pPr>
        <w:pStyle w:val="30"/>
        <w:ind w:left="454" w:hanging="454"/>
        <w:jc w:val="both"/>
        <w:rPr>
          <w:rFonts w:hint="default" w:ascii="Times New Roman Regular" w:hAnsi="Times New Roman Regular" w:cs="Times New Roman Regular"/>
        </w:rPr>
      </w:pPr>
      <w:bookmarkStart w:id="80" w:name="ref-jafari2021"/>
      <w:r>
        <w:rPr>
          <w:rFonts w:hint="default" w:ascii="Times New Roman Regular" w:hAnsi="Times New Roman Regular" w:cs="Times New Roman Regular"/>
        </w:rPr>
        <w:t xml:space="preserve">Jafari, Z., Perani, D., Kolb, B. E., &amp; Mohajerani, M. H. (2021). Bilingual experience and intrinsic functional connectivity in adults, aging, and alzheimer’s disease. </w:t>
      </w:r>
      <w:r>
        <w:rPr>
          <w:rFonts w:hint="default" w:ascii="Times New Roman Regular" w:hAnsi="Times New Roman Regular" w:cs="Times New Roman Regular"/>
          <w:i/>
          <w:iCs/>
        </w:rPr>
        <w:t>Annals of the New York Academy of Sciences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1505</w:t>
      </w:r>
      <w:r>
        <w:rPr>
          <w:rFonts w:hint="default" w:ascii="Times New Roman Regular" w:hAnsi="Times New Roman Regular" w:cs="Times New Roman Regular"/>
        </w:rPr>
        <w:t>(1), 8–22.</w:t>
      </w:r>
    </w:p>
    <w:bookmarkEnd w:id="80"/>
    <w:p w14:paraId="5AE26262">
      <w:pPr>
        <w:pStyle w:val="30"/>
        <w:ind w:left="454" w:hanging="454"/>
        <w:jc w:val="both"/>
        <w:rPr>
          <w:rFonts w:hint="default" w:ascii="Times New Roman Regular" w:hAnsi="Times New Roman Regular" w:cs="Times New Roman Regular"/>
        </w:rPr>
      </w:pPr>
      <w:bookmarkStart w:id="81" w:name="ref-kay2023"/>
      <w:r>
        <w:rPr>
          <w:rFonts w:hint="default" w:ascii="Times New Roman Regular" w:hAnsi="Times New Roman Regular" w:cs="Times New Roman Regular"/>
        </w:rPr>
        <w:t xml:space="preserve">Kay, M., &amp; Mastny, T. (2023). Tidybayes: Tidy data and geoms for bayesian models (v3. 0.4). </w:t>
      </w:r>
      <w:r>
        <w:rPr>
          <w:rFonts w:hint="default" w:ascii="Times New Roman Regular" w:hAnsi="Times New Roman Regular" w:cs="Times New Roman Regular"/>
          <w:i/>
          <w:iCs/>
        </w:rPr>
        <w:t>Tidybayes: Tidy Data and “Geoms” for Bayesian Models (3.0. 6)</w:t>
      </w:r>
      <w:r>
        <w:rPr>
          <w:rFonts w:hint="default" w:ascii="Times New Roman Regular" w:hAnsi="Times New Roman Regular" w:cs="Times New Roman Regular"/>
        </w:rPr>
        <w:t>.</w:t>
      </w:r>
    </w:p>
    <w:bookmarkEnd w:id="81"/>
    <w:p w14:paraId="39E52431">
      <w:pPr>
        <w:pStyle w:val="30"/>
        <w:ind w:left="454" w:hanging="454"/>
        <w:jc w:val="both"/>
        <w:rPr>
          <w:rFonts w:hint="default" w:ascii="Times New Roman Regular" w:hAnsi="Times New Roman Regular" w:cs="Times New Roman Regular"/>
        </w:rPr>
      </w:pPr>
      <w:bookmarkStart w:id="82" w:name="ref-kepp2016"/>
      <w:r>
        <w:rPr>
          <w:rFonts w:hint="default" w:ascii="Times New Roman Regular" w:hAnsi="Times New Roman Regular" w:cs="Times New Roman Regular"/>
        </w:rPr>
        <w:t xml:space="preserve">Kepp, K. P. (2016). Ten challenges of the amyloid hypothesis of alzheimer’s disease. </w:t>
      </w:r>
      <w:r>
        <w:rPr>
          <w:rFonts w:hint="default" w:ascii="Times New Roman Regular" w:hAnsi="Times New Roman Regular" w:cs="Times New Roman Regular"/>
          <w:i/>
          <w:iCs/>
        </w:rPr>
        <w:t>Journal of Alzheimer’s Disease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55</w:t>
      </w:r>
      <w:r>
        <w:rPr>
          <w:rFonts w:hint="default" w:ascii="Times New Roman Regular" w:hAnsi="Times New Roman Regular" w:cs="Times New Roman Regular"/>
        </w:rPr>
        <w:t>(2), 447–457.</w:t>
      </w:r>
    </w:p>
    <w:bookmarkEnd w:id="82"/>
    <w:p w14:paraId="26AA366E">
      <w:pPr>
        <w:pStyle w:val="30"/>
        <w:ind w:left="454" w:hanging="454"/>
        <w:jc w:val="both"/>
        <w:rPr>
          <w:rFonts w:hint="default" w:ascii="Times New Roman Regular" w:hAnsi="Times New Roman Regular" w:cs="Times New Roman Regular"/>
        </w:rPr>
      </w:pPr>
      <w:bookmarkStart w:id="83" w:name="ref-kowoll2016"/>
      <w:r>
        <w:rPr>
          <w:rFonts w:hint="default" w:ascii="Times New Roman Regular" w:hAnsi="Times New Roman Regular" w:cs="Times New Roman Regular"/>
        </w:rPr>
        <w:t xml:space="preserve">Kowoll, M. E., Degen, C., Gorenc, L., Küntzelmann, A., Fellhauer, I., Giesel, F., &amp; Schröder, J. (2016). Bilingualism as a contributor to cognitive reserve? Evidence from cerebral glucose metabolism in mild cognitive impairment and alzheimer’s disease. </w:t>
      </w:r>
      <w:r>
        <w:rPr>
          <w:rFonts w:hint="default" w:ascii="Times New Roman Regular" w:hAnsi="Times New Roman Regular" w:cs="Times New Roman Regular"/>
          <w:i/>
          <w:iCs/>
        </w:rPr>
        <w:t>Frontiers in Psychiatry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7</w:t>
      </w:r>
      <w:r>
        <w:rPr>
          <w:rFonts w:hint="default" w:ascii="Times New Roman Regular" w:hAnsi="Times New Roman Regular" w:cs="Times New Roman Regular"/>
        </w:rPr>
        <w:t xml:space="preserve">, 62.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"https://doi.org/10.3389/fpsyt.2016.00062"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https://doi.org/10.3389/fpsyt.2016.00062</w:t>
      </w:r>
      <w:r>
        <w:rPr>
          <w:rStyle w:val="20"/>
          <w:rFonts w:hint="default" w:ascii="Times New Roman Regular" w:hAnsi="Times New Roman Regular" w:cs="Times New Roman Regular"/>
        </w:rPr>
        <w:fldChar w:fldCharType="end"/>
      </w:r>
    </w:p>
    <w:bookmarkEnd w:id="83"/>
    <w:p w14:paraId="6AF6F080">
      <w:pPr>
        <w:pStyle w:val="30"/>
        <w:ind w:left="454" w:hanging="454"/>
        <w:jc w:val="both"/>
        <w:rPr>
          <w:rFonts w:hint="default" w:ascii="Times New Roman Regular" w:hAnsi="Times New Roman Regular" w:cs="Times New Roman Regular"/>
        </w:rPr>
      </w:pPr>
      <w:bookmarkStart w:id="84" w:name="ref-lawton2015"/>
      <w:r>
        <w:rPr>
          <w:rFonts w:hint="default" w:ascii="Times New Roman Regular" w:hAnsi="Times New Roman Regular" w:cs="Times New Roman Regular"/>
        </w:rPr>
        <w:t xml:space="preserve">Lawton, D. M., Gasquoine, P. G., &amp; Weimer, A. A. (2015). Age of dementia diagnosis in community dwelling bilingual and monolingual hispanic americans. </w:t>
      </w:r>
      <w:r>
        <w:rPr>
          <w:rFonts w:hint="default" w:ascii="Times New Roman Regular" w:hAnsi="Times New Roman Regular" w:cs="Times New Roman Regular"/>
          <w:i/>
          <w:iCs/>
        </w:rPr>
        <w:t>Cortex</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66</w:t>
      </w:r>
      <w:r>
        <w:rPr>
          <w:rFonts w:hint="default" w:ascii="Times New Roman Regular" w:hAnsi="Times New Roman Regular" w:cs="Times New Roman Regular"/>
        </w:rPr>
        <w:t xml:space="preserve">, 141–145.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"https://doi.org/10.1016/j.cortex.2015.02.003"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https://doi.org/10.1016/j.cortex.2015.02.003</w:t>
      </w:r>
      <w:r>
        <w:rPr>
          <w:rStyle w:val="20"/>
          <w:rFonts w:hint="default" w:ascii="Times New Roman Regular" w:hAnsi="Times New Roman Regular" w:cs="Times New Roman Regular"/>
        </w:rPr>
        <w:fldChar w:fldCharType="end"/>
      </w:r>
    </w:p>
    <w:bookmarkEnd w:id="84"/>
    <w:p w14:paraId="1E7556D6">
      <w:pPr>
        <w:pStyle w:val="30"/>
        <w:ind w:left="454" w:hanging="454"/>
        <w:jc w:val="both"/>
        <w:rPr>
          <w:rFonts w:hint="default" w:ascii="Times New Roman Regular" w:hAnsi="Times New Roman Regular" w:cs="Times New Roman Regular"/>
        </w:rPr>
      </w:pPr>
      <w:bookmarkStart w:id="85" w:name="ref-lee2022"/>
      <w:r>
        <w:rPr>
          <w:rFonts w:hint="default" w:ascii="Times New Roman Regular" w:hAnsi="Times New Roman Regular" w:cs="Times New Roman Regular"/>
        </w:rPr>
        <w:t xml:space="preserve">Lee, Y.-Y. (2022). Bilingualism, dementia, and the neurological mechanisms in between: The need for a more critical look into dementia subtypes. </w:t>
      </w:r>
      <w:r>
        <w:rPr>
          <w:rFonts w:hint="default" w:ascii="Times New Roman Regular" w:hAnsi="Times New Roman Regular" w:cs="Times New Roman Regular"/>
          <w:i/>
          <w:iCs/>
        </w:rPr>
        <w:t>Frontiers in Aging Neuroscience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14</w:t>
      </w:r>
      <w:r>
        <w:rPr>
          <w:rFonts w:hint="default" w:ascii="Times New Roman Regular" w:hAnsi="Times New Roman Regular" w:cs="Times New Roman Regular"/>
        </w:rPr>
        <w:t xml:space="preserve">, 872508.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"https://doi.org/10.3389/fnagi.2022.872508"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https://doi.org/10.3389/fnagi.2022.872508</w:t>
      </w:r>
      <w:r>
        <w:rPr>
          <w:rStyle w:val="20"/>
          <w:rFonts w:hint="default" w:ascii="Times New Roman Regular" w:hAnsi="Times New Roman Regular" w:cs="Times New Roman Regular"/>
        </w:rPr>
        <w:fldChar w:fldCharType="end"/>
      </w:r>
    </w:p>
    <w:bookmarkEnd w:id="85"/>
    <w:p w14:paraId="16911EA5">
      <w:pPr>
        <w:pStyle w:val="30"/>
        <w:ind w:left="454" w:hanging="454"/>
        <w:jc w:val="both"/>
        <w:rPr>
          <w:rFonts w:hint="default" w:ascii="Times New Roman Regular" w:hAnsi="Times New Roman Regular" w:cs="Times New Roman Regular"/>
        </w:rPr>
      </w:pPr>
      <w:bookmarkStart w:id="86" w:name="ref-de2024"/>
      <w:r>
        <w:rPr>
          <w:rFonts w:hint="default" w:ascii="Times New Roman Regular" w:hAnsi="Times New Roman Regular" w:cs="Times New Roman Regular"/>
        </w:rPr>
        <w:t xml:space="preserve">Leon, J. de, Grasso, S. M., Allen, I. E., Escueta, D. P., Vega, Y., Eshghavi, M., Watson, C., Dronkers, N., Gorno-Tempini, M. L., &amp; Henry, M. L. (2024). Examining the relation between bilingualism and age of symptom onset in frontotemporal dementia. </w:t>
      </w:r>
      <w:r>
        <w:rPr>
          <w:rFonts w:hint="default" w:ascii="Times New Roman Regular" w:hAnsi="Times New Roman Regular" w:cs="Times New Roman Regular"/>
          <w:i/>
          <w:iCs/>
        </w:rPr>
        <w:t>Bilingualism: Language and Cognition</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27</w:t>
      </w:r>
      <w:r>
        <w:rPr>
          <w:rFonts w:hint="default" w:ascii="Times New Roman Regular" w:hAnsi="Times New Roman Regular" w:cs="Times New Roman Regular"/>
        </w:rPr>
        <w:t>(2), 274–286.</w:t>
      </w:r>
    </w:p>
    <w:bookmarkEnd w:id="86"/>
    <w:p w14:paraId="58515DAE">
      <w:pPr>
        <w:pStyle w:val="30"/>
        <w:ind w:left="454" w:hanging="454"/>
        <w:jc w:val="both"/>
        <w:rPr>
          <w:rFonts w:hint="default" w:ascii="Times New Roman Regular" w:hAnsi="Times New Roman Regular" w:cs="Times New Roman Regular"/>
        </w:rPr>
      </w:pPr>
      <w:bookmarkStart w:id="87" w:name="ref-de2020"/>
      <w:r>
        <w:rPr>
          <w:rFonts w:hint="default" w:ascii="Times New Roman Regular" w:hAnsi="Times New Roman Regular" w:cs="Times New Roman Regular"/>
        </w:rPr>
        <w:t xml:space="preserve">Leon, J. de, Grasso, S. M., Welch, A., Miller, Z., Shwe, W., Rabinovici, G. D., Miller, B. L., Henry, M. L., &amp; Gorno-Tempini, M. L. (2020). Effects of bilingualism on age at onset in two clinical alzheimer’s disease variants. </w:t>
      </w:r>
      <w:r>
        <w:rPr>
          <w:rFonts w:hint="default" w:ascii="Times New Roman Regular" w:hAnsi="Times New Roman Regular" w:cs="Times New Roman Regular"/>
          <w:i/>
          <w:iCs/>
        </w:rPr>
        <w:t>Alzheimer’s &amp; Dementia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16</w:t>
      </w:r>
      <w:r>
        <w:rPr>
          <w:rFonts w:hint="default" w:ascii="Times New Roman Regular" w:hAnsi="Times New Roman Regular" w:cs="Times New Roman Regular"/>
        </w:rPr>
        <w:t>(12), 1704–1713.</w:t>
      </w:r>
    </w:p>
    <w:bookmarkEnd w:id="87"/>
    <w:p w14:paraId="4483CFD3">
      <w:pPr>
        <w:pStyle w:val="30"/>
        <w:ind w:left="454" w:hanging="454"/>
        <w:jc w:val="both"/>
        <w:rPr>
          <w:rFonts w:hint="default" w:ascii="Times New Roman Regular" w:hAnsi="Times New Roman Regular" w:cs="Times New Roman Regular"/>
        </w:rPr>
      </w:pPr>
      <w:bookmarkStart w:id="88" w:name="ref-light1984"/>
      <w:r>
        <w:rPr>
          <w:rFonts w:hint="default" w:ascii="Times New Roman Regular" w:hAnsi="Times New Roman Regular" w:cs="Times New Roman Regular"/>
        </w:rPr>
        <w:t xml:space="preserve">Light, R. J., &amp; Pillemer, D. B. (1984). </w:t>
      </w:r>
      <w:r>
        <w:rPr>
          <w:rFonts w:hint="default" w:ascii="Times New Roman Regular" w:hAnsi="Times New Roman Regular" w:cs="Times New Roman Regular"/>
          <w:i/>
          <w:iCs/>
        </w:rPr>
        <w:t>Summing up: The science of reviewing research</w:t>
      </w:r>
      <w:r>
        <w:rPr>
          <w:rFonts w:hint="default" w:ascii="Times New Roman Regular" w:hAnsi="Times New Roman Regular" w:cs="Times New Roman Regular"/>
        </w:rPr>
        <w:t>. Harvard University Press.</w:t>
      </w:r>
    </w:p>
    <w:bookmarkEnd w:id="88"/>
    <w:p w14:paraId="0FC8B5E9">
      <w:pPr>
        <w:pStyle w:val="30"/>
        <w:ind w:left="454" w:hanging="454"/>
        <w:jc w:val="both"/>
        <w:rPr>
          <w:rFonts w:hint="default" w:ascii="Times New Roman Regular" w:hAnsi="Times New Roman Regular" w:cs="Times New Roman Regular"/>
        </w:rPr>
      </w:pPr>
      <w:bookmarkStart w:id="89" w:name="ref-ljungberg2016"/>
      <w:r>
        <w:rPr>
          <w:rFonts w:hint="default" w:ascii="Times New Roman Regular" w:hAnsi="Times New Roman Regular" w:cs="Times New Roman Regular"/>
        </w:rPr>
        <w:t xml:space="preserve">Ljungberg, J. K., Hansson, P., Adolfsson, R., &amp; Nilsson, L.-G. (2016). The effect of language skills on dementia in a swedish longitudinal cohort. </w:t>
      </w:r>
      <w:r>
        <w:rPr>
          <w:rFonts w:hint="default" w:ascii="Times New Roman Regular" w:hAnsi="Times New Roman Regular" w:cs="Times New Roman Regular"/>
          <w:i/>
          <w:iCs/>
        </w:rPr>
        <w:t>Linguistic Approaches to Bilingualism</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6</w:t>
      </w:r>
      <w:r>
        <w:rPr>
          <w:rFonts w:hint="default" w:ascii="Times New Roman Regular" w:hAnsi="Times New Roman Regular" w:cs="Times New Roman Regular"/>
        </w:rPr>
        <w:t>(1-2), 190–204.</w:t>
      </w:r>
    </w:p>
    <w:bookmarkEnd w:id="89"/>
    <w:p w14:paraId="21F76079">
      <w:pPr>
        <w:pStyle w:val="30"/>
        <w:ind w:left="454" w:hanging="454"/>
        <w:jc w:val="both"/>
        <w:rPr>
          <w:rFonts w:hint="default" w:ascii="Times New Roman Regular" w:hAnsi="Times New Roman Regular" w:cs="Times New Roman Regular"/>
        </w:rPr>
      </w:pPr>
      <w:bookmarkStart w:id="90" w:name="ref-massoud2010"/>
      <w:r>
        <w:rPr>
          <w:rFonts w:hint="default" w:ascii="Times New Roman Regular" w:hAnsi="Times New Roman Regular" w:cs="Times New Roman Regular"/>
        </w:rPr>
        <w:t xml:space="preserve">Massoud, F., &amp; Gauthier, S. (2010). Update on the pharmacological treatment of alzheimer’s disease. </w:t>
      </w:r>
      <w:r>
        <w:rPr>
          <w:rFonts w:hint="default" w:ascii="Times New Roman Regular" w:hAnsi="Times New Roman Regular" w:cs="Times New Roman Regular"/>
          <w:i/>
          <w:iCs/>
        </w:rPr>
        <w:t>Current Neuropharmacology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8</w:t>
      </w:r>
      <w:r>
        <w:rPr>
          <w:rFonts w:hint="default" w:ascii="Times New Roman Regular" w:hAnsi="Times New Roman Regular" w:cs="Times New Roman Regular"/>
        </w:rPr>
        <w:t>(1), 69–80.</w:t>
      </w:r>
    </w:p>
    <w:bookmarkEnd w:id="90"/>
    <w:p w14:paraId="2A3CB79B">
      <w:pPr>
        <w:pStyle w:val="30"/>
        <w:ind w:left="454" w:hanging="454"/>
        <w:jc w:val="both"/>
        <w:rPr>
          <w:rFonts w:hint="default" w:ascii="Times New Roman Regular" w:hAnsi="Times New Roman Regular" w:cs="Times New Roman Regular"/>
        </w:rPr>
      </w:pPr>
      <w:bookmarkStart w:id="91" w:name="ref-meda2013"/>
      <w:r>
        <w:rPr>
          <w:rFonts w:hint="default" w:ascii="Times New Roman Regular" w:hAnsi="Times New Roman Regular" w:cs="Times New Roman Regular"/>
        </w:rPr>
        <w:t xml:space="preserve">Meda, S. A., Koran, M. E. I., Pryweller, J. R., Vega, J. N., &amp; Thornton-Wells, T. A. (2013). Genetic interactions associated with 12-month atrophy in hippocampus and entorhinal cortex in alzheimer’s disease. </w:t>
      </w:r>
      <w:r>
        <w:rPr>
          <w:rFonts w:hint="default" w:ascii="Times New Roman Regular" w:hAnsi="Times New Roman Regular" w:cs="Times New Roman Regular"/>
          <w:i/>
          <w:iCs/>
        </w:rPr>
        <w:t>Neurobiology of Aging</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34</w:t>
      </w:r>
      <w:r>
        <w:rPr>
          <w:rFonts w:hint="default" w:ascii="Times New Roman Regular" w:hAnsi="Times New Roman Regular" w:cs="Times New Roman Regular"/>
        </w:rPr>
        <w:t xml:space="preserve">, 9–18.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"https://doi.org/10.1016/j.neurobiolaging.2012.09.020"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https://doi.org/10.1016/j.neurobiolaging.2012.09.020</w:t>
      </w:r>
      <w:r>
        <w:rPr>
          <w:rStyle w:val="20"/>
          <w:rFonts w:hint="default" w:ascii="Times New Roman Regular" w:hAnsi="Times New Roman Regular" w:cs="Times New Roman Regular"/>
        </w:rPr>
        <w:fldChar w:fldCharType="end"/>
      </w:r>
    </w:p>
    <w:bookmarkEnd w:id="91"/>
    <w:p w14:paraId="765C913E">
      <w:pPr>
        <w:pStyle w:val="30"/>
        <w:ind w:left="454" w:hanging="454"/>
        <w:jc w:val="both"/>
        <w:rPr>
          <w:rFonts w:hint="default" w:ascii="Times New Roman Regular" w:hAnsi="Times New Roman Regular" w:cs="Times New Roman Regular"/>
        </w:rPr>
      </w:pPr>
      <w:bookmarkStart w:id="92" w:name="ref-mendez2020"/>
      <w:r>
        <w:rPr>
          <w:rFonts w:hint="default" w:ascii="Times New Roman Regular" w:hAnsi="Times New Roman Regular" w:cs="Times New Roman Regular"/>
        </w:rPr>
        <w:t xml:space="preserve">Mendez, M. F., Chavez, D., &amp; Akhlaghipour, G. (2020). Bilingualism delays expression of alzheimer’s clinical syndrome. </w:t>
      </w:r>
      <w:r>
        <w:rPr>
          <w:rFonts w:hint="default" w:ascii="Times New Roman Regular" w:hAnsi="Times New Roman Regular" w:cs="Times New Roman Regular"/>
          <w:i/>
          <w:iCs/>
        </w:rPr>
        <w:t>Dementia and Geriatric Cognitive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48</w:t>
      </w:r>
      <w:r>
        <w:rPr>
          <w:rFonts w:hint="default" w:ascii="Times New Roman Regular" w:hAnsi="Times New Roman Regular" w:cs="Times New Roman Regular"/>
        </w:rPr>
        <w:t>(5-6), 281–289.</w:t>
      </w:r>
    </w:p>
    <w:bookmarkEnd w:id="92"/>
    <w:p w14:paraId="583CF2DB">
      <w:pPr>
        <w:pStyle w:val="30"/>
        <w:ind w:left="454" w:hanging="454"/>
        <w:jc w:val="both"/>
        <w:rPr>
          <w:rFonts w:hint="default" w:ascii="Times New Roman Regular" w:hAnsi="Times New Roman Regular" w:cs="Times New Roman Regular"/>
        </w:rPr>
      </w:pPr>
      <w:bookmarkStart w:id="93" w:name="ref-de2018"/>
      <w:r>
        <w:rPr>
          <w:rFonts w:hint="default" w:ascii="Times New Roman Regular" w:hAnsi="Times New Roman Regular" w:cs="Times New Roman Regular"/>
        </w:rPr>
        <w:t xml:space="preserve">Mooij, S. M. de, Henson, R. N., Waldorp, L. J., &amp; Kievit, R. A. (2018). Age differentiation within gray matter, white matter, and between memory and white matter in an adult life span cohort. </w:t>
      </w:r>
      <w:r>
        <w:rPr>
          <w:rFonts w:hint="default" w:ascii="Times New Roman Regular" w:hAnsi="Times New Roman Regular" w:cs="Times New Roman Regular"/>
          <w:i/>
          <w:iCs/>
        </w:rPr>
        <w:t>Journal of Neuroscience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38</w:t>
      </w:r>
      <w:r>
        <w:rPr>
          <w:rFonts w:hint="default" w:ascii="Times New Roman Regular" w:hAnsi="Times New Roman Regular" w:cs="Times New Roman Regular"/>
        </w:rPr>
        <w:t>(25), 5826–5836.</w:t>
      </w:r>
    </w:p>
    <w:bookmarkEnd w:id="93"/>
    <w:p w14:paraId="353D94A6">
      <w:pPr>
        <w:pStyle w:val="30"/>
        <w:ind w:left="454" w:hanging="454"/>
        <w:jc w:val="both"/>
        <w:rPr>
          <w:rFonts w:hint="default" w:ascii="Times New Roman Regular" w:hAnsi="Times New Roman Regular" w:cs="Times New Roman Regular"/>
        </w:rPr>
      </w:pPr>
      <w:bookmarkStart w:id="94" w:name="ref-mukadam2017"/>
      <w:r>
        <w:rPr>
          <w:rFonts w:hint="default" w:ascii="Times New Roman Regular" w:hAnsi="Times New Roman Regular" w:cs="Times New Roman Regular"/>
        </w:rPr>
        <w:t xml:space="preserve">Mukadam, N., Sommerlad, A., &amp; Livingston, G. (2017). The relationship of bilingualism compared to monolingualism to the risk of cognitive decline or dementia: A systematic review and meta-analysis. </w:t>
      </w:r>
      <w:r>
        <w:rPr>
          <w:rFonts w:hint="default" w:ascii="Times New Roman Regular" w:hAnsi="Times New Roman Regular" w:cs="Times New Roman Regular"/>
          <w:i/>
          <w:iCs/>
        </w:rPr>
        <w:t>Journal of Alzheimer’s Disease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58</w:t>
      </w:r>
      <w:r>
        <w:rPr>
          <w:rFonts w:hint="default" w:ascii="Times New Roman Regular" w:hAnsi="Times New Roman Regular" w:cs="Times New Roman Regular"/>
        </w:rPr>
        <w:t>(1), 45–54.</w:t>
      </w:r>
    </w:p>
    <w:bookmarkEnd w:id="94"/>
    <w:p w14:paraId="167C7D06">
      <w:pPr>
        <w:pStyle w:val="30"/>
        <w:ind w:left="454" w:hanging="454"/>
        <w:jc w:val="both"/>
        <w:rPr>
          <w:rFonts w:hint="default" w:ascii="Times New Roman Regular" w:hAnsi="Times New Roman Regular" w:cs="Times New Roman Regular"/>
        </w:rPr>
      </w:pPr>
      <w:bookmarkStart w:id="95" w:name="ref-nicenboim2024"/>
      <w:r>
        <w:rPr>
          <w:rFonts w:hint="default" w:ascii="Times New Roman Regular" w:hAnsi="Times New Roman Regular" w:cs="Times New Roman Regular"/>
        </w:rPr>
        <w:t xml:space="preserve">Nicenboim, B., Schad, D., &amp; Vasishth, S. (2024). </w:t>
      </w:r>
      <w:r>
        <w:rPr>
          <w:rFonts w:hint="default" w:ascii="Times New Roman Regular" w:hAnsi="Times New Roman Regular" w:cs="Times New Roman Regular"/>
          <w:i/>
          <w:iCs/>
        </w:rPr>
        <w:t>An introduction to bayesian data analysis for cognitive science</w:t>
      </w:r>
      <w:r>
        <w:rPr>
          <w:rFonts w:hint="default" w:ascii="Times New Roman Regular" w:hAnsi="Times New Roman Regular" w:cs="Times New Roman Regular"/>
        </w:rPr>
        <w:t>.</w:t>
      </w:r>
    </w:p>
    <w:bookmarkEnd w:id="95"/>
    <w:p w14:paraId="40D5050E">
      <w:pPr>
        <w:pStyle w:val="30"/>
        <w:ind w:left="454" w:hanging="454"/>
        <w:jc w:val="both"/>
        <w:rPr>
          <w:rFonts w:hint="default" w:ascii="Times New Roman Regular" w:hAnsi="Times New Roman Regular" w:cs="Times New Roman Regular"/>
        </w:rPr>
      </w:pPr>
      <w:bookmarkStart w:id="96" w:name="ref-ossher2013"/>
      <w:r>
        <w:rPr>
          <w:rFonts w:hint="default" w:ascii="Times New Roman Regular" w:hAnsi="Times New Roman Regular" w:cs="Times New Roman Regular"/>
        </w:rPr>
        <w:t xml:space="preserve">Ossher, L., Bialystok, E., Craik, F. I., Murphy, K. J., &amp; Troyer, A. K. (2013). The effect of bilingualism on amnestic mild cognitive impairment. </w:t>
      </w:r>
      <w:r>
        <w:rPr>
          <w:rFonts w:hint="default" w:ascii="Times New Roman Regular" w:hAnsi="Times New Roman Regular" w:cs="Times New Roman Regular"/>
          <w:i/>
          <w:iCs/>
        </w:rPr>
        <w:t>Journals of Gerontology Series B: Psychological Sciences and Social Sciences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68</w:t>
      </w:r>
      <w:r>
        <w:rPr>
          <w:rFonts w:hint="default" w:ascii="Times New Roman Regular" w:hAnsi="Times New Roman Regular" w:cs="Times New Roman Regular"/>
        </w:rPr>
        <w:t>(1), 8–12.</w:t>
      </w:r>
    </w:p>
    <w:bookmarkEnd w:id="96"/>
    <w:p w14:paraId="472FB491">
      <w:pPr>
        <w:pStyle w:val="30"/>
        <w:ind w:left="454" w:hanging="454"/>
        <w:jc w:val="both"/>
        <w:rPr>
          <w:rFonts w:hint="default" w:ascii="Times New Roman Regular" w:hAnsi="Times New Roman Regular" w:cs="Times New Roman Regular"/>
        </w:rPr>
      </w:pPr>
      <w:bookmarkStart w:id="97" w:name="ref-paap2019"/>
      <w:r>
        <w:rPr>
          <w:rFonts w:hint="default" w:ascii="Times New Roman Regular" w:hAnsi="Times New Roman Regular" w:cs="Times New Roman Regular"/>
        </w:rPr>
        <w:t xml:space="preserve">Paap, K. (2019). The bilingual advantage debate: Quantity and quality of the evidence. In </w:t>
      </w:r>
      <w:r>
        <w:rPr>
          <w:rFonts w:hint="default" w:ascii="Times New Roman Regular" w:hAnsi="Times New Roman Regular" w:cs="Times New Roman Regular"/>
          <w:i/>
          <w:iCs/>
        </w:rPr>
        <w:t>The handbook of the neuroscience of multilingualism</w:t>
      </w:r>
      <w:r>
        <w:rPr>
          <w:rFonts w:hint="default" w:ascii="Times New Roman Regular" w:hAnsi="Times New Roman Regular" w:cs="Times New Roman Regular"/>
        </w:rPr>
        <w:t xml:space="preserve"> (pp. 701–735).</w:t>
      </w:r>
    </w:p>
    <w:bookmarkEnd w:id="97"/>
    <w:p w14:paraId="0C2EE749">
      <w:pPr>
        <w:pStyle w:val="30"/>
        <w:ind w:left="454" w:hanging="454"/>
        <w:jc w:val="both"/>
        <w:rPr>
          <w:rFonts w:hint="default" w:ascii="Times New Roman Regular" w:hAnsi="Times New Roman Regular" w:cs="Times New Roman Regular"/>
        </w:rPr>
      </w:pPr>
      <w:bookmarkStart w:id="98" w:name="ref-perani2017"/>
      <w:r>
        <w:rPr>
          <w:rFonts w:hint="default" w:ascii="Times New Roman Regular" w:hAnsi="Times New Roman Regular" w:cs="Times New Roman Regular"/>
        </w:rPr>
        <w:t xml:space="preserve">Perani, D., Farsad, M., Ballarini, T., Lubian, F., Malpetti, M., Fracchetti, A., &amp; Abutalebi, J. (2017). The impact of bilingualism on brain reserve and metabolic connectivity in alzheimer’s dementia. </w:t>
      </w:r>
      <w:r>
        <w:rPr>
          <w:rFonts w:hint="default" w:ascii="Times New Roman Regular" w:hAnsi="Times New Roman Regular" w:cs="Times New Roman Regular"/>
          <w:i/>
          <w:iCs/>
        </w:rPr>
        <w:t>Proceedings of the National Academy of Sciences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114</w:t>
      </w:r>
      <w:r>
        <w:rPr>
          <w:rFonts w:hint="default" w:ascii="Times New Roman Regular" w:hAnsi="Times New Roman Regular" w:cs="Times New Roman Regular"/>
        </w:rPr>
        <w:t>(7), 1690–1695.</w:t>
      </w:r>
    </w:p>
    <w:bookmarkEnd w:id="98"/>
    <w:p w14:paraId="7E6B8F5E">
      <w:pPr>
        <w:pStyle w:val="30"/>
        <w:ind w:left="454" w:hanging="454"/>
        <w:jc w:val="both"/>
        <w:rPr>
          <w:rFonts w:hint="default" w:ascii="Times New Roman Regular" w:hAnsi="Times New Roman Regular" w:cs="Times New Roman Regular"/>
        </w:rPr>
      </w:pPr>
      <w:bookmarkStart w:id="99" w:name="ref-ramakrishnan2017"/>
      <w:r>
        <w:rPr>
          <w:rFonts w:hint="default" w:ascii="Times New Roman Regular" w:hAnsi="Times New Roman Regular" w:cs="Times New Roman Regular"/>
        </w:rPr>
        <w:t xml:space="preserve">Ramakrishnan, S., Mekala, S., Mamidipudi, A., Yareeda, S., Mridula, R., Bak, T. H., &amp; Kaul, S. (2017). Comparative effects of education and bilingualism on the onset of mild cognitive impairment. </w:t>
      </w:r>
      <w:r>
        <w:rPr>
          <w:rFonts w:hint="default" w:ascii="Times New Roman Regular" w:hAnsi="Times New Roman Regular" w:cs="Times New Roman Regular"/>
          <w:i/>
          <w:iCs/>
        </w:rPr>
        <w:t>Dementia and Geriatric Cognitive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44</w:t>
      </w:r>
      <w:r>
        <w:rPr>
          <w:rFonts w:hint="default" w:ascii="Times New Roman Regular" w:hAnsi="Times New Roman Regular" w:cs="Times New Roman Regular"/>
        </w:rPr>
        <w:t>(3-4), 222–231.</w:t>
      </w:r>
    </w:p>
    <w:bookmarkEnd w:id="99"/>
    <w:p w14:paraId="7F67FDA9">
      <w:pPr>
        <w:pStyle w:val="30"/>
        <w:ind w:left="454" w:hanging="454"/>
        <w:jc w:val="both"/>
        <w:rPr>
          <w:rFonts w:hint="default" w:ascii="Times New Roman Regular" w:hAnsi="Times New Roman Regular" w:cs="Times New Roman Regular"/>
        </w:rPr>
      </w:pPr>
      <w:bookmarkStart w:id="100" w:name="ref-scarmeas2003"/>
      <w:r>
        <w:rPr>
          <w:rFonts w:hint="default" w:ascii="Times New Roman Regular" w:hAnsi="Times New Roman Regular" w:cs="Times New Roman Regular"/>
        </w:rPr>
        <w:t xml:space="preserve">Scarmeas, N., &amp; Stern, Y. (2003). Cognitive reserve and lifestyle. </w:t>
      </w:r>
      <w:r>
        <w:rPr>
          <w:rFonts w:hint="default" w:ascii="Times New Roman Regular" w:hAnsi="Times New Roman Regular" w:cs="Times New Roman Regular"/>
          <w:i/>
          <w:iCs/>
        </w:rPr>
        <w:t>Journal of Clinical and Experimental Neuropsychology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25</w:t>
      </w:r>
      <w:r>
        <w:rPr>
          <w:rFonts w:hint="default" w:ascii="Times New Roman Regular" w:hAnsi="Times New Roman Regular" w:cs="Times New Roman Regular"/>
        </w:rPr>
        <w:t>(5), 625–633.</w:t>
      </w:r>
    </w:p>
    <w:bookmarkEnd w:id="100"/>
    <w:p w14:paraId="537B279E">
      <w:pPr>
        <w:pStyle w:val="30"/>
        <w:ind w:left="454" w:hanging="454"/>
        <w:jc w:val="both"/>
        <w:rPr>
          <w:rFonts w:hint="default" w:ascii="Times New Roman Regular" w:hAnsi="Times New Roman Regular" w:cs="Times New Roman Regular"/>
        </w:rPr>
      </w:pPr>
      <w:bookmarkStart w:id="101" w:name="ref-schmid2020"/>
      <w:r>
        <w:rPr>
          <w:rFonts w:hint="default" w:ascii="Times New Roman Regular" w:hAnsi="Times New Roman Regular" w:cs="Times New Roman Regular"/>
        </w:rPr>
        <w:t xml:space="preserve">Schmid, C. H., Carlin, B. P., &amp; Welton, N. J. (2020). Bayesian methods for meta-analysis. In </w:t>
      </w:r>
      <w:r>
        <w:rPr>
          <w:rFonts w:hint="default" w:ascii="Times New Roman Regular" w:hAnsi="Times New Roman Regular" w:cs="Times New Roman Regular"/>
          <w:i/>
          <w:iCs/>
        </w:rPr>
        <w:t>Handbook of meta-analysis</w:t>
      </w:r>
      <w:r>
        <w:rPr>
          <w:rFonts w:hint="default" w:ascii="Times New Roman Regular" w:hAnsi="Times New Roman Regular" w:cs="Times New Roman Regular"/>
        </w:rPr>
        <w:t xml:space="preserve"> (pp. 91–128). Chapman; Hall/CRC.</w:t>
      </w:r>
    </w:p>
    <w:bookmarkEnd w:id="101"/>
    <w:p w14:paraId="36ABAF8A">
      <w:pPr>
        <w:pStyle w:val="30"/>
        <w:ind w:left="454" w:hanging="454"/>
        <w:jc w:val="both"/>
        <w:rPr>
          <w:rFonts w:hint="default" w:ascii="Times New Roman Regular" w:hAnsi="Times New Roman Regular" w:cs="Times New Roman Regular"/>
        </w:rPr>
      </w:pPr>
      <w:bookmarkStart w:id="102" w:name="ref-sedgwick2015"/>
      <w:r>
        <w:rPr>
          <w:rFonts w:hint="default" w:ascii="Times New Roman Regular" w:hAnsi="Times New Roman Regular" w:cs="Times New Roman Regular"/>
        </w:rPr>
        <w:t xml:space="preserve">Sedgwick, P., &amp; Marston, L. (2015). How to read a funnel plot in a meta-analysis. </w:t>
      </w:r>
      <w:r>
        <w:rPr>
          <w:rFonts w:hint="default" w:ascii="Times New Roman Regular" w:hAnsi="Times New Roman Regular" w:cs="Times New Roman Regular"/>
          <w:i/>
          <w:iCs/>
        </w:rPr>
        <w:t>BMJ</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351</w:t>
      </w:r>
      <w:r>
        <w:rPr>
          <w:rFonts w:hint="default" w:ascii="Times New Roman Regular" w:hAnsi="Times New Roman Regular" w:cs="Times New Roman Regular"/>
        </w:rPr>
        <w:t>.</w:t>
      </w:r>
    </w:p>
    <w:bookmarkEnd w:id="102"/>
    <w:p w14:paraId="737A247C">
      <w:pPr>
        <w:pStyle w:val="30"/>
        <w:ind w:left="454" w:hanging="454"/>
        <w:jc w:val="both"/>
        <w:rPr>
          <w:rFonts w:hint="default" w:ascii="Times New Roman Regular" w:hAnsi="Times New Roman Regular" w:cs="Times New Roman Regular"/>
        </w:rPr>
      </w:pPr>
      <w:bookmarkStart w:id="103" w:name="ref-sharp2011"/>
      <w:r>
        <w:rPr>
          <w:rFonts w:hint="default" w:ascii="Times New Roman Regular" w:hAnsi="Times New Roman Regular" w:cs="Times New Roman Regular"/>
        </w:rPr>
        <w:t xml:space="preserve">Sharp, E. S., &amp; Gatz, M. (2011). Relationship between education and dementia: An updated systematic review. </w:t>
      </w:r>
      <w:r>
        <w:rPr>
          <w:rFonts w:hint="default" w:ascii="Times New Roman Regular" w:hAnsi="Times New Roman Regular" w:cs="Times New Roman Regular"/>
          <w:i/>
          <w:iCs/>
        </w:rPr>
        <w:t>Alzheimer Disease &amp; Associated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25</w:t>
      </w:r>
      <w:r>
        <w:rPr>
          <w:rFonts w:hint="default" w:ascii="Times New Roman Regular" w:hAnsi="Times New Roman Regular" w:cs="Times New Roman Regular"/>
        </w:rPr>
        <w:t>(4), 289–304.</w:t>
      </w:r>
    </w:p>
    <w:bookmarkEnd w:id="103"/>
    <w:p w14:paraId="2FD6A3B5">
      <w:pPr>
        <w:pStyle w:val="30"/>
        <w:ind w:left="454" w:hanging="454"/>
        <w:jc w:val="both"/>
        <w:rPr>
          <w:rFonts w:hint="default" w:ascii="Times New Roman Regular" w:hAnsi="Times New Roman Regular" w:cs="Times New Roman Regular"/>
        </w:rPr>
      </w:pPr>
      <w:bookmarkStart w:id="104" w:name="ref-sofi2011"/>
      <w:r>
        <w:rPr>
          <w:rFonts w:hint="default" w:ascii="Times New Roman Regular" w:hAnsi="Times New Roman Regular" w:cs="Times New Roman Regular"/>
        </w:rPr>
        <w:t xml:space="preserve">Sofi, F., Valecchi, D., Bacci, D., Abbate, R., Gensini, G. F., Casini, A., &amp; Macchi, C. (2011). Physical activity and risk of cognitive decline: A meta‐analysis of prospective studies. </w:t>
      </w:r>
      <w:r>
        <w:rPr>
          <w:rFonts w:hint="default" w:ascii="Times New Roman Regular" w:hAnsi="Times New Roman Regular" w:cs="Times New Roman Regular"/>
          <w:i/>
          <w:iCs/>
        </w:rPr>
        <w:t>Journal of Internal Medicine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269</w:t>
      </w:r>
      <w:r>
        <w:rPr>
          <w:rFonts w:hint="default" w:ascii="Times New Roman Regular" w:hAnsi="Times New Roman Regular" w:cs="Times New Roman Regular"/>
        </w:rPr>
        <w:t>(1), 107–117.</w:t>
      </w:r>
    </w:p>
    <w:bookmarkEnd w:id="104"/>
    <w:p w14:paraId="58531791">
      <w:pPr>
        <w:pStyle w:val="30"/>
        <w:ind w:left="454" w:hanging="454"/>
        <w:jc w:val="both"/>
        <w:rPr>
          <w:rFonts w:hint="default" w:ascii="Times New Roman Regular" w:hAnsi="Times New Roman Regular" w:cs="Times New Roman Regular"/>
        </w:rPr>
      </w:pPr>
      <w:bookmarkStart w:id="105" w:name="ref-stern2002"/>
      <w:r>
        <w:rPr>
          <w:rFonts w:hint="default" w:ascii="Times New Roman Regular" w:hAnsi="Times New Roman Regular" w:cs="Times New Roman Regular"/>
        </w:rPr>
        <w:t xml:space="preserve">Stern, Y. (2002). What is cognitive reserve? Theory and research application of the reserve concept. </w:t>
      </w:r>
      <w:r>
        <w:rPr>
          <w:rFonts w:hint="default" w:ascii="Times New Roman Regular" w:hAnsi="Times New Roman Regular" w:cs="Times New Roman Regular"/>
          <w:i/>
          <w:iCs/>
        </w:rPr>
        <w:t>Journal of the International Neuropsychological Society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8</w:t>
      </w:r>
      <w:r>
        <w:rPr>
          <w:rFonts w:hint="default" w:ascii="Times New Roman Regular" w:hAnsi="Times New Roman Regular" w:cs="Times New Roman Regular"/>
        </w:rPr>
        <w:t>(3), 448–460.</w:t>
      </w:r>
    </w:p>
    <w:bookmarkEnd w:id="105"/>
    <w:p w14:paraId="06BBF417">
      <w:pPr>
        <w:pStyle w:val="30"/>
        <w:ind w:left="454" w:hanging="454"/>
        <w:jc w:val="both"/>
        <w:rPr>
          <w:rFonts w:hint="default" w:ascii="Times New Roman Regular" w:hAnsi="Times New Roman Regular" w:cs="Times New Roman Regular"/>
        </w:rPr>
      </w:pPr>
      <w:bookmarkStart w:id="106" w:name="ref-stern2012"/>
      <w:r>
        <w:rPr>
          <w:rFonts w:hint="default" w:ascii="Times New Roman Regular" w:hAnsi="Times New Roman Regular" w:cs="Times New Roman Regular"/>
        </w:rPr>
        <w:t xml:space="preserve">Stern, Y. (2012). Cognitive reserve in ageing and alzheimer’s disease. </w:t>
      </w:r>
      <w:r>
        <w:rPr>
          <w:rFonts w:hint="default" w:ascii="Times New Roman Regular" w:hAnsi="Times New Roman Regular" w:cs="Times New Roman Regular"/>
          <w:i/>
          <w:iCs/>
        </w:rPr>
        <w:t>The Lancet Neurology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11</w:t>
      </w:r>
      <w:r>
        <w:rPr>
          <w:rFonts w:hint="default" w:ascii="Times New Roman Regular" w:hAnsi="Times New Roman Regular" w:cs="Times New Roman Regular"/>
        </w:rPr>
        <w:t>(11), 1006–1012.</w:t>
      </w:r>
    </w:p>
    <w:bookmarkEnd w:id="106"/>
    <w:p w14:paraId="738FC4BC">
      <w:pPr>
        <w:pStyle w:val="30"/>
        <w:ind w:left="454" w:hanging="454"/>
        <w:jc w:val="both"/>
        <w:rPr>
          <w:rFonts w:hint="default" w:ascii="Times New Roman Regular" w:hAnsi="Times New Roman Regular" w:cs="Times New Roman Regular"/>
        </w:rPr>
      </w:pPr>
      <w:bookmarkStart w:id="107" w:name="ref-stern1999"/>
      <w:r>
        <w:rPr>
          <w:rFonts w:hint="default" w:ascii="Times New Roman Regular" w:hAnsi="Times New Roman Regular" w:cs="Times New Roman Regular"/>
        </w:rPr>
        <w:t xml:space="preserve">Stern, Y., Albert, S., Tang, M. X., &amp; Tsai, W. Y. (1999). Rate of memory decline in AD is related to education and occupation: Cognitive reserve? </w:t>
      </w:r>
      <w:r>
        <w:rPr>
          <w:rFonts w:hint="default" w:ascii="Times New Roman Regular" w:hAnsi="Times New Roman Regular" w:cs="Times New Roman Regular"/>
          <w:i/>
          <w:iCs/>
        </w:rPr>
        <w:t>Neurology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53</w:t>
      </w:r>
      <w:r>
        <w:rPr>
          <w:rFonts w:hint="default" w:ascii="Times New Roman Regular" w:hAnsi="Times New Roman Regular" w:cs="Times New Roman Regular"/>
        </w:rPr>
        <w:t>, 1942–1947.</w:t>
      </w:r>
    </w:p>
    <w:bookmarkEnd w:id="107"/>
    <w:p w14:paraId="6D7B4AD8">
      <w:pPr>
        <w:pStyle w:val="30"/>
        <w:ind w:left="454" w:hanging="454"/>
        <w:jc w:val="both"/>
        <w:rPr>
          <w:rFonts w:hint="default" w:ascii="Times New Roman Regular" w:hAnsi="Times New Roman Regular" w:cs="Times New Roman Regular"/>
        </w:rPr>
      </w:pPr>
      <w:bookmarkStart w:id="108" w:name="ref-stern2020"/>
      <w:r>
        <w:rPr>
          <w:rFonts w:hint="default" w:ascii="Times New Roman Regular" w:hAnsi="Times New Roman Regular" w:cs="Times New Roman Regular"/>
        </w:rPr>
        <w:t xml:space="preserve">Stern, Y., Arenaza‐Urquijo, E. M., Bartrés‐Faz, D., Belleville, S., Cantilon, M., Chetelat, G.,..., Reserve, R., Definitions, P. F. P. E., &amp; Workgroup, C. F. (2020). Whitepaper: Defining and investigating cognitive reserve, brain reserve, and brain maintenance. </w:t>
      </w:r>
      <w:r>
        <w:rPr>
          <w:rFonts w:hint="default" w:ascii="Times New Roman Regular" w:hAnsi="Times New Roman Regular" w:cs="Times New Roman Regular"/>
          <w:i/>
          <w:iCs/>
        </w:rPr>
        <w:t>Alzheimer’s &amp; Dementia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16</w:t>
      </w:r>
      <w:r>
        <w:rPr>
          <w:rFonts w:hint="default" w:ascii="Times New Roman Regular" w:hAnsi="Times New Roman Regular" w:cs="Times New Roman Regular"/>
        </w:rPr>
        <w:t>(9), 1305–1311.</w:t>
      </w:r>
    </w:p>
    <w:bookmarkEnd w:id="108"/>
    <w:p w14:paraId="2DF3258C">
      <w:pPr>
        <w:pStyle w:val="30"/>
        <w:ind w:left="454" w:hanging="454"/>
        <w:jc w:val="both"/>
        <w:rPr>
          <w:rFonts w:hint="default" w:ascii="Times New Roman Regular" w:hAnsi="Times New Roman Regular" w:cs="Times New Roman Regular"/>
        </w:rPr>
      </w:pPr>
      <w:bookmarkStart w:id="109" w:name="ref-thierry2007"/>
      <w:r>
        <w:rPr>
          <w:rFonts w:hint="default" w:ascii="Times New Roman Regular" w:hAnsi="Times New Roman Regular" w:cs="Times New Roman Regular"/>
        </w:rPr>
        <w:t xml:space="preserve">Thierry, G., &amp; Wu, Y. J. (2007). Brain potentials reveal unconscious translation during foreign-language comprehension. </w:t>
      </w:r>
      <w:r>
        <w:rPr>
          <w:rFonts w:hint="default" w:ascii="Times New Roman Regular" w:hAnsi="Times New Roman Regular" w:cs="Times New Roman Regular"/>
          <w:i/>
          <w:iCs/>
        </w:rPr>
        <w:t>Proceedings of the National Academy of Sciences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104</w:t>
      </w:r>
      <w:r>
        <w:rPr>
          <w:rFonts w:hint="default" w:ascii="Times New Roman Regular" w:hAnsi="Times New Roman Regular" w:cs="Times New Roman Regular"/>
        </w:rPr>
        <w:t>(30), 12530–12535.</w:t>
      </w:r>
    </w:p>
    <w:bookmarkEnd w:id="109"/>
    <w:p w14:paraId="63F4470C">
      <w:pPr>
        <w:pStyle w:val="30"/>
        <w:ind w:left="454" w:hanging="454"/>
        <w:jc w:val="both"/>
        <w:rPr>
          <w:rFonts w:hint="default" w:ascii="Times New Roman Regular" w:hAnsi="Times New Roman Regular" w:cs="Times New Roman Regular"/>
        </w:rPr>
      </w:pPr>
      <w:bookmarkStart w:id="110" w:name="ref-turner2009"/>
      <w:r>
        <w:rPr>
          <w:rFonts w:hint="default" w:ascii="Times New Roman Regular" w:hAnsi="Times New Roman Regular" w:cs="Times New Roman Regular"/>
        </w:rPr>
        <w:t xml:space="preserve">Turner, R. M., Spiegelhalter, D. J., Smith, G. C., &amp; Thompson, S. G. (2009). Bias modelling in evidence synthesis. </w:t>
      </w:r>
      <w:r>
        <w:rPr>
          <w:rFonts w:hint="default" w:ascii="Times New Roman Regular" w:hAnsi="Times New Roman Regular" w:cs="Times New Roman Regular"/>
          <w:i/>
          <w:iCs/>
        </w:rPr>
        <w:t>Journal of the Royal Statistical Society Series A: Statistics in Society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172</w:t>
      </w:r>
      <w:r>
        <w:rPr>
          <w:rFonts w:hint="default" w:ascii="Times New Roman Regular" w:hAnsi="Times New Roman Regular" w:cs="Times New Roman Regular"/>
        </w:rPr>
        <w:t>(1), 21–47.</w:t>
      </w:r>
    </w:p>
    <w:bookmarkEnd w:id="110"/>
    <w:p w14:paraId="2D56735F">
      <w:pPr>
        <w:pStyle w:val="30"/>
        <w:ind w:left="454" w:hanging="454"/>
        <w:jc w:val="both"/>
        <w:rPr>
          <w:rFonts w:hint="default" w:ascii="Times New Roman Regular" w:hAnsi="Times New Roman Regular" w:cs="Times New Roman Regular"/>
        </w:rPr>
      </w:pPr>
      <w:bookmarkStart w:id="111" w:name="ref-venugopal2024"/>
      <w:r>
        <w:rPr>
          <w:rFonts w:hint="default" w:ascii="Times New Roman Regular" w:hAnsi="Times New Roman Regular" w:cs="Times New Roman Regular"/>
        </w:rPr>
        <w:t xml:space="preserve">Venugopal, A., Paplikar, A., Varghese, F. A., Thanissery, N., Ballal, D., Hoskeri, R. M.,..., &amp; Alladi, S. (2024). Protective effect of bilingualism on aging, MCI, and dementia: A community‐based study. </w:t>
      </w:r>
      <w:r>
        <w:rPr>
          <w:rFonts w:hint="default" w:ascii="Times New Roman Regular" w:hAnsi="Times New Roman Regular" w:cs="Times New Roman Regular"/>
          <w:i/>
          <w:iCs/>
        </w:rPr>
        <w:t>Alzheimer’s &amp; Dementia</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20</w:t>
      </w:r>
      <w:r>
        <w:rPr>
          <w:rFonts w:hint="default" w:ascii="Times New Roman Regular" w:hAnsi="Times New Roman Regular" w:cs="Times New Roman Regular"/>
        </w:rPr>
        <w:t>(4), 2620–2631.</w:t>
      </w:r>
    </w:p>
    <w:bookmarkEnd w:id="111"/>
    <w:p w14:paraId="6894DF72">
      <w:pPr>
        <w:pStyle w:val="30"/>
        <w:ind w:left="454" w:hanging="454"/>
        <w:jc w:val="both"/>
        <w:rPr>
          <w:rFonts w:hint="default" w:ascii="Times New Roman Regular" w:hAnsi="Times New Roman Regular" w:cs="Times New Roman Regular"/>
        </w:rPr>
      </w:pPr>
      <w:bookmarkStart w:id="112" w:name="ref-waldie2009"/>
      <w:r>
        <w:rPr>
          <w:rFonts w:hint="default" w:ascii="Times New Roman Regular" w:hAnsi="Times New Roman Regular" w:cs="Times New Roman Regular"/>
        </w:rPr>
        <w:t xml:space="preserve">Waldie, K. E., Badzakova-Trajkov, G., Miliivojevic, B., &amp; Kirk, I. J. (2009). Neural activity during stroop colour-word task performance in late proficient bilinguals: A functional magnetic resonance imaging study. </w:t>
      </w:r>
      <w:r>
        <w:rPr>
          <w:rFonts w:hint="default" w:ascii="Times New Roman Regular" w:hAnsi="Times New Roman Regular" w:cs="Times New Roman Regular"/>
          <w:i/>
          <w:iCs/>
        </w:rPr>
        <w:t>Psychology &amp; Neuroscience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w:t>
      </w:r>
      <w:r>
        <w:rPr>
          <w:rFonts w:hint="default" w:ascii="Times New Roman Regular" w:hAnsi="Times New Roman Regular" w:cs="Times New Roman Regular"/>
        </w:rPr>
        <w:t>, 125–136.</w:t>
      </w:r>
    </w:p>
    <w:bookmarkEnd w:id="112"/>
    <w:p w14:paraId="324D13BF">
      <w:pPr>
        <w:pStyle w:val="30"/>
        <w:ind w:left="454" w:hanging="454"/>
        <w:jc w:val="both"/>
        <w:rPr>
          <w:rFonts w:hint="default" w:ascii="Times New Roman Regular" w:hAnsi="Times New Roman Regular" w:cs="Times New Roman Regular"/>
        </w:rPr>
      </w:pPr>
      <w:bookmarkStart w:id="113" w:name="ref-who2020"/>
      <w:r>
        <w:rPr>
          <w:rFonts w:hint="default" w:ascii="Times New Roman Regular" w:hAnsi="Times New Roman Regular" w:cs="Times New Roman Regular"/>
        </w:rPr>
        <w:t xml:space="preserve">World Health Organization. (2020). </w:t>
      </w:r>
      <w:r>
        <w:rPr>
          <w:rFonts w:hint="default" w:ascii="Times New Roman Regular" w:hAnsi="Times New Roman Regular" w:cs="Times New Roman Regular"/>
          <w:i/>
          <w:iCs/>
        </w:rPr>
        <w:t>Dementia</w:t>
      </w:r>
      <w:r>
        <w:rPr>
          <w:rFonts w:hint="default" w:ascii="Times New Roman Regular" w:hAnsi="Times New Roman Regular" w:cs="Times New Roman Regular"/>
        </w:rPr>
        <w:t xml:space="preserve">. </w:t>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HYPERLINK "http://www.who.int/en/news-room/fact-sheets/detail/dementia" \h </w:instrText>
      </w:r>
      <w:r>
        <w:rPr>
          <w:rFonts w:hint="default" w:ascii="Times New Roman Regular" w:hAnsi="Times New Roman Regular" w:cs="Times New Roman Regular"/>
        </w:rPr>
        <w:fldChar w:fldCharType="separate"/>
      </w:r>
      <w:r>
        <w:rPr>
          <w:rStyle w:val="20"/>
          <w:rFonts w:hint="default" w:ascii="Times New Roman Regular" w:hAnsi="Times New Roman Regular" w:cs="Times New Roman Regular"/>
        </w:rPr>
        <w:t>http://www.who.int/en/news-room/fact-sheets/detail/dementia</w:t>
      </w:r>
      <w:r>
        <w:rPr>
          <w:rStyle w:val="20"/>
          <w:rFonts w:hint="default" w:ascii="Times New Roman Regular" w:hAnsi="Times New Roman Regular" w:cs="Times New Roman Regular"/>
        </w:rPr>
        <w:fldChar w:fldCharType="end"/>
      </w:r>
      <w:r>
        <w:rPr>
          <w:rFonts w:hint="default" w:ascii="Times New Roman Regular" w:hAnsi="Times New Roman Regular" w:cs="Times New Roman Regular"/>
        </w:rPr>
        <w:t>.</w:t>
      </w:r>
    </w:p>
    <w:bookmarkEnd w:id="113"/>
    <w:p w14:paraId="51FB5F7A">
      <w:pPr>
        <w:pStyle w:val="30"/>
        <w:ind w:left="454" w:hanging="454"/>
        <w:jc w:val="both"/>
        <w:rPr>
          <w:rFonts w:hint="default" w:ascii="Times New Roman Regular" w:hAnsi="Times New Roman Regular" w:cs="Times New Roman Regular"/>
        </w:rPr>
      </w:pPr>
      <w:bookmarkStart w:id="114" w:name="ref-woumans2015"/>
      <w:r>
        <w:rPr>
          <w:rFonts w:hint="default" w:ascii="Times New Roman Regular" w:hAnsi="Times New Roman Regular" w:cs="Times New Roman Regular"/>
        </w:rPr>
        <w:t xml:space="preserve">Woumans, E. V. Y., Santens, P., Sieben, A., Versijpt, J. A. N., Stevens, M., &amp; Duyck, W. (2015). Bilingualism delays clinical manifestation of alzheimer’s disease. </w:t>
      </w:r>
      <w:r>
        <w:rPr>
          <w:rFonts w:hint="default" w:ascii="Times New Roman Regular" w:hAnsi="Times New Roman Regular" w:cs="Times New Roman Regular"/>
          <w:i/>
          <w:iCs/>
        </w:rPr>
        <w:t>Bilingualism: Language and Cognition</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18</w:t>
      </w:r>
      <w:r>
        <w:rPr>
          <w:rFonts w:hint="default" w:ascii="Times New Roman Regular" w:hAnsi="Times New Roman Regular" w:cs="Times New Roman Regular"/>
        </w:rPr>
        <w:t>(3), 568–574.</w:t>
      </w:r>
    </w:p>
    <w:bookmarkEnd w:id="114"/>
    <w:p w14:paraId="338AA409">
      <w:pPr>
        <w:pStyle w:val="30"/>
        <w:ind w:left="454" w:hanging="454"/>
        <w:jc w:val="both"/>
        <w:rPr>
          <w:rFonts w:hint="default" w:ascii="Times New Roman Regular" w:hAnsi="Times New Roman Regular" w:cs="Times New Roman Regular"/>
        </w:rPr>
      </w:pPr>
      <w:bookmarkStart w:id="115" w:name="ref-woumans2017"/>
      <w:r>
        <w:rPr>
          <w:rFonts w:hint="default" w:ascii="Times New Roman Regular" w:hAnsi="Times New Roman Regular" w:cs="Times New Roman Regular"/>
        </w:rPr>
        <w:t xml:space="preserve">Woumans, E., Versijpt, J., Sieben, A., Santens, P., &amp; Duyck, W. (2017). Bilingualism and cognitive decline: A story of pride and prejudice. </w:t>
      </w:r>
      <w:r>
        <w:rPr>
          <w:rFonts w:hint="default" w:ascii="Times New Roman Regular" w:hAnsi="Times New Roman Regular" w:cs="Times New Roman Regular"/>
          <w:i/>
          <w:iCs/>
        </w:rPr>
        <w:t>Journal of Alzheimer’s Disease</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60</w:t>
      </w:r>
      <w:r>
        <w:rPr>
          <w:rFonts w:hint="default" w:ascii="Times New Roman Regular" w:hAnsi="Times New Roman Regular" w:cs="Times New Roman Regular"/>
        </w:rPr>
        <w:t>(4), 1237–1239.</w:t>
      </w:r>
    </w:p>
    <w:bookmarkEnd w:id="115"/>
    <w:p w14:paraId="68C3C981">
      <w:pPr>
        <w:pStyle w:val="30"/>
        <w:ind w:left="454" w:hanging="454"/>
        <w:jc w:val="both"/>
        <w:rPr>
          <w:rFonts w:hint="default" w:ascii="Times New Roman Regular" w:hAnsi="Times New Roman Regular" w:cs="Times New Roman Regular"/>
        </w:rPr>
      </w:pPr>
      <w:bookmarkStart w:id="116" w:name="ref-zahodne2014"/>
      <w:r>
        <w:rPr>
          <w:rFonts w:hint="default" w:ascii="Times New Roman Regular" w:hAnsi="Times New Roman Regular" w:cs="Times New Roman Regular"/>
        </w:rPr>
        <w:t xml:space="preserve">Zahodne, L. B., Schofield, P. W., Farrell, M. T., Stern, Y., &amp; Manly, J. J. (2014). Bilingualism does not alter cognitive decline or dementia risk among spanish-speaking immigrants. </w:t>
      </w:r>
      <w:r>
        <w:rPr>
          <w:rFonts w:hint="default" w:ascii="Times New Roman Regular" w:hAnsi="Times New Roman Regular" w:cs="Times New Roman Regular"/>
          <w:i/>
          <w:iCs/>
        </w:rPr>
        <w:t>Neuropsychology</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28</w:t>
      </w:r>
      <w:r>
        <w:rPr>
          <w:rFonts w:hint="default" w:ascii="Times New Roman Regular" w:hAnsi="Times New Roman Regular" w:cs="Times New Roman Regular"/>
        </w:rPr>
        <w:t>(2), 238.</w:t>
      </w:r>
    </w:p>
    <w:bookmarkEnd w:id="116"/>
    <w:p w14:paraId="3A164AB5">
      <w:pPr>
        <w:pStyle w:val="30"/>
        <w:ind w:left="454" w:hanging="454"/>
        <w:jc w:val="both"/>
        <w:rPr>
          <w:rFonts w:hint="default" w:ascii="Times New Roman Regular" w:hAnsi="Times New Roman Regular" w:cs="Times New Roman Regular"/>
        </w:rPr>
      </w:pPr>
      <w:bookmarkStart w:id="117" w:name="ref-zheng2018"/>
      <w:r>
        <w:rPr>
          <w:rFonts w:hint="default" w:ascii="Times New Roman Regular" w:hAnsi="Times New Roman Regular" w:cs="Times New Roman Regular"/>
        </w:rPr>
        <w:t xml:space="preserve">Zheng, Y., Wu, Q., Su, F., Fang, Y., Zeng, J., &amp; Pei, Z. (2018). The protective effect of cantonese/mandarin bilingualism on the onset of alzheimer disease. </w:t>
      </w:r>
      <w:r>
        <w:rPr>
          <w:rFonts w:hint="default" w:ascii="Times New Roman Regular" w:hAnsi="Times New Roman Regular" w:cs="Times New Roman Regular"/>
          <w:i/>
          <w:iCs/>
        </w:rPr>
        <w:t>Dementia and Geriatric Cognitive Disorders</w:t>
      </w:r>
      <w:r>
        <w:rPr>
          <w:rFonts w:hint="default" w:ascii="Times New Roman Regular" w:hAnsi="Times New Roman Regular" w:cs="Times New Roman Regular"/>
        </w:rPr>
        <w:t xml:space="preserve">, </w:t>
      </w:r>
      <w:r>
        <w:rPr>
          <w:rFonts w:hint="default" w:ascii="Times New Roman Regular" w:hAnsi="Times New Roman Regular" w:cs="Times New Roman Regular"/>
          <w:i/>
          <w:iCs/>
        </w:rPr>
        <w:t>45</w:t>
      </w:r>
      <w:r>
        <w:rPr>
          <w:rFonts w:hint="default" w:ascii="Times New Roman Regular" w:hAnsi="Times New Roman Regular" w:cs="Times New Roman Regular"/>
        </w:rPr>
        <w:t>(3-4), 210–219.</w:t>
      </w:r>
      <w:bookmarkEnd w:id="41"/>
      <w:bookmarkEnd w:id="43"/>
      <w:bookmarkEnd w:id="117"/>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9" w:usb3="00000000" w:csb0="0000019F" w:csb1="00000000"/>
  </w:font>
  <w:font w:name="Times New Roman Regular">
    <w:panose1 w:val="02020603050405020304"/>
    <w:charset w:val="00"/>
    <w:family w:val="auto"/>
    <w:pitch w:val="default"/>
    <w:sig w:usb0="E0002AEF" w:usb1="C0007841" w:usb2="00000009" w:usb3="00000000" w:csb0="400001FF" w:csb1="FFFF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99AB6"/>
    <w:multiLevelType w:val="singleLevel"/>
    <w:tmpl w:val="D7F99AB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2"/>
  </w:compat>
  <w:rsids>
    <w:rsidRoot w:val="00FD4AD8"/>
    <w:rsid w:val="000C158C"/>
    <w:rsid w:val="000D0AE6"/>
    <w:rsid w:val="00293223"/>
    <w:rsid w:val="00316989"/>
    <w:rsid w:val="003D33E5"/>
    <w:rsid w:val="008106F1"/>
    <w:rsid w:val="00A14B59"/>
    <w:rsid w:val="00A81FF6"/>
    <w:rsid w:val="00BC4B86"/>
    <w:rsid w:val="00DF5DA8"/>
    <w:rsid w:val="00EC441B"/>
    <w:rsid w:val="00FD4AD8"/>
    <w:rsid w:val="27F7DFAA"/>
    <w:rsid w:val="3FE73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
    <w:next w:val="3"/>
    <w:link w:val="26"/>
    <w:qFormat/>
    <w:uiPriority w:val="11"/>
    <w:rPr>
      <w:rFonts w:eastAsiaTheme="majorEastAsia" w:cstheme="majorBidi"/>
      <w:color w:val="585858" w:themeColor="text1" w:themeTint="A6"/>
      <w:spacing w:val="15"/>
      <w:sz w:val="28"/>
      <w:szCs w:val="28"/>
    </w:rPr>
  </w:style>
  <w:style w:type="paragraph" w:styleId="16">
    <w:name w:val="footnote text"/>
    <w:basedOn w:val="1"/>
    <w:unhideWhenUsed/>
    <w:qFormat/>
    <w:uiPriority w:val="9"/>
  </w:style>
  <w:style w:type="paragraph" w:styleId="17">
    <w:name w:val="Title"/>
    <w:basedOn w:val="1"/>
    <w:next w:val="3"/>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0">
    <w:name w:val="Hyperlink"/>
    <w:basedOn w:val="21"/>
    <w:uiPriority w:val="0"/>
    <w:rPr>
      <w:color w:val="156082" w:themeColor="accent1"/>
    </w:rPr>
  </w:style>
  <w:style w:type="character" w:customStyle="1" w:styleId="21">
    <w:name w:val="Caption Char"/>
    <w:basedOn w:val="19"/>
    <w:link w:val="1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7"/>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6"/>
    <w:next w:val="16"/>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color="auto" w:fill="F1F3F5"/>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style>
  <w:style w:type="character" w:customStyle="1" w:styleId="52">
    <w:name w:val="KeywordTok"/>
    <w:basedOn w:val="48"/>
    <w:uiPriority w:val="0"/>
    <w:rPr>
      <w:rFonts w:ascii="Consolas" w:hAnsi="Consolas"/>
      <w:b/>
      <w:color w:val="003B4F"/>
      <w:sz w:val="22"/>
      <w:shd w:val="clear" w:color="auto" w:fill="F1F3F5"/>
    </w:rPr>
  </w:style>
  <w:style w:type="character" w:customStyle="1" w:styleId="53">
    <w:name w:val="DataTypeTok"/>
    <w:basedOn w:val="48"/>
    <w:uiPriority w:val="0"/>
    <w:rPr>
      <w:rFonts w:ascii="Consolas" w:hAnsi="Consolas"/>
      <w:color w:val="AD0000"/>
      <w:sz w:val="22"/>
      <w:shd w:val="clear" w:color="auto" w:fill="F1F3F5"/>
    </w:rPr>
  </w:style>
  <w:style w:type="character" w:customStyle="1" w:styleId="54">
    <w:name w:val="DecValTok"/>
    <w:basedOn w:val="48"/>
    <w:uiPriority w:val="0"/>
    <w:rPr>
      <w:rFonts w:ascii="Consolas" w:hAnsi="Consolas"/>
      <w:color w:val="AD0000"/>
      <w:sz w:val="22"/>
      <w:shd w:val="clear" w:color="auto" w:fill="F1F3F5"/>
    </w:rPr>
  </w:style>
  <w:style w:type="character" w:customStyle="1" w:styleId="55">
    <w:name w:val="BaseNTok"/>
    <w:basedOn w:val="48"/>
    <w:uiPriority w:val="0"/>
    <w:rPr>
      <w:rFonts w:ascii="Consolas" w:hAnsi="Consolas"/>
      <w:color w:val="AD0000"/>
      <w:sz w:val="22"/>
      <w:shd w:val="clear" w:color="auto" w:fill="F1F3F5"/>
    </w:rPr>
  </w:style>
  <w:style w:type="character" w:customStyle="1" w:styleId="56">
    <w:name w:val="FloatTok"/>
    <w:basedOn w:val="48"/>
    <w:uiPriority w:val="0"/>
    <w:rPr>
      <w:rFonts w:ascii="Consolas" w:hAnsi="Consolas"/>
      <w:color w:val="AD0000"/>
      <w:sz w:val="22"/>
      <w:shd w:val="clear" w:color="auto" w:fill="F1F3F5"/>
    </w:rPr>
  </w:style>
  <w:style w:type="character" w:customStyle="1" w:styleId="57">
    <w:name w:val="ConstantTok"/>
    <w:basedOn w:val="48"/>
    <w:uiPriority w:val="0"/>
    <w:rPr>
      <w:rFonts w:ascii="Consolas" w:hAnsi="Consolas"/>
      <w:color w:val="8F5902"/>
      <w:sz w:val="22"/>
      <w:shd w:val="clear" w:color="auto" w:fill="F1F3F5"/>
    </w:rPr>
  </w:style>
  <w:style w:type="character" w:customStyle="1" w:styleId="58">
    <w:name w:val="CharTok"/>
    <w:basedOn w:val="48"/>
    <w:uiPriority w:val="0"/>
    <w:rPr>
      <w:rFonts w:ascii="Consolas" w:hAnsi="Consolas"/>
      <w:color w:val="20794D"/>
      <w:sz w:val="22"/>
      <w:shd w:val="clear" w:color="auto" w:fill="F1F3F5"/>
    </w:rPr>
  </w:style>
  <w:style w:type="character" w:customStyle="1" w:styleId="59">
    <w:name w:val="SpecialCharTok"/>
    <w:basedOn w:val="48"/>
    <w:uiPriority w:val="0"/>
    <w:rPr>
      <w:rFonts w:ascii="Consolas" w:hAnsi="Consolas"/>
      <w:color w:val="5E5E5E"/>
      <w:sz w:val="22"/>
      <w:shd w:val="clear" w:color="auto" w:fill="F1F3F5"/>
    </w:rPr>
  </w:style>
  <w:style w:type="character" w:customStyle="1" w:styleId="60">
    <w:name w:val="StringTok"/>
    <w:basedOn w:val="48"/>
    <w:uiPriority w:val="0"/>
    <w:rPr>
      <w:rFonts w:ascii="Consolas" w:hAnsi="Consolas"/>
      <w:color w:val="20794D"/>
      <w:sz w:val="22"/>
      <w:shd w:val="clear" w:color="auto" w:fill="F1F3F5"/>
    </w:rPr>
  </w:style>
  <w:style w:type="character" w:customStyle="1" w:styleId="61">
    <w:name w:val="VerbatimStringTok"/>
    <w:basedOn w:val="48"/>
    <w:uiPriority w:val="0"/>
    <w:rPr>
      <w:rFonts w:ascii="Consolas" w:hAnsi="Consolas"/>
      <w:color w:val="20794D"/>
      <w:sz w:val="22"/>
      <w:shd w:val="clear" w:color="auto" w:fill="F1F3F5"/>
    </w:rPr>
  </w:style>
  <w:style w:type="character" w:customStyle="1" w:styleId="62">
    <w:name w:val="SpecialStringTok"/>
    <w:basedOn w:val="48"/>
    <w:uiPriority w:val="0"/>
    <w:rPr>
      <w:rFonts w:ascii="Consolas" w:hAnsi="Consolas"/>
      <w:color w:val="20794D"/>
      <w:sz w:val="22"/>
      <w:shd w:val="clear" w:color="auto" w:fill="F1F3F5"/>
    </w:rPr>
  </w:style>
  <w:style w:type="character" w:customStyle="1" w:styleId="63">
    <w:name w:val="ImportTok"/>
    <w:basedOn w:val="48"/>
    <w:uiPriority w:val="0"/>
    <w:rPr>
      <w:rFonts w:ascii="Consolas" w:hAnsi="Consolas"/>
      <w:color w:val="00769E"/>
      <w:sz w:val="22"/>
      <w:shd w:val="clear" w:color="auto" w:fill="F1F3F5"/>
    </w:rPr>
  </w:style>
  <w:style w:type="character" w:customStyle="1" w:styleId="64">
    <w:name w:val="CommentTok"/>
    <w:basedOn w:val="48"/>
    <w:uiPriority w:val="0"/>
    <w:rPr>
      <w:rFonts w:ascii="Consolas" w:hAnsi="Consolas"/>
      <w:color w:val="5E5E5E"/>
      <w:sz w:val="22"/>
      <w:shd w:val="clear" w:color="auto" w:fill="F1F3F5"/>
    </w:rPr>
  </w:style>
  <w:style w:type="character" w:customStyle="1" w:styleId="65">
    <w:name w:val="DocumentationTok"/>
    <w:basedOn w:val="48"/>
    <w:uiPriority w:val="0"/>
    <w:rPr>
      <w:rFonts w:ascii="Consolas" w:hAnsi="Consolas"/>
      <w:i/>
      <w:color w:val="5E5E5E"/>
      <w:sz w:val="22"/>
      <w:shd w:val="clear" w:color="auto" w:fill="F1F3F5"/>
    </w:rPr>
  </w:style>
  <w:style w:type="character" w:customStyle="1" w:styleId="66">
    <w:name w:val="AnnotationTok"/>
    <w:basedOn w:val="48"/>
    <w:uiPriority w:val="0"/>
    <w:rPr>
      <w:rFonts w:ascii="Consolas" w:hAnsi="Consolas"/>
      <w:color w:val="5E5E5E"/>
      <w:sz w:val="22"/>
      <w:shd w:val="clear" w:color="auto" w:fill="F1F3F5"/>
    </w:rPr>
  </w:style>
  <w:style w:type="character" w:customStyle="1" w:styleId="67">
    <w:name w:val="CommentVarTok"/>
    <w:basedOn w:val="48"/>
    <w:uiPriority w:val="0"/>
    <w:rPr>
      <w:rFonts w:ascii="Consolas" w:hAnsi="Consolas"/>
      <w:i/>
      <w:color w:val="5E5E5E"/>
      <w:sz w:val="22"/>
      <w:shd w:val="clear" w:color="auto" w:fill="F1F3F5"/>
    </w:rPr>
  </w:style>
  <w:style w:type="character" w:customStyle="1" w:styleId="68">
    <w:name w:val="OtherTok"/>
    <w:basedOn w:val="48"/>
    <w:uiPriority w:val="0"/>
    <w:rPr>
      <w:rFonts w:ascii="Consolas" w:hAnsi="Consolas"/>
      <w:color w:val="003B4F"/>
      <w:sz w:val="22"/>
      <w:shd w:val="clear" w:color="auto" w:fill="F1F3F5"/>
    </w:rPr>
  </w:style>
  <w:style w:type="character" w:customStyle="1" w:styleId="69">
    <w:name w:val="FunctionTok"/>
    <w:basedOn w:val="48"/>
    <w:uiPriority w:val="0"/>
    <w:rPr>
      <w:rFonts w:ascii="Consolas" w:hAnsi="Consolas"/>
      <w:color w:val="4758AB"/>
      <w:sz w:val="22"/>
      <w:shd w:val="clear" w:color="auto" w:fill="F1F3F5"/>
    </w:rPr>
  </w:style>
  <w:style w:type="character" w:customStyle="1" w:styleId="70">
    <w:name w:val="VariableTok"/>
    <w:basedOn w:val="48"/>
    <w:uiPriority w:val="0"/>
    <w:rPr>
      <w:rFonts w:ascii="Consolas" w:hAnsi="Consolas"/>
      <w:color w:val="111111"/>
      <w:sz w:val="22"/>
      <w:shd w:val="clear" w:color="auto" w:fill="F1F3F5"/>
    </w:rPr>
  </w:style>
  <w:style w:type="character" w:customStyle="1" w:styleId="71">
    <w:name w:val="ControlFlowTok"/>
    <w:basedOn w:val="48"/>
    <w:uiPriority w:val="0"/>
    <w:rPr>
      <w:rFonts w:ascii="Consolas" w:hAnsi="Consolas"/>
      <w:b/>
      <w:color w:val="003B4F"/>
      <w:sz w:val="22"/>
      <w:shd w:val="clear" w:color="auto" w:fill="F1F3F5"/>
    </w:rPr>
  </w:style>
  <w:style w:type="character" w:customStyle="1" w:styleId="72">
    <w:name w:val="OperatorTok"/>
    <w:basedOn w:val="48"/>
    <w:uiPriority w:val="0"/>
    <w:rPr>
      <w:rFonts w:ascii="Consolas" w:hAnsi="Consolas"/>
      <w:color w:val="5E5E5E"/>
      <w:sz w:val="22"/>
      <w:shd w:val="clear" w:color="auto" w:fill="F1F3F5"/>
    </w:rPr>
  </w:style>
  <w:style w:type="character" w:customStyle="1" w:styleId="73">
    <w:name w:val="BuiltInTok"/>
    <w:basedOn w:val="48"/>
    <w:uiPriority w:val="0"/>
    <w:rPr>
      <w:rFonts w:ascii="Consolas" w:hAnsi="Consolas"/>
      <w:color w:val="003B4F"/>
      <w:sz w:val="22"/>
      <w:shd w:val="clear" w:color="auto" w:fill="F1F3F5"/>
    </w:rPr>
  </w:style>
  <w:style w:type="character" w:customStyle="1" w:styleId="74">
    <w:name w:val="ExtensionTok"/>
    <w:basedOn w:val="48"/>
    <w:uiPriority w:val="0"/>
    <w:rPr>
      <w:rFonts w:ascii="Consolas" w:hAnsi="Consolas"/>
      <w:color w:val="003B4F"/>
      <w:sz w:val="22"/>
      <w:shd w:val="clear" w:color="auto" w:fill="F1F3F5"/>
    </w:rPr>
  </w:style>
  <w:style w:type="character" w:customStyle="1" w:styleId="75">
    <w:name w:val="PreprocessorTok"/>
    <w:basedOn w:val="48"/>
    <w:uiPriority w:val="0"/>
    <w:rPr>
      <w:rFonts w:ascii="Consolas" w:hAnsi="Consolas"/>
      <w:color w:val="AD0000"/>
      <w:sz w:val="22"/>
      <w:shd w:val="clear" w:color="auto" w:fill="F1F3F5"/>
    </w:rPr>
  </w:style>
  <w:style w:type="character" w:customStyle="1" w:styleId="76">
    <w:name w:val="AttributeTok"/>
    <w:basedOn w:val="48"/>
    <w:uiPriority w:val="0"/>
    <w:rPr>
      <w:rFonts w:ascii="Consolas" w:hAnsi="Consolas"/>
      <w:color w:val="657422"/>
      <w:sz w:val="22"/>
      <w:shd w:val="clear" w:color="auto" w:fill="F1F3F5"/>
    </w:rPr>
  </w:style>
  <w:style w:type="character" w:customStyle="1" w:styleId="77">
    <w:name w:val="RegionMarkerTok"/>
    <w:basedOn w:val="48"/>
    <w:uiPriority w:val="0"/>
    <w:rPr>
      <w:rFonts w:ascii="Consolas" w:hAnsi="Consolas"/>
      <w:color w:val="003B4F"/>
      <w:sz w:val="22"/>
      <w:shd w:val="clear" w:color="auto" w:fill="F1F3F5"/>
    </w:rPr>
  </w:style>
  <w:style w:type="character" w:customStyle="1" w:styleId="78">
    <w:name w:val="InformationTok"/>
    <w:basedOn w:val="48"/>
    <w:uiPriority w:val="0"/>
    <w:rPr>
      <w:rFonts w:ascii="Consolas" w:hAnsi="Consolas"/>
      <w:color w:val="5E5E5E"/>
      <w:sz w:val="22"/>
      <w:shd w:val="clear" w:color="auto" w:fill="F1F3F5"/>
    </w:rPr>
  </w:style>
  <w:style w:type="character" w:customStyle="1" w:styleId="79">
    <w:name w:val="WarningTok"/>
    <w:basedOn w:val="48"/>
    <w:uiPriority w:val="0"/>
    <w:rPr>
      <w:rFonts w:ascii="Consolas" w:hAnsi="Consolas"/>
      <w:i/>
      <w:color w:val="5E5E5E"/>
      <w:sz w:val="22"/>
      <w:shd w:val="clear" w:color="auto" w:fill="F1F3F5"/>
    </w:rPr>
  </w:style>
  <w:style w:type="character" w:customStyle="1" w:styleId="80">
    <w:name w:val="AlertTok"/>
    <w:basedOn w:val="48"/>
    <w:uiPriority w:val="0"/>
    <w:rPr>
      <w:rFonts w:ascii="Consolas" w:hAnsi="Consolas"/>
      <w:color w:val="AD0000"/>
      <w:sz w:val="22"/>
      <w:shd w:val="clear" w:color="auto" w:fill="F1F3F5"/>
    </w:rPr>
  </w:style>
  <w:style w:type="character" w:customStyle="1" w:styleId="81">
    <w:name w:val="ErrorTok"/>
    <w:basedOn w:val="48"/>
    <w:uiPriority w:val="0"/>
    <w:rPr>
      <w:rFonts w:ascii="Consolas" w:hAnsi="Consolas"/>
      <w:color w:val="AD0000"/>
      <w:sz w:val="22"/>
      <w:shd w:val="clear" w:color="auto" w:fill="F1F3F5"/>
    </w:rPr>
  </w:style>
  <w:style w:type="character" w:customStyle="1" w:styleId="82">
    <w:name w:val="NormalTok"/>
    <w:basedOn w:val="48"/>
    <w:uiPriority w:val="0"/>
    <w:rPr>
      <w:rFonts w:ascii="Consolas" w:hAnsi="Consolas"/>
      <w:color w:val="003B4F"/>
      <w:sz w:val="22"/>
      <w:shd w:val="clear" w:color="auto" w:fill="F1F3F5"/>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10874</Words>
  <Characters>61983</Characters>
  <Lines>516</Lines>
  <Paragraphs>145</Paragraphs>
  <TotalTime>70</TotalTime>
  <ScaleCrop>false</ScaleCrop>
  <LinksUpToDate>false</LinksUpToDate>
  <CharactersWithSpaces>72712</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2025-05-20T00:03:00Z</dcterms:created>
  <dc:creator>Ziyuan Li; Stefano Coretta</dc:creator>
  <cp:keywords>Bilingualism • Dementia • Alzheimer’s disease • Bayesian Meta-analysis</cp:keywords>
  <cp:lastModifiedBy>WPS_1749092674</cp:lastModifiedBy>
  <dcterms:modified xsi:type="dcterms:W3CDTF">2025-07-03T17:14:18Z</dcterms:modified>
  <dc:title>Bilingualism Effect for Delaying Dementia Onset: A Bayesian Meta-Analysis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suggests that lifelong practice of two or more languages may contribute to cognitive reserve and protect against dementia. Most retrospective studies that compared bilinguals’ and monolinguals’ age at dementia onset revealed a delay for bilinguals. However, other retrospective studies point out that such protective effects of bilingualism are specific to some types of dementia but not others. Some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3.45 years older than monolinguals when having the first symptom onset (95% credible interval (Crl): [2.8, 4.1]). Moreover, the result was only slightly influenced by years of education, although it is relatively uncertain about the effect of education on dementia. The results from 6 incidence rate studies did not provide robust evidence for bilingualism’s preventive effect. Therefore, this meta-analysis demonstrated that bilingualism has potential effects in delaying the onset of dementia but not preventing 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2025-05-14</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y fmtid="{D5CDD505-2E9C-101B-9397-08002B2CF9AE}" pid="17" name="KSOProductBuildVer">
    <vt:lpwstr>2052-6.15.0.8733</vt:lpwstr>
  </property>
  <property fmtid="{D5CDD505-2E9C-101B-9397-08002B2CF9AE}" pid="18" name="ICV">
    <vt:lpwstr>B6B9CDFFDB1D9CBD83376668B275629D_42</vt:lpwstr>
  </property>
</Properties>
</file>