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17365D"/>
          <w:sz w:val="44"/>
        </w:rPr>
        <w:t>本科毕业设计开题报告与可执行实验规格</w:t>
      </w:r>
    </w:p>
    <w:p>
      <w:pPr>
        <w:spacing w:before="400"/>
        <w:jc w:val="center"/>
      </w:pPr>
      <w:r>
        <w:rPr>
          <w:b/>
          <w:sz w:val="34"/>
        </w:rPr>
        <w:t>渐变环境下基于分布迁移的轻量级动态多目标优化算法</w:t>
      </w:r>
    </w:p>
    <w:p>
      <w:pPr>
        <w:jc w:val="center"/>
      </w:pPr>
      <w:r>
        <w:t>学院：____________________________</w:t>
      </w:r>
    </w:p>
    <w:p>
      <w:pPr>
        <w:jc w:val="center"/>
      </w:pPr>
      <w:r>
        <w:t>专业：计算机科学与技术</w:t>
      </w:r>
    </w:p>
    <w:p>
      <w:pPr>
        <w:jc w:val="center"/>
      </w:pPr>
      <w:r>
        <w:t>学生姓名：______________________</w:t>
      </w:r>
    </w:p>
    <w:p>
      <w:pPr>
        <w:jc w:val="center"/>
      </w:pPr>
      <w:r>
        <w:t>学号：____________________________</w:t>
      </w:r>
    </w:p>
    <w:p>
      <w:pPr>
        <w:jc w:val="center"/>
      </w:pPr>
      <w:r>
        <w:t>指导教师：________________________</w:t>
      </w:r>
    </w:p>
    <w:p>
      <w:pPr>
        <w:jc w:val="center"/>
      </w:pPr>
      <w:r>
        <w:t>日期：____________________________</w:t>
      </w:r>
    </w:p>
    <w:p>
      <w:r>
        <w:br w:type="page"/>
      </w:r>
    </w:p>
    <w:p>
      <w:pPr>
        <w:pStyle w:val="Heading1"/>
      </w:pPr>
      <w:r>
        <w:t>使用说明：本文件是研究规格，不是实验结果</w:t>
      </w:r>
    </w:p>
    <w:p>
      <w:r>
        <w:t>本文档同时包含本科开题报告、算法规格、可执行软件需求、实验协议和参考来源。文献事实由所列来源支持；轻量迁移算法及默认参数属于本课题拟议方案，尚待实验验证，不得写成已经取得的结果。</w:t>
      </w:r>
    </w:p>
    <w:p>
      <w:pPr>
        <w:pStyle w:val="ListBullet"/>
      </w:pPr>
      <w:r>
        <w:t>把本文档交给代码生成 AI 时，要求其逐文件输出完整代码、依赖文件、README、单元测试、实验运行器和分析脚本。禁止伪代码、TODO、pass、未实现函数、代码省略号和虚构实验数据。</w:t>
      </w:r>
    </w:p>
    <w:p>
      <w:pPr>
        <w:pStyle w:val="ListBullet"/>
      </w:pPr>
      <w:r>
        <w:t>FDA1/FDA3/FDA4 在不同论文或软件实现中可能存在版本差异。不得凭记忆猜公式。必须从明确版本的原论文/公开代码逐项核验公式、边界、时间参数和 Pareto 前沿生成方式，并保存 URL、版本/commit 和校验值。无法核验时，暂停标准 FDA 结果发布，或标为 FDA-inspired 自定义问题。</w:t>
      </w:r>
    </w:p>
    <w:p>
      <w:pPr>
        <w:pStyle w:val="ListBullet"/>
      </w:pPr>
      <w:r>
        <w:t>实际 IGD、HV、耗时、显著性检验结果只能由程序运行生成。本文没有声称候选算法已经优于任何基线。</w:t>
      </w:r>
    </w:p>
    <w:p>
      <w:r>
        <w:br w:type="page"/>
      </w:r>
    </w:p>
    <w:p>
      <w:pPr>
        <w:pStyle w:val="Heading1"/>
      </w:pPr>
      <w:r>
        <w:t>一、研究背景与意义</w:t>
      </w:r>
    </w:p>
    <w:p>
      <w:pPr>
        <w:pStyle w:val="Heading2"/>
      </w:pPr>
      <w:r>
        <w:t>1.1 多目标优化的工程价值</w:t>
      </w:r>
    </w:p>
    <w:p>
      <w:r>
        <w:t>车间调度需要兼顾完工时间、能耗和交付延迟；机器人路径规划需要平衡路径长度、碰撞风险和运动平滑性；工业能效优化需要同时考虑产量、能耗、设备磨损与排放。多个目标通常相互冲突，因此算法需要寻找一组非支配折中解，而非仅输出单一加权结果。NSGA-II 通过快速非支配排序、拥挤距离和父代—子代精英保留机制，成为经典进化多目标算法[1]。</w:t>
      </w:r>
    </w:p>
    <w:p>
      <w:pPr>
        <w:pStyle w:val="Heading2"/>
      </w:pPr>
      <w:r>
        <w:t>1.2 动态多目标优化与渐变环境</w:t>
      </w:r>
    </w:p>
    <w:p>
      <w:r>
        <w:t>动态多目标优化问题（DMOP）是目标函数、约束条件或环境参数随时间变化的多目标优化问题。环境变化后，旧环境的 Pareto 最优解集/前沿可能不再适用，算法需要在有限计算预算内重新跟踪最优解集。Jiang 等的综述系统整理了动态多目标进化优化的变化类型、响应策略、基准与研究问题[2]。</w:t>
      </w:r>
    </w:p>
    <w:p>
      <w:r>
        <w:t>本课题把渐变环境操作化为相邻时刻环境参数连续变化或小幅变化。旧种群可能含有可迁移信息；随机重启可能丢弃有效信息；复杂概率模型则可能带来额外拟合与采样开销。FDA 系列是动态多目标优化常用测试问题来源[3]，但每个变体的公式与时间参数必须以锁定版本为准。</w:t>
      </w:r>
    </w:p>
    <w:p>
      <w:pPr>
        <w:pStyle w:val="Heading2"/>
      </w:pPr>
      <w:r>
        <w:t>1.3 理论意义与工程价值</w:t>
      </w:r>
    </w:p>
    <w:p>
      <w:r>
        <w:t>理论层面，研究种群位置分布统计量是否能作为低成本历史知识表示，并分析其收益与负迁移条件。工程层面，实现依赖向量化数值计算的迁移模块，通过 IGD、HV、恢复速度和运行时间判断其是否在精度与开销之间取得折中。结论只适用于实际测试的问题、参数和硬件范围，不直接外推到所有真实工程任务。</w:t>
      </w:r>
    </w:p>
    <w:p>
      <w:pPr>
        <w:pStyle w:val="Heading1"/>
      </w:pPr>
      <w:r>
        <w:t>二、国内外研究现状</w:t>
      </w:r>
    </w:p>
    <w:p>
      <w:pPr>
        <w:pStyle w:val="Heading2"/>
      </w:pPr>
      <w:r>
        <w:t>2.1 静态多目标优化</w:t>
      </w:r>
    </w:p>
    <w:p>
      <w:r>
        <w:t>NSGA-II 采用快速非支配排序、拥挤距离和精英环境选择[1]。它的优势是实现成熟且便于扩展；其基础版本不显式使用历史环境知识。当环境改变导致目标值或 Pareto 前沿变化时，旧精英个体可能不再有优势，因此动态问题需要变化检测和响应机制[2]。</w:t>
      </w:r>
    </w:p>
    <w:p>
      <w:pPr>
        <w:pStyle w:val="Heading2"/>
      </w:pPr>
      <w:r>
        <w:t>2.2 动态多目标优化方法分类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9"/>
          </w:tcPr>
          <w:p>
            <w:r>
              <w:rPr>
                <w:b/>
                <w:color w:val="FFFFFF"/>
              </w:rPr>
              <w:t>类别</w:t>
            </w:r>
          </w:p>
        </w:tc>
        <w:tc>
          <w:tcPr>
            <w:tcW w:type="dxa" w:w="2484"/>
            <w:shd w:fill="1F4E79"/>
          </w:tcPr>
          <w:p>
            <w:r>
              <w:rPr>
                <w:b/>
                <w:color w:val="FFFFFF"/>
              </w:rPr>
              <w:t>核心机制</w:t>
            </w:r>
          </w:p>
        </w:tc>
        <w:tc>
          <w:tcPr>
            <w:tcW w:type="dxa" w:w="2484"/>
            <w:shd w:fill="1F4E79"/>
          </w:tcPr>
          <w:p>
            <w:r>
              <w:rPr>
                <w:b/>
                <w:color w:val="FFFFFF"/>
              </w:rPr>
              <w:t>优点</w:t>
            </w:r>
          </w:p>
        </w:tc>
        <w:tc>
          <w:tcPr>
            <w:tcW w:type="dxa" w:w="2484"/>
            <w:shd w:fill="1F4E79"/>
          </w:tcPr>
          <w:p>
            <w:r>
              <w:rPr>
                <w:b/>
                <w:color w:val="FFFFFF"/>
              </w:rPr>
              <w:t>风险与本课题处理</w:t>
            </w:r>
          </w:p>
        </w:tc>
      </w:tr>
      <w:tr>
        <w:tc>
          <w:tcPr>
            <w:tcW w:type="dxa" w:w="2484"/>
          </w:tcPr>
          <w:p>
            <w:r>
              <w:t>响应式</w:t>
            </w:r>
          </w:p>
        </w:tc>
        <w:tc>
          <w:tcPr>
            <w:tcW w:type="dxa" w:w="2484"/>
          </w:tcPr>
          <w:p>
            <w:r>
              <w:t>变化后随机重启、超变异或增加探索</w:t>
            </w:r>
          </w:p>
        </w:tc>
        <w:tc>
          <w:tcPr>
            <w:tcW w:type="dxa" w:w="2484"/>
          </w:tcPr>
          <w:p>
            <w:r>
              <w:t>实现简单</w:t>
            </w:r>
          </w:p>
        </w:tc>
        <w:tc>
          <w:tcPr>
            <w:tcW w:type="dxa" w:w="2484"/>
          </w:tcPr>
          <w:p>
            <w:r>
              <w:t>可能丢弃历史信息；DNSGA-II 必须锁定确切变体[4]</w:t>
            </w:r>
          </w:p>
        </w:tc>
      </w:tr>
      <w:tr>
        <w:tc>
          <w:tcPr>
            <w:tcW w:type="dxa" w:w="2484"/>
          </w:tcPr>
          <w:p>
            <w:r>
              <w:t>预测式</w:t>
            </w:r>
          </w:p>
        </w:tc>
        <w:tc>
          <w:tcPr>
            <w:tcW w:type="dxa" w:w="2484"/>
          </w:tcPr>
          <w:p>
            <w:r>
              <w:t>利用历史解集/中心预测新环境搜索区域</w:t>
            </w:r>
          </w:p>
        </w:tc>
        <w:tc>
          <w:tcPr>
            <w:tcW w:type="dxa" w:w="2484"/>
          </w:tcPr>
          <w:p>
            <w:r>
              <w:t>渐变规律下可能响应快</w:t>
            </w:r>
          </w:p>
        </w:tc>
        <w:tc>
          <w:tcPr>
            <w:tcW w:type="dxa" w:w="2484"/>
          </w:tcPr>
          <w:p>
            <w:r>
              <w:t>预测误差会累积；本课题定义一阶趋势基线</w:t>
            </w:r>
          </w:p>
        </w:tc>
      </w:tr>
      <w:tr>
        <w:tc>
          <w:tcPr>
            <w:tcW w:type="dxa" w:w="2484"/>
          </w:tcPr>
          <w:p>
            <w:r>
              <w:t>多样性保持</w:t>
            </w:r>
          </w:p>
        </w:tc>
        <w:tc>
          <w:tcPr>
            <w:tcW w:type="dxa" w:w="2484"/>
          </w:tcPr>
          <w:p>
            <w:r>
              <w:t>记忆库、多子群或多样性增强</w:t>
            </w:r>
          </w:p>
        </w:tc>
        <w:tc>
          <w:tcPr>
            <w:tcW w:type="dxa" w:w="2484"/>
          </w:tcPr>
          <w:p>
            <w:r>
              <w:t>保留不同搜索方向</w:t>
            </w:r>
          </w:p>
        </w:tc>
        <w:tc>
          <w:tcPr>
            <w:tcW w:type="dxa" w:w="2484"/>
          </w:tcPr>
          <w:p>
            <w:r>
              <w:t>增加存储和计算开销</w:t>
            </w:r>
          </w:p>
        </w:tc>
      </w:tr>
      <w:tr>
        <w:tc>
          <w:tcPr>
            <w:tcW w:type="dxa" w:w="2484"/>
          </w:tcPr>
          <w:p>
            <w:r>
              <w:t>知识迁移</w:t>
            </w:r>
          </w:p>
        </w:tc>
        <w:tc>
          <w:tcPr>
            <w:tcW w:type="dxa" w:w="2484"/>
          </w:tcPr>
          <w:p>
            <w:r>
              <w:t>迁移历史个体、分布或模型</w:t>
            </w:r>
          </w:p>
        </w:tc>
        <w:tc>
          <w:tcPr>
            <w:tcW w:type="dxa" w:w="2484"/>
          </w:tcPr>
          <w:p>
            <w:r>
              <w:t>利用环境间相关性</w:t>
            </w:r>
          </w:p>
        </w:tc>
        <w:tc>
          <w:tcPr>
            <w:tcW w:type="dxa" w:w="2484"/>
          </w:tcPr>
          <w:p>
            <w:r>
              <w:t>迁移过强导致负迁移，模型训练有额外成本</w:t>
            </w:r>
          </w:p>
        </w:tc>
      </w:tr>
    </w:tbl>
    <w:p/>
    <w:p>
      <w:pPr>
        <w:pStyle w:val="Heading2"/>
      </w:pPr>
      <w:r>
        <w:t>2.3 知识迁移与邹娟团队相关工作</w:t>
      </w:r>
    </w:p>
    <w:p>
      <w:r>
        <w:t>Zou 等提出 KTMM，以高斯混合模型捕获历史环境知识并用于新环境种群初始化，面向不规则环境变化；论文发表于 IEEE Transactions on Evolutionary Computation，29(5):1517–1530，DOI:10.1109/TEVC.2025.3566481[5]。作者公开仓库说明该实现基于 PlatEMO，并提供 KTMM-NSGA-II 与相关动态问题文件[6]。</w:t>
      </w:r>
    </w:p>
    <w:p>
      <w:r>
        <w:t>本课题不复现 KTMM 的 GMM 模型，而研究更简单的均值/标准差迁移。该方案是本课题拟提出的工程方法，不是 KTMM 的等价实现。不能在实验前推断简单迁移一定比 GMM 快或精度更好。</w:t>
      </w:r>
    </w:p>
    <w:p>
      <w:pPr>
        <w:pStyle w:val="Heading2"/>
      </w:pPr>
      <w:r>
        <w:t>2.4 研究问题与边界</w:t>
      </w:r>
    </w:p>
    <w:p>
      <w:r>
        <w:t>不能笼统声称“分布迁移没有研究”。更具体的问题是：在指定渐变基准、固定评估预算与轻量级约束下，简单分布统计迁移能否在不显著损害 IGD/HV 的情况下减少恢复代数或运行时间。答案目前未知，需要实验验证。</w:t>
      </w:r>
    </w:p>
    <w:p>
      <w:pPr>
        <w:pStyle w:val="Heading1"/>
      </w:pPr>
      <w:r>
        <w:t>三、研究目标、内容与创新点</w:t>
      </w:r>
    </w:p>
    <w:p>
      <w:pPr>
        <w:pStyle w:val="Heading2"/>
      </w:pPr>
      <w:r>
        <w:t>3.1 研究目标</w:t>
      </w:r>
    </w:p>
    <w:p>
      <w:r>
        <w:t>实现可复现的动态多目标优化实验系统，提出基于种群均值/标准差趋势的轻量级迁移初始化策略，并与响应式、预测式和全分布模型对照比较。</w:t>
      </w:r>
    </w:p>
    <w:p>
      <w:pPr>
        <w:pStyle w:val="Heading2"/>
      </w:pPr>
      <w:r>
        <w:t>3.2 研究内容</w:t>
      </w:r>
    </w:p>
    <w:p>
      <w:pPr>
        <w:pStyle w:val="ListNumber"/>
      </w:pPr>
      <w:r>
        <w:t>基准与基线：核验问题公式和代码版本；实现/接入 NSGA-II；实现响应式、预测式和全分布模型对照。</w:t>
      </w:r>
    </w:p>
    <w:p>
      <w:pPr>
        <w:pStyle w:val="ListNumber"/>
      </w:pPr>
      <w:r>
        <w:t>轻量迁移模块：记录各环境种群均值、标准差与环境编号；以相邻环境均值差预测新中心；混合迁移候选、保留个体和随机候选；加入边界裁剪与异常回退。</w:t>
      </w:r>
    </w:p>
    <w:p>
      <w:pPr>
        <w:pStyle w:val="ListNumber"/>
      </w:pPr>
      <w:r>
        <w:t>实验验证：主对比、消融、参数敏感性、统计检验；输出原始 CSV、配置、运行环境、收敛曲线与耗时图。</w:t>
      </w:r>
    </w:p>
    <w:p>
      <w:pPr>
        <w:pStyle w:val="Heading2"/>
      </w:pPr>
      <w:r>
        <w:t>3.3 待检验假设</w:t>
      </w:r>
    </w:p>
    <w:p>
      <w:pPr>
        <w:pStyle w:val="ListBullet"/>
      </w:pPr>
      <w:r>
        <w:t>H1：部分渐变测试实例中，候选算法 IGD 不劣于响应式基线，并可能更快恢复。</w:t>
      </w:r>
    </w:p>
    <w:p>
      <w:pPr>
        <w:pStyle w:val="ListBullet"/>
      </w:pPr>
      <w:r>
        <w:t>H2：均值/标准差迁移模块的额外耗时低于 GMM 全分布对照。</w:t>
      </w:r>
    </w:p>
    <w:p>
      <w:pPr>
        <w:pStyle w:val="ListBullet"/>
      </w:pPr>
      <w:r>
        <w:t>H3：移除趋势迁移或分布特征后，至少一项指标出现可测量变化。</w:t>
      </w:r>
    </w:p>
    <w:p>
      <w:pPr>
        <w:pStyle w:val="ListBullet"/>
      </w:pPr>
      <w:r>
        <w:t>H4：迁移收益依赖变化幅度和频率；环境方向突变时可能产生负迁移。</w:t>
      </w:r>
    </w:p>
    <w:p>
      <w:pPr>
        <w:pStyle w:val="Heading2"/>
      </w:pPr>
      <w:r>
        <w:t>3.4 适度创新点</w:t>
      </w:r>
    </w:p>
    <w:p>
      <w:pPr>
        <w:pStyle w:val="ListBullet"/>
      </w:pPr>
      <w:r>
        <w:t>采用逐维均值、标准差作为低成本分布表示，不将复杂概率模型训练作为候选算法的必要步骤。</w:t>
      </w:r>
    </w:p>
    <w:p>
      <w:pPr>
        <w:pStyle w:val="ListBullet"/>
      </w:pPr>
      <w:r>
        <w:t>利用相邻环境均值差估计新环境的种群中心，并以混合初始化限制迁移风险。</w:t>
      </w:r>
    </w:p>
    <w:p>
      <w:pPr>
        <w:pStyle w:val="ListBullet"/>
      </w:pPr>
      <w:r>
        <w:t>通过消融和模块耗时记录分别检验特征简化与趋势迁移的贡献。</w:t>
      </w:r>
    </w:p>
    <w:p>
      <w:r>
        <w:t>在系统文献检索和实验完成前，不使用“首次提出”“全面优于现有算法”等无法证实的表述。</w:t>
      </w:r>
    </w:p>
    <w:p>
      <w:pPr>
        <w:pStyle w:val="Heading1"/>
      </w:pPr>
      <w:r>
        <w:t>四、研究方法与技术路线</w:t>
      </w:r>
    </w:p>
    <w:p>
      <w:pPr>
        <w:pStyle w:val="ListBullet"/>
      </w:pPr>
      <w:r>
        <w:t>文献研究：以 DOI、出版社页面和作者公开仓库核验算法与测试问题。</w:t>
      </w:r>
    </w:p>
    <w:p>
      <w:pPr>
        <w:pStyle w:val="ListBullet"/>
      </w:pPr>
      <w:r>
        <w:t>基线复现：记录论文、代码链接、版本/commit、参数映射和偏离原文之处。</w:t>
      </w:r>
    </w:p>
    <w:p>
      <w:pPr>
        <w:pStyle w:val="ListBullet"/>
      </w:pPr>
      <w:r>
        <w:t>对比实验：统一种群规模、环境变化时刻、函数评估预算、随机种子和硬件。</w:t>
      </w:r>
    </w:p>
    <w:p>
      <w:pPr>
        <w:pStyle w:val="ListBullet"/>
      </w:pPr>
      <w:r>
        <w:t>消融实验：分别关闭趋势迁移、分布统计迁移，并保持其他配置一致。</w:t>
      </w:r>
    </w:p>
    <w:p>
      <w:pPr>
        <w:pStyle w:val="ListBullet"/>
      </w:pPr>
      <w:r>
        <w:t>统计分析：报告均值、标准差、中位数和 IQR；使用配对非参数检验，并控制多重比较。</w:t>
      </w:r>
    </w:p>
    <w:p>
      <w:r>
        <w:t>技术路线：问题定义 → 核验 FDA/dMOP 源码 → 静态 NSGA-II → 动态时钟/变化检测 → 响应式和预测基线 → 轻量迁移算法 → 单元测试与冒烟实验 → 30 次重复主实验 → 消融/敏感性 → 统计分析 → 论文。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</w:tcPr>
          <w:p>
            <w:r>
              <w:rPr>
                <w:b/>
                <w:color w:val="FFFFFF"/>
              </w:rPr>
              <w:t>技术点</w:t>
            </w:r>
          </w:p>
        </w:tc>
        <w:tc>
          <w:tcPr>
            <w:tcW w:type="dxa" w:w="3312"/>
            <w:shd w:fill="1F4E79"/>
          </w:tcPr>
          <w:p>
            <w:r>
              <w:rPr>
                <w:b/>
                <w:color w:val="FFFFFF"/>
              </w:rPr>
              <w:t>建议选型</w:t>
            </w:r>
          </w:p>
        </w:tc>
        <w:tc>
          <w:tcPr>
            <w:tcW w:type="dxa" w:w="3312"/>
            <w:shd w:fill="1F4E79"/>
          </w:tcPr>
          <w:p>
            <w:r>
              <w:rPr>
                <w:b/>
                <w:color w:val="FFFFFF"/>
              </w:rPr>
              <w:t>来源/限制</w:t>
            </w:r>
          </w:p>
        </w:tc>
      </w:tr>
      <w:tr>
        <w:tc>
          <w:tcPr>
            <w:tcW w:type="dxa" w:w="3312"/>
          </w:tcPr>
          <w:p>
            <w:r>
              <w:t>语言</w:t>
            </w:r>
          </w:p>
        </w:tc>
        <w:tc>
          <w:tcPr>
            <w:tcW w:type="dxa" w:w="3312"/>
          </w:tcPr>
          <w:p>
            <w:r>
              <w:t>Python 3.11、NumPy</w:t>
            </w:r>
          </w:p>
        </w:tc>
        <w:tc>
          <w:tcPr>
            <w:tcW w:type="dxa" w:w="3312"/>
          </w:tcPr>
          <w:p>
            <w:r>
              <w:t>版本写入环境清单</w:t>
            </w:r>
          </w:p>
        </w:tc>
      </w:tr>
      <w:tr>
        <w:tc>
          <w:tcPr>
            <w:tcW w:type="dxa" w:w="3312"/>
          </w:tcPr>
          <w:p>
            <w:r>
              <w:t>算法框架</w:t>
            </w:r>
          </w:p>
        </w:tc>
        <w:tc>
          <w:tcPr>
            <w:tcW w:type="dxa" w:w="3312"/>
          </w:tcPr>
          <w:p>
            <w:r>
              <w:t>pymoo NSGA-II 或经测试的自实现</w:t>
            </w:r>
          </w:p>
        </w:tc>
        <w:tc>
          <w:tcPr>
            <w:tcW w:type="dxa" w:w="3312"/>
          </w:tcPr>
          <w:p>
            <w:r>
              <w:t>pymoo 官方算法文档[8]</w:t>
            </w:r>
          </w:p>
        </w:tc>
      </w:tr>
      <w:tr>
        <w:tc>
          <w:tcPr>
            <w:tcW w:type="dxa" w:w="3312"/>
          </w:tcPr>
          <w:p>
            <w:r>
              <w:t>动态基准</w:t>
            </w:r>
          </w:p>
        </w:tc>
        <w:tc>
          <w:tcPr>
            <w:tcW w:type="dxa" w:w="3312"/>
          </w:tcPr>
          <w:p>
            <w:r>
              <w:t>核验后的 FDA1/3/4；dMOP 补充</w:t>
            </w:r>
          </w:p>
        </w:tc>
        <w:tc>
          <w:tcPr>
            <w:tcW w:type="dxa" w:w="3312"/>
          </w:tcPr>
          <w:p>
            <w:r>
              <w:t>Farina 等[3]及公开代码</w:t>
            </w:r>
          </w:p>
        </w:tc>
      </w:tr>
      <w:tr>
        <w:tc>
          <w:tcPr>
            <w:tcW w:type="dxa" w:w="3312"/>
          </w:tcPr>
          <w:p>
            <w:r>
              <w:t>指标</w:t>
            </w:r>
          </w:p>
        </w:tc>
        <w:tc>
          <w:tcPr>
            <w:tcW w:type="dxa" w:w="3312"/>
          </w:tcPr>
          <w:p>
            <w:r>
              <w:t>IGD、HV</w:t>
            </w:r>
          </w:p>
        </w:tc>
        <w:tc>
          <w:tcPr>
            <w:tcW w:type="dxa" w:w="3312"/>
          </w:tcPr>
          <w:p>
            <w:r>
              <w:t>定义和 API 参考 pymoo 文档[7]</w:t>
            </w:r>
          </w:p>
        </w:tc>
      </w:tr>
      <w:tr>
        <w:tc>
          <w:tcPr>
            <w:tcW w:type="dxa" w:w="3312"/>
          </w:tcPr>
          <w:p>
            <w:r>
              <w:t>数据分析</w:t>
            </w:r>
          </w:p>
        </w:tc>
        <w:tc>
          <w:tcPr>
            <w:tcW w:type="dxa" w:w="3312"/>
          </w:tcPr>
          <w:p>
            <w:r>
              <w:t>pandas、Matplotlib、SciPy</w:t>
            </w:r>
          </w:p>
        </w:tc>
        <w:tc>
          <w:tcPr>
            <w:tcW w:type="dxa" w:w="3312"/>
          </w:tcPr>
          <w:p>
            <w:r>
              <w:t>原始 CSV 自动生成统计和图</w:t>
            </w:r>
          </w:p>
        </w:tc>
      </w:tr>
      <w:tr>
        <w:tc>
          <w:tcPr>
            <w:tcW w:type="dxa" w:w="3312"/>
          </w:tcPr>
          <w:p>
            <w:r>
              <w:t>平台交叉核验</w:t>
            </w:r>
          </w:p>
        </w:tc>
        <w:tc>
          <w:tcPr>
            <w:tcW w:type="dxa" w:w="3312"/>
          </w:tcPr>
          <w:p>
            <w:r>
              <w:t>PlatEMO</w:t>
            </w:r>
          </w:p>
        </w:tc>
        <w:tc>
          <w:tcPr>
            <w:tcW w:type="dxa" w:w="3312"/>
          </w:tcPr>
          <w:p>
            <w:r>
              <w:t>算法/问题参照；需锁定 commit[9]</w:t>
            </w:r>
          </w:p>
        </w:tc>
      </w:tr>
    </w:tbl>
    <w:p/>
    <w:p>
      <w:pPr>
        <w:pStyle w:val="Heading1"/>
      </w:pPr>
      <w:r>
        <w:t>五、拟议算法规格：LDT-NSGA-II</w:t>
      </w:r>
    </w:p>
    <w:p>
      <w:pPr>
        <w:pStyle w:val="Heading2"/>
      </w:pPr>
      <w:r>
        <w:t>5.1 分布特征</w:t>
      </w:r>
    </w:p>
    <w:p>
      <w:r>
        <w:t>设决策维数 D、种群规模 N，环境 e 的种群为 P_e={x_i}，边界为 [l,u]^D。逐维均值 μ_e=mean(P_e)，逐维标准差 σ_e=std(P_e,ddof=0)。通过向量化 mean/std 提取特征，复杂度 O(ND)，不拟合 GMM、不构造协方差矩阵。标准差下限设为 σ_min=0.001×(u−l)，避免维度退化导致候选完全重合。</w:t>
      </w:r>
    </w:p>
    <w:p>
      <w:pPr>
        <w:pStyle w:val="Heading2"/>
      </w:pPr>
      <w:r>
        <w:t>5.2 趋势中心与采样</w:t>
      </w:r>
    </w:p>
    <w:p>
      <w:r>
        <w:t>若已有最近两个环境的统计量，预测中心 μ̂_(e+1)=clip(μ_e+α(μ_e−μ_(e−1)),l,u)。若历史不足两个环境，则 μ̂_(e+1)=μ_e。趋势系数默认 α=0.5，敏感性测试 {0,0.25,0.5,0.75,1.0}。迁移候选按 x_tr=clip(μ̂_(e+1)+z⊙σ_e,l,u) 采样，其中 z~N(0,I)。</w:t>
      </w:r>
    </w:p>
    <w:p>
      <w:r>
        <w:t>新种群由迁移候选、旧种群保留和均匀随机候选组成。默认迁移比例 ρ=0.5、旧种群保留比例 κ=0.2、随机比例 1−ρ−κ=0.3，且强制 ρ+κ≤1。非有限迁移值用均匀随机样本替换。上述数值是待测工程默认值，不是文献证明的最优值。</w:t>
      </w:r>
    </w:p>
    <w:p>
      <w:pPr>
        <w:pStyle w:val="Heading2"/>
      </w:pPr>
      <w:r>
        <w:t>5.3 环境切换顺序</w:t>
      </w:r>
    </w:p>
    <w:p>
      <w:pPr>
        <w:pStyle w:val="ListNumber"/>
      </w:pPr>
      <w:r>
        <w:t>在环境 e 内按固定目标函数评估预算运行算法，保存种群 X_e、μ_e、σ_e 和环境编号。</w:t>
      </w:r>
    </w:p>
    <w:p>
      <w:pPr>
        <w:pStyle w:val="ListNumber"/>
      </w:pPr>
      <w:r>
        <w:t>切换环境后按对应算法构造新种群；所有个体必须在新环境下重新计算目标值。</w:t>
      </w:r>
    </w:p>
    <w:p>
      <w:pPr>
        <w:pStyle w:val="ListNumber"/>
      </w:pPr>
      <w:r>
        <w:t>进行非支配排序和环境选择，继续进化；IGD/HV 必须使用当前环境的参考前沿。</w:t>
      </w:r>
    </w:p>
    <w:p>
      <w:pPr>
        <w:pStyle w:val="ListNumber"/>
      </w:pPr>
      <w:r>
        <w:t>记录环境变化后第 0、1、2、5、10 代的指标，以测量恢复速度。</w:t>
      </w:r>
    </w:p>
    <w:p>
      <w:r>
        <w:t>主实验使用测试器提供的 oracle change flag，避免把变化检测误差混入迁移效果。在线变化检测可作为扩展实验，不能与 oracle 主实验混为一谈。</w:t>
      </w:r>
    </w:p>
    <w:p>
      <w:pPr>
        <w:pStyle w:val="Heading2"/>
      </w:pPr>
      <w:r>
        <w:t>5.4 复杂度与轻量级判定</w:t>
      </w:r>
    </w:p>
    <w:p>
      <w:r>
        <w:t>分布统计与迁移采样各为 O(ND)，但完整算法仍包含非支配排序、交叉、变异和目标评估。轻量级结论必须由实测迁移模块耗时、每代耗时、总耗时和必要时的内存记录支持，不能只依据算法描述或代码行数。</w:t>
      </w:r>
    </w:p>
    <w:p>
      <w:pPr>
        <w:pStyle w:val="Heading1"/>
      </w:pPr>
      <w:r>
        <w:t>六、可直接交给 AI 的软件实现规格</w:t>
      </w:r>
    </w:p>
    <w:p>
      <w:pPr>
        <w:pStyle w:val="Heading2"/>
      </w:pPr>
      <w:r>
        <w:t>6.1 目录结构与文件责任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9"/>
          </w:tcPr>
          <w:p>
            <w:r>
              <w:rPr>
                <w:b/>
                <w:color w:val="FFFFFF"/>
              </w:rPr>
              <w:t>路径</w:t>
            </w:r>
          </w:p>
        </w:tc>
        <w:tc>
          <w:tcPr>
            <w:tcW w:type="dxa" w:w="4968"/>
            <w:shd w:fill="1F4E79"/>
          </w:tcPr>
          <w:p>
            <w:r>
              <w:rPr>
                <w:b/>
                <w:color w:val="FFFFFF"/>
              </w:rPr>
              <w:t>内容与验收</w:t>
            </w:r>
          </w:p>
        </w:tc>
      </w:tr>
      <w:tr>
        <w:tc>
          <w:tcPr>
            <w:tcW w:type="dxa" w:w="4968"/>
          </w:tcPr>
          <w:p>
            <w:r>
              <w:t>requirements.txt / pyproject.toml</w:t>
            </w:r>
          </w:p>
        </w:tc>
        <w:tc>
          <w:tcPr>
            <w:tcW w:type="dxa" w:w="4968"/>
          </w:tcPr>
          <w:p>
            <w:r>
              <w:t>锁定依赖版本，干净虚拟环境可安装</w:t>
            </w:r>
          </w:p>
        </w:tc>
      </w:tr>
      <w:tr>
        <w:tc>
          <w:tcPr>
            <w:tcW w:type="dxa" w:w="4968"/>
          </w:tcPr>
          <w:p>
            <w:r>
              <w:t>README.md</w:t>
            </w:r>
          </w:p>
        </w:tc>
        <w:tc>
          <w:tcPr>
            <w:tcW w:type="dxa" w:w="4968"/>
          </w:tcPr>
          <w:p>
            <w:r>
              <w:t>安装、运行、测试、参数、来源链接、结果字段</w:t>
            </w:r>
          </w:p>
        </w:tc>
      </w:tr>
      <w:tr>
        <w:tc>
          <w:tcPr>
            <w:tcW w:type="dxa" w:w="4968"/>
          </w:tcPr>
          <w:p>
            <w:r>
              <w:t>src/dynmoo/config.py</w:t>
            </w:r>
          </w:p>
        </w:tc>
        <w:tc>
          <w:tcPr>
            <w:tcW w:type="dxa" w:w="4968"/>
          </w:tcPr>
          <w:p>
            <w:r>
              <w:t>配置解析、参数校验、随机种子</w:t>
            </w:r>
          </w:p>
        </w:tc>
      </w:tr>
      <w:tr>
        <w:tc>
          <w:tcPr>
            <w:tcW w:type="dxa" w:w="4968"/>
          </w:tcPr>
          <w:p>
            <w:r>
              <w:t>src/dynmoo/problems/</w:t>
            </w:r>
          </w:p>
        </w:tc>
        <w:tc>
          <w:tcPr>
            <w:tcW w:type="dxa" w:w="4968"/>
          </w:tcPr>
          <w:p>
            <w:r>
              <w:t>FDA 问题适配器、环境时钟、PF 生成与来源元数据</w:t>
            </w:r>
          </w:p>
        </w:tc>
      </w:tr>
      <w:tr>
        <w:tc>
          <w:tcPr>
            <w:tcW w:type="dxa" w:w="4968"/>
          </w:tcPr>
          <w:p>
            <w:r>
              <w:t>src/dynmoo/algorithms/nsga2.py</w:t>
            </w:r>
          </w:p>
        </w:tc>
        <w:tc>
          <w:tcPr>
            <w:tcW w:type="dxa" w:w="4968"/>
          </w:tcPr>
          <w:p>
            <w:r>
              <w:t>NSGA-II 算法接口或 pymoo 适配器</w:t>
            </w:r>
          </w:p>
        </w:tc>
      </w:tr>
      <w:tr>
        <w:tc>
          <w:tcPr>
            <w:tcW w:type="dxa" w:w="4968"/>
          </w:tcPr>
          <w:p>
            <w:r>
              <w:t>src/dynmoo/algorithms/dnsga2.py</w:t>
            </w:r>
          </w:p>
        </w:tc>
        <w:tc>
          <w:tcPr>
            <w:tcW w:type="dxa" w:w="4968"/>
          </w:tcPr>
          <w:p>
            <w:r>
              <w:t>明确版本的 DNSGA-II；自定义版必须带 inspired 标识</w:t>
            </w:r>
          </w:p>
        </w:tc>
      </w:tr>
      <w:tr>
        <w:tc>
          <w:tcPr>
            <w:tcW w:type="dxa" w:w="4968"/>
          </w:tcPr>
          <w:p>
            <w:r>
              <w:t>src/dynmoo/algorithms/predictive.py</w:t>
            </w:r>
          </w:p>
        </w:tc>
        <w:tc>
          <w:tcPr>
            <w:tcW w:type="dxa" w:w="4968"/>
          </w:tcPr>
          <w:p>
            <w:r>
              <w:t>一阶趋势预测基线，含裁剪与回退</w:t>
            </w:r>
          </w:p>
        </w:tc>
      </w:tr>
      <w:tr>
        <w:tc>
          <w:tcPr>
            <w:tcW w:type="dxa" w:w="4968"/>
          </w:tcPr>
          <w:p>
            <w:r>
              <w:t>src/dynmoo/algorithms/ldt_nsga2.py</w:t>
            </w:r>
          </w:p>
        </w:tc>
        <w:tc>
          <w:tcPr>
            <w:tcW w:type="dxa" w:w="4968"/>
          </w:tcPr>
          <w:p>
            <w:r>
              <w:t>本课题算法，可关闭模块做消融</w:t>
            </w:r>
          </w:p>
        </w:tc>
      </w:tr>
      <w:tr>
        <w:tc>
          <w:tcPr>
            <w:tcW w:type="dxa" w:w="4968"/>
          </w:tcPr>
          <w:p>
            <w:r>
              <w:t>src/dynmoo/metrics.py</w:t>
            </w:r>
          </w:p>
        </w:tc>
        <w:tc>
          <w:tcPr>
            <w:tcW w:type="dxa" w:w="4968"/>
          </w:tcPr>
          <w:p>
            <w:r>
              <w:t>IGD/HV，固定 PF 和 HV 参考点</w:t>
            </w:r>
          </w:p>
        </w:tc>
      </w:tr>
      <w:tr>
        <w:tc>
          <w:tcPr>
            <w:tcW w:type="dxa" w:w="4968"/>
          </w:tcPr>
          <w:p>
            <w:r>
              <w:t>src/dynmoo/runner.py</w:t>
            </w:r>
          </w:p>
        </w:tc>
        <w:tc>
          <w:tcPr>
            <w:tcW w:type="dxa" w:w="4968"/>
          </w:tcPr>
          <w:p>
            <w:r>
              <w:t>实验循环、计时、日志、失败记录</w:t>
            </w:r>
          </w:p>
        </w:tc>
      </w:tr>
      <w:tr>
        <w:tc>
          <w:tcPr>
            <w:tcW w:type="dxa" w:w="4968"/>
          </w:tcPr>
          <w:p>
            <w:r>
              <w:t>src/dynmoo/analysis.py</w:t>
            </w:r>
          </w:p>
        </w:tc>
        <w:tc>
          <w:tcPr>
            <w:tcW w:type="dxa" w:w="4968"/>
          </w:tcPr>
          <w:p>
            <w:r>
              <w:t>汇总 CSV、统计检验、绘图</w:t>
            </w:r>
          </w:p>
        </w:tc>
      </w:tr>
      <w:tr>
        <w:tc>
          <w:tcPr>
            <w:tcW w:type="dxa" w:w="4968"/>
          </w:tcPr>
          <w:p>
            <w:r>
              <w:t>tests/</w:t>
            </w:r>
          </w:p>
        </w:tc>
        <w:tc>
          <w:tcPr>
            <w:tcW w:type="dxa" w:w="4968"/>
          </w:tcPr>
          <w:p>
            <w:r>
              <w:t>基准、指标、迁移和端到端测试</w:t>
            </w:r>
          </w:p>
        </w:tc>
      </w:tr>
    </w:tbl>
    <w:p/>
    <w:p>
      <w:pPr>
        <w:pStyle w:val="Heading2"/>
      </w:pPr>
      <w:r>
        <w:t>6.2 接口契约</w:t>
      </w:r>
    </w:p>
    <w:p>
      <w:r>
        <w:t>问题适配器必须提供 evaluate(X,t)-&gt;F、pareto_front(t,n_points)-&gt;PF、bounds、change_points、metadata。X 形状 (N,D)，F 形状 (N,M)，所有目标按最小化处理；返回值不得含 NaN/Inf。metadata 必须包含问题名、公式来源 URL、版本/commit、变量边界和时间参数定义。</w:t>
      </w:r>
    </w:p>
    <w:p>
      <w:r>
        <w:t>算法必须提供 initialize(problem,config,rng)、step(state,problem,t,rng)、on_environment_change(state,old_t,new_t,rng)、get_population(state)。随机数通过 numpy.random.Generator 显式传入，禁止模块内部调用未受控全局随机数。</w:t>
      </w:r>
    </w:p>
    <w:p>
      <w:pPr>
        <w:pStyle w:val="Heading2"/>
      </w:pPr>
      <w:r>
        <w:t>6.3 必需运行命令</w:t>
      </w:r>
    </w:p>
    <w:p>
      <w:pPr>
        <w:pStyle w:val="ListBullet"/>
      </w:pPr>
      <w:r>
        <w:rPr>
          <w:rFonts w:ascii="Consolas" w:hAnsi="Consolas"/>
          <w:sz w:val="18"/>
        </w:rPr>
        <w:t>python -m venv .venv</w:t>
      </w:r>
    </w:p>
    <w:p>
      <w:pPr>
        <w:pStyle w:val="ListBullet"/>
      </w:pPr>
      <w:r>
        <w:rPr>
          <w:rFonts w:ascii="Consolas" w:hAnsi="Consolas"/>
          <w:sz w:val="18"/>
        </w:rPr>
        <w:t>source .venv/bin/activate  （Windows：.venv\\Scripts\\activate）</w:t>
      </w:r>
    </w:p>
    <w:p>
      <w:pPr>
        <w:pStyle w:val="ListBullet"/>
      </w:pPr>
      <w:r>
        <w:rPr>
          <w:rFonts w:ascii="Consolas" w:hAnsi="Consolas"/>
          <w:sz w:val="18"/>
        </w:rPr>
        <w:t>python -m pip install -r requirements.txt</w:t>
      </w:r>
    </w:p>
    <w:p>
      <w:pPr>
        <w:pStyle w:val="ListBullet"/>
      </w:pPr>
      <w:r>
        <w:rPr>
          <w:rFonts w:ascii="Consolas" w:hAnsi="Consolas"/>
          <w:sz w:val="18"/>
        </w:rPr>
        <w:t>pytest -q</w:t>
      </w:r>
    </w:p>
    <w:p>
      <w:pPr>
        <w:pStyle w:val="ListBullet"/>
      </w:pPr>
      <w:r>
        <w:rPr>
          <w:rFonts w:ascii="Consolas" w:hAnsi="Consolas"/>
          <w:sz w:val="18"/>
        </w:rPr>
        <w:t>python -m dynmoo.runner --problem FDA1 --algorithm LDT-NSGA-II --seed 1 --population 100 --environments 10 --evals-per-environment 5000 --output results/smoke</w:t>
      </w:r>
    </w:p>
    <w:p>
      <w:pPr>
        <w:pStyle w:val="ListBullet"/>
      </w:pPr>
      <w:r>
        <w:rPr>
          <w:rFonts w:ascii="Consolas" w:hAnsi="Consolas"/>
          <w:sz w:val="18"/>
        </w:rPr>
        <w:t>python -m dynmoo.runner --suite main --runs 30 --output results/main</w:t>
      </w:r>
    </w:p>
    <w:p>
      <w:pPr>
        <w:pStyle w:val="ListBullet"/>
      </w:pPr>
      <w:r>
        <w:rPr>
          <w:rFonts w:ascii="Consolas" w:hAnsi="Consolas"/>
          <w:sz w:val="18"/>
        </w:rPr>
        <w:t>python -m dynmoo.analysis --input results/main --output results/figures</w:t>
      </w:r>
    </w:p>
    <w:p>
      <w:r>
        <w:t>若采用 src 布局，必须通过 pip install -e . 或可靠的 PYTHONPATH 设置保证命令真实可运行。README 中的每条命令必须在干净环境中测试。</w:t>
      </w:r>
    </w:p>
    <w:p>
      <w:pPr>
        <w:pStyle w:val="Heading2"/>
      </w:pPr>
      <w:r>
        <w:t>6.4 日志字段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9"/>
          </w:tcPr>
          <w:p>
            <w:r>
              <w:rPr>
                <w:b/>
                <w:color w:val="FFFFFF"/>
              </w:rPr>
              <w:t>字段</w:t>
            </w:r>
          </w:p>
        </w:tc>
        <w:tc>
          <w:tcPr>
            <w:tcW w:type="dxa" w:w="4968"/>
            <w:shd w:fill="1F4E79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4968"/>
          </w:tcPr>
          <w:p>
            <w:r>
              <w:t>problem / problem_version / source_url</w:t>
            </w:r>
          </w:p>
        </w:tc>
        <w:tc>
          <w:tcPr>
            <w:tcW w:type="dxa" w:w="4968"/>
          </w:tcPr>
          <w:p>
            <w:r>
              <w:t>测试问题及来源版本</w:t>
            </w:r>
          </w:p>
        </w:tc>
      </w:tr>
      <w:tr>
        <w:tc>
          <w:tcPr>
            <w:tcW w:type="dxa" w:w="4968"/>
          </w:tcPr>
          <w:p>
            <w:r>
              <w:t>algorithm / algorithm_version</w:t>
            </w:r>
          </w:p>
        </w:tc>
        <w:tc>
          <w:tcPr>
            <w:tcW w:type="dxa" w:w="4968"/>
          </w:tcPr>
          <w:p>
            <w:r>
              <w:t>算法和实现版本</w:t>
            </w:r>
          </w:p>
        </w:tc>
      </w:tr>
      <w:tr>
        <w:tc>
          <w:tcPr>
            <w:tcW w:type="dxa" w:w="4968"/>
          </w:tcPr>
          <w:p>
            <w:r>
              <w:t>seed / run_id</w:t>
            </w:r>
          </w:p>
        </w:tc>
        <w:tc>
          <w:tcPr>
            <w:tcW w:type="dxa" w:w="4968"/>
          </w:tcPr>
          <w:p>
            <w:r>
              <w:t>随机种子与运行编号</w:t>
            </w:r>
          </w:p>
        </w:tc>
      </w:tr>
      <w:tr>
        <w:tc>
          <w:tcPr>
            <w:tcW w:type="dxa" w:w="4968"/>
          </w:tcPr>
          <w:p>
            <w:r>
              <w:t>environment_id / t / eval_count / generation</w:t>
            </w:r>
          </w:p>
        </w:tc>
        <w:tc>
          <w:tcPr>
            <w:tcW w:type="dxa" w:w="4968"/>
          </w:tcPr>
          <w:p>
            <w:r>
              <w:t>环境、时间、累计评估次数、代数</w:t>
            </w:r>
          </w:p>
        </w:tc>
      </w:tr>
      <w:tr>
        <w:tc>
          <w:tcPr>
            <w:tcW w:type="dxa" w:w="4968"/>
          </w:tcPr>
          <w:p>
            <w:r>
              <w:t>igd / hv</w:t>
            </w:r>
          </w:p>
        </w:tc>
        <w:tc>
          <w:tcPr>
            <w:tcW w:type="dxa" w:w="4968"/>
          </w:tcPr>
          <w:p>
            <w:r>
              <w:t>当前环境指标</w:t>
            </w:r>
          </w:p>
        </w:tc>
      </w:tr>
      <w:tr>
        <w:tc>
          <w:tcPr>
            <w:tcW w:type="dxa" w:w="4968"/>
          </w:tcPr>
          <w:p>
            <w:r>
              <w:t>generation_seconds / migration_seconds</w:t>
            </w:r>
          </w:p>
        </w:tc>
        <w:tc>
          <w:tcPr>
            <w:tcW w:type="dxa" w:w="4968"/>
          </w:tcPr>
          <w:p>
            <w:r>
              <w:t>每代与迁移模块耗时</w:t>
            </w:r>
          </w:p>
        </w:tc>
      </w:tr>
      <w:tr>
        <w:tc>
          <w:tcPr>
            <w:tcW w:type="dxa" w:w="4968"/>
          </w:tcPr>
          <w:p>
            <w:r>
              <w:t>population_size / D / M</w:t>
            </w:r>
          </w:p>
        </w:tc>
        <w:tc>
          <w:tcPr>
            <w:tcW w:type="dxa" w:w="4968"/>
          </w:tcPr>
          <w:p>
            <w:r>
              <w:t>规模与维度</w:t>
            </w:r>
          </w:p>
        </w:tc>
      </w:tr>
      <w:tr>
        <w:tc>
          <w:tcPr>
            <w:tcW w:type="dxa" w:w="4968"/>
          </w:tcPr>
          <w:p>
            <w:r>
              <w:t>status / error_message</w:t>
            </w:r>
          </w:p>
        </w:tc>
        <w:tc>
          <w:tcPr>
            <w:tcW w:type="dxa" w:w="4968"/>
          </w:tcPr>
          <w:p>
            <w:r>
              <w:t>成功/失败及异常</w:t>
            </w:r>
          </w:p>
        </w:tc>
      </w:tr>
      <w:tr>
        <w:tc>
          <w:tcPr>
            <w:tcW w:type="dxa" w:w="4968"/>
          </w:tcPr>
          <w:p>
            <w:r>
              <w:t>python_version / platform / cpu_info</w:t>
            </w:r>
          </w:p>
        </w:tc>
        <w:tc>
          <w:tcPr>
            <w:tcW w:type="dxa" w:w="4968"/>
          </w:tcPr>
          <w:p>
            <w:r>
              <w:t>运行环境</w:t>
            </w:r>
          </w:p>
        </w:tc>
      </w:tr>
    </w:tbl>
    <w:p/>
    <w:p>
      <w:pPr>
        <w:pStyle w:val="Heading2"/>
      </w:pPr>
      <w:r>
        <w:t>6.5 自动测试与验收</w:t>
      </w:r>
    </w:p>
    <w:p>
      <w:pPr>
        <w:pStyle w:val="ListBullet"/>
      </w:pPr>
      <w:r>
        <w:t>同一 X、t 重复评估结果一致；返回数组形状正确且无 NaN/Inf。</w:t>
      </w:r>
    </w:p>
    <w:p>
      <w:pPr>
        <w:pStyle w:val="ListBullet"/>
      </w:pPr>
      <w:r>
        <w:t>迁移生成的所有决策变量都在边界内，ρ+κ≤1，极小标准差不导致数值异常。</w:t>
      </w:r>
    </w:p>
    <w:p>
      <w:pPr>
        <w:pStyle w:val="ListBullet"/>
      </w:pPr>
      <w:r>
        <w:t>同版本、同配置、同 seed 重复运行，指标序列在浮点容差内一致。</w:t>
      </w:r>
    </w:p>
    <w:p>
      <w:pPr>
        <w:pStyle w:val="ListBullet"/>
      </w:pPr>
      <w:r>
        <w:t>每个算法至少完成 FDA1、N=20、2 个环境、每环境 100 次评估的端到端冒烟测试。</w:t>
      </w:r>
    </w:p>
    <w:p>
      <w:pPr>
        <w:pStyle w:val="ListBullet"/>
      </w:pPr>
      <w:r>
        <w:t>所有运行均保留原始逐代 CSV；失败运行保留异常记录，不静默丢弃。</w:t>
      </w:r>
    </w:p>
    <w:p>
      <w:pPr>
        <w:pStyle w:val="ListBullet"/>
      </w:pPr>
      <w:r>
        <w:t>代码不得出现 TODO、pass、伪代码、未实现函数或硬编码虚假实验结果。</w:t>
      </w:r>
    </w:p>
    <w:p>
      <w:pPr>
        <w:pStyle w:val="Heading1"/>
      </w:pPr>
      <w:r>
        <w:t>七、实验方案：参数、对照与统计</w:t>
      </w:r>
    </w:p>
    <w:p>
      <w:pPr>
        <w:pStyle w:val="Heading2"/>
      </w:pPr>
      <w:r>
        <w:t>7.1 测试问题与公式锁定</w:t>
      </w:r>
    </w:p>
    <w:p>
      <w:r>
        <w:t>主测试集 FDA1、FDA3、FDA4；补充集选择 dMOP1/dMOP2 至少一个。公式来源优先使用 Farina 等原始 FDA 论文[3]并与 PlatEMO 或作者公开仓库对应文件交叉核验[6,9]。本报告无法保证所有软件版本中的 FDA3/FDA4 定义完全一致，因此代码生成阶段必须记录源文件、版本、边界、时间参数与 PF 生成方式；未核验前不得发布“标准 FDA”结果。</w:t>
      </w:r>
    </w:p>
    <w:p>
      <w:pPr>
        <w:pStyle w:val="Heading2"/>
      </w:pPr>
      <w:r>
        <w:t>7.2 变化频率和幅度</w:t>
      </w:r>
    </w:p>
    <w:p>
      <w:r>
        <w:t>变化频率和变化幅度必须分开控制。先根据锁定实现的合法参数范围设置慢/中/快三档频率与小/中/大三档幅度。不要跨论文照抄同名参数；把每个参数的定义和取值写入 config。若所选实现不支持某种参数变化，不得自行添加后仍声称是原标准问题。</w:t>
      </w:r>
    </w:p>
    <w:p>
      <w:pPr>
        <w:pStyle w:val="Heading2"/>
      </w:pPr>
      <w:r>
        <w:t>7.3 对比算法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</w:tcPr>
          <w:p>
            <w:r>
              <w:rPr>
                <w:b/>
                <w:color w:val="FFFFFF"/>
              </w:rPr>
              <w:t>算法</w:t>
            </w:r>
          </w:p>
        </w:tc>
        <w:tc>
          <w:tcPr>
            <w:tcW w:type="dxa" w:w="3312"/>
            <w:shd w:fill="1F4E79"/>
          </w:tcPr>
          <w:p>
            <w:r>
              <w:rPr>
                <w:b/>
                <w:color w:val="FFFFFF"/>
              </w:rPr>
              <w:t>操作化定义</w:t>
            </w:r>
          </w:p>
        </w:tc>
        <w:tc>
          <w:tcPr>
            <w:tcW w:type="dxa" w:w="3312"/>
            <w:shd w:fill="1F4E79"/>
          </w:tcPr>
          <w:p>
            <w:r>
              <w:rPr>
                <w:b/>
                <w:color w:val="FFFFFF"/>
              </w:rPr>
              <w:t>命名注意</w:t>
            </w:r>
          </w:p>
        </w:tc>
      </w:tr>
      <w:tr>
        <w:tc>
          <w:tcPr>
            <w:tcW w:type="dxa" w:w="3312"/>
          </w:tcPr>
          <w:p>
            <w:r>
              <w:t>NSGA-II</w:t>
            </w:r>
          </w:p>
        </w:tc>
        <w:tc>
          <w:tcPr>
            <w:tcW w:type="dxa" w:w="3312"/>
          </w:tcPr>
          <w:p>
            <w:r>
              <w:t>环境变化时不迁移，仅在新环境重评估当前种群</w:t>
            </w:r>
          </w:p>
        </w:tc>
        <w:tc>
          <w:tcPr>
            <w:tcW w:type="dxa" w:w="3312"/>
          </w:tcPr>
          <w:p>
            <w:r>
              <w:t>静态机制基准</w:t>
            </w:r>
          </w:p>
        </w:tc>
      </w:tr>
      <w:tr>
        <w:tc>
          <w:tcPr>
            <w:tcW w:type="dxa" w:w="3312"/>
          </w:tcPr>
          <w:p>
            <w:r>
              <w:t>DNSGA-II</w:t>
            </w:r>
          </w:p>
        </w:tc>
        <w:tc>
          <w:tcPr>
            <w:tcW w:type="dxa" w:w="3312"/>
          </w:tcPr>
          <w:p>
            <w:r>
              <w:t>采用锁定论文/代码版本</w:t>
            </w:r>
          </w:p>
        </w:tc>
        <w:tc>
          <w:tcPr>
            <w:tcW w:type="dxa" w:w="3312"/>
          </w:tcPr>
          <w:p>
            <w:r>
              <w:t>自定义响应算法命名为 DNSGA-II-inspired</w:t>
            </w:r>
          </w:p>
        </w:tc>
      </w:tr>
      <w:tr>
        <w:tc>
          <w:tcPr>
            <w:tcW w:type="dxa" w:w="3312"/>
          </w:tcPr>
          <w:p>
            <w:r>
              <w:t>一阶趋势预测</w:t>
            </w:r>
          </w:p>
        </w:tc>
        <w:tc>
          <w:tcPr>
            <w:tcW w:type="dxa" w:w="3312"/>
          </w:tcPr>
          <w:p>
            <w:r>
              <w:t>对历史种群中心做一步线性外推并裁剪</w:t>
            </w:r>
          </w:p>
        </w:tc>
        <w:tc>
          <w:tcPr>
            <w:tcW w:type="dxa" w:w="3312"/>
          </w:tcPr>
          <w:p>
            <w:r>
              <w:t>本课题定义的透明预测基线，不冒称特定论文复现</w:t>
            </w:r>
          </w:p>
        </w:tc>
      </w:tr>
      <w:tr>
        <w:tc>
          <w:tcPr>
            <w:tcW w:type="dxa" w:w="3312"/>
          </w:tcPr>
          <w:p>
            <w:r>
              <w:t>GMM 全分布对照</w:t>
            </w:r>
          </w:p>
        </w:tc>
        <w:tc>
          <w:tcPr>
            <w:tcW w:type="dxa" w:w="3312"/>
          </w:tcPr>
          <w:p>
            <w:r>
              <w:t>优先运行 KTMM 作者公开代码；自行简化时固定 K 与收敛参数</w:t>
            </w:r>
          </w:p>
        </w:tc>
        <w:tc>
          <w:tcPr>
            <w:tcW w:type="dxa" w:w="3312"/>
          </w:tcPr>
          <w:p>
            <w:r>
              <w:t>自定义实现命名 GMM-inspired，不冒称原版 KTMM</w:t>
            </w:r>
          </w:p>
        </w:tc>
      </w:tr>
      <w:tr>
        <w:tc>
          <w:tcPr>
            <w:tcW w:type="dxa" w:w="3312"/>
          </w:tcPr>
          <w:p>
            <w:r>
              <w:t>LDT-NSGA-II</w:t>
            </w:r>
          </w:p>
        </w:tc>
        <w:tc>
          <w:tcPr>
            <w:tcW w:type="dxa" w:w="3312"/>
          </w:tcPr>
          <w:p>
            <w:r>
              <w:t>均值/标准差 + 趋势中心 + 混合初始化</w:t>
            </w:r>
          </w:p>
        </w:tc>
        <w:tc>
          <w:tcPr>
            <w:tcW w:type="dxa" w:w="3312"/>
          </w:tcPr>
          <w:p>
            <w:r>
              <w:t>本课题候选算法</w:t>
            </w:r>
          </w:p>
        </w:tc>
      </w:tr>
    </w:tbl>
    <w:p/>
    <w:p>
      <w:r>
        <w:t>跨 MATLAB/Python 直接比较耗时容易混入语言与实现差异。性能指标可以作为参考比较；运行速度结论尽量在同一运行时、同一硬件、相同评估预算下完成。</w:t>
      </w:r>
    </w:p>
    <w:p>
      <w:pPr>
        <w:pStyle w:val="Heading2"/>
      </w:pPr>
      <w:r>
        <w:t>7.4 固定参数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</w:tcPr>
          <w:p>
            <w:r>
              <w:rPr>
                <w:b/>
                <w:color w:val="FFFFFF"/>
              </w:rPr>
              <w:t>参数</w:t>
            </w:r>
          </w:p>
        </w:tc>
        <w:tc>
          <w:tcPr>
            <w:tcW w:type="dxa" w:w="3312"/>
            <w:shd w:fill="1F4E79"/>
          </w:tcPr>
          <w:p>
            <w:r>
              <w:rPr>
                <w:b/>
                <w:color w:val="FFFFFF"/>
              </w:rPr>
              <w:t>默认值/规则</w:t>
            </w:r>
          </w:p>
        </w:tc>
        <w:tc>
          <w:tcPr>
            <w:tcW w:type="dxa" w:w="3312"/>
            <w:shd w:fill="1F4E79"/>
          </w:tcPr>
          <w:p>
            <w:r>
              <w:rPr>
                <w:b/>
                <w:color w:val="FFFFFF"/>
              </w:rPr>
              <w:t>备注</w:t>
            </w:r>
          </w:p>
        </w:tc>
      </w:tr>
      <w:tr>
        <w:tc>
          <w:tcPr>
            <w:tcW w:type="dxa" w:w="3312"/>
          </w:tcPr>
          <w:p>
            <w:r>
              <w:t>种群规模</w:t>
            </w:r>
          </w:p>
        </w:tc>
        <w:tc>
          <w:tcPr>
            <w:tcW w:type="dxa" w:w="3312"/>
          </w:tcPr>
          <w:p>
            <w:r>
              <w:t>100；敏感性 50/100/200</w:t>
            </w:r>
          </w:p>
        </w:tc>
        <w:tc>
          <w:tcPr>
            <w:tcW w:type="dxa" w:w="3312"/>
          </w:tcPr>
          <w:p>
            <w:r>
              <w:t>工程起点，不是最优值</w:t>
            </w:r>
          </w:p>
        </w:tc>
      </w:tr>
      <w:tr>
        <w:tc>
          <w:tcPr>
            <w:tcW w:type="dxa" w:w="3312"/>
          </w:tcPr>
          <w:p>
            <w:r>
              <w:t>变量维数/目标数</w:t>
            </w:r>
          </w:p>
        </w:tc>
        <w:tc>
          <w:tcPr>
            <w:tcW w:type="dxa" w:w="3312"/>
          </w:tcPr>
          <w:p>
            <w:r>
              <w:t>按锁定问题定义</w:t>
            </w:r>
          </w:p>
        </w:tc>
        <w:tc>
          <w:tcPr>
            <w:tcW w:type="dxa" w:w="3312"/>
          </w:tcPr>
          <w:p>
            <w:r>
              <w:t>各算法统一</w:t>
            </w:r>
          </w:p>
        </w:tc>
      </w:tr>
      <w:tr>
        <w:tc>
          <w:tcPr>
            <w:tcW w:type="dxa" w:w="3312"/>
          </w:tcPr>
          <w:p>
            <w:r>
              <w:t>独立重复</w:t>
            </w:r>
          </w:p>
        </w:tc>
        <w:tc>
          <w:tcPr>
            <w:tcW w:type="dxa" w:w="3312"/>
          </w:tcPr>
          <w:p>
            <w:r>
              <w:t>30 个 seed，1..30</w:t>
            </w:r>
          </w:p>
        </w:tc>
        <w:tc>
          <w:tcPr>
            <w:tcW w:type="dxa" w:w="3312"/>
          </w:tcPr>
          <w:p>
            <w:r>
              <w:t>保存全部原始结果</w:t>
            </w:r>
          </w:p>
        </w:tc>
      </w:tr>
      <w:tr>
        <w:tc>
          <w:tcPr>
            <w:tcW w:type="dxa" w:w="3312"/>
          </w:tcPr>
          <w:p>
            <w:r>
              <w:t>每环境评估预算</w:t>
            </w:r>
          </w:p>
        </w:tc>
        <w:tc>
          <w:tcPr>
            <w:tcW w:type="dxa" w:w="3312"/>
          </w:tcPr>
          <w:p>
            <w:r>
              <w:t>5000 次，先跑 smoke test</w:t>
            </w:r>
          </w:p>
        </w:tc>
        <w:tc>
          <w:tcPr>
            <w:tcW w:type="dxa" w:w="3312"/>
          </w:tcPr>
          <w:p>
            <w:r>
              <w:t>各算法一致</w:t>
            </w:r>
          </w:p>
        </w:tc>
      </w:tr>
      <w:tr>
        <w:tc>
          <w:tcPr>
            <w:tcW w:type="dxa" w:w="3312"/>
          </w:tcPr>
          <w:p>
            <w:r>
              <w:t>环境数量</w:t>
            </w:r>
          </w:p>
        </w:tc>
        <w:tc>
          <w:tcPr>
            <w:tcW w:type="dxa" w:w="3312"/>
          </w:tcPr>
          <w:p>
            <w:r>
              <w:t>10 个（需与时钟定义兼容）</w:t>
            </w:r>
          </w:p>
        </w:tc>
        <w:tc>
          <w:tcPr>
            <w:tcW w:type="dxa" w:w="3312"/>
          </w:tcPr>
          <w:p>
            <w:r>
              <w:t>记录切换点</w:t>
            </w:r>
          </w:p>
        </w:tc>
      </w:tr>
      <w:tr>
        <w:tc>
          <w:tcPr>
            <w:tcW w:type="dxa" w:w="3312"/>
          </w:tcPr>
          <w:p>
            <w:r>
              <w:t>趋势系数 α</w:t>
            </w:r>
          </w:p>
        </w:tc>
        <w:tc>
          <w:tcPr>
            <w:tcW w:type="dxa" w:w="3312"/>
          </w:tcPr>
          <w:p>
            <w:r>
              <w:t>0.5；测试 0/0.25/0.5/0.75/1.0</w:t>
            </w:r>
          </w:p>
        </w:tc>
        <w:tc>
          <w:tcPr>
            <w:tcW w:type="dxa" w:w="3312"/>
          </w:tcPr>
          <w:p>
            <w:r>
              <w:t>候选算法参数</w:t>
            </w:r>
          </w:p>
        </w:tc>
      </w:tr>
      <w:tr>
        <w:tc>
          <w:tcPr>
            <w:tcW w:type="dxa" w:w="3312"/>
          </w:tcPr>
          <w:p>
            <w:r>
              <w:t>迁移比例 ρ</w:t>
            </w:r>
          </w:p>
        </w:tc>
        <w:tc>
          <w:tcPr>
            <w:tcW w:type="dxa" w:w="3312"/>
          </w:tcPr>
          <w:p>
            <w:r>
              <w:t>0.5；测试 0.25/0.5/0.75</w:t>
            </w:r>
          </w:p>
        </w:tc>
        <w:tc>
          <w:tcPr>
            <w:tcW w:type="dxa" w:w="3312"/>
          </w:tcPr>
          <w:p>
            <w:r>
              <w:t>候选算法参数</w:t>
            </w:r>
          </w:p>
        </w:tc>
      </w:tr>
      <w:tr>
        <w:tc>
          <w:tcPr>
            <w:tcW w:type="dxa" w:w="3312"/>
          </w:tcPr>
          <w:p>
            <w:r>
              <w:t>保留比例 κ</w:t>
            </w:r>
          </w:p>
        </w:tc>
        <w:tc>
          <w:tcPr>
            <w:tcW w:type="dxa" w:w="3312"/>
          </w:tcPr>
          <w:p>
            <w:r>
              <w:t>0.2，保证 ρ+κ≤1</w:t>
            </w:r>
          </w:p>
        </w:tc>
        <w:tc>
          <w:tcPr>
            <w:tcW w:type="dxa" w:w="3312"/>
          </w:tcPr>
          <w:p>
            <w:r>
              <w:t>候选算法参数</w:t>
            </w:r>
          </w:p>
        </w:tc>
      </w:tr>
      <w:tr>
        <w:tc>
          <w:tcPr>
            <w:tcW w:type="dxa" w:w="3312"/>
          </w:tcPr>
          <w:p>
            <w:r>
              <w:t>标准差下限</w:t>
            </w:r>
          </w:p>
        </w:tc>
        <w:tc>
          <w:tcPr>
            <w:tcW w:type="dxa" w:w="3312"/>
          </w:tcPr>
          <w:p>
            <w:r>
              <w:t>0.001×变量范围</w:t>
            </w:r>
          </w:p>
        </w:tc>
        <w:tc>
          <w:tcPr>
            <w:tcW w:type="dxa" w:w="3312"/>
          </w:tcPr>
          <w:p>
            <w:r>
              <w:t>防止退化维度</w:t>
            </w:r>
          </w:p>
        </w:tc>
      </w:tr>
      <w:tr>
        <w:tc>
          <w:tcPr>
            <w:tcW w:type="dxa" w:w="3312"/>
          </w:tcPr>
          <w:p>
            <w:r>
              <w:t>GMM 分量数</w:t>
            </w:r>
          </w:p>
        </w:tc>
        <w:tc>
          <w:tcPr>
            <w:tcW w:type="dxa" w:w="3312"/>
          </w:tcPr>
          <w:p>
            <w:r>
              <w:t>自定义对照可固定 K=3</w:t>
            </w:r>
          </w:p>
        </w:tc>
        <w:tc>
          <w:tcPr>
            <w:tcW w:type="dxa" w:w="3312"/>
          </w:tcPr>
          <w:p>
            <w:r>
              <w:t>不能说是原 KTMM 参数</w:t>
            </w:r>
          </w:p>
        </w:tc>
      </w:tr>
      <w:tr>
        <w:tc>
          <w:tcPr>
            <w:tcW w:type="dxa" w:w="3312"/>
          </w:tcPr>
          <w:p>
            <w:r>
              <w:t>硬件记录</w:t>
            </w:r>
          </w:p>
        </w:tc>
        <w:tc>
          <w:tcPr>
            <w:tcW w:type="dxa" w:w="3312"/>
          </w:tcPr>
          <w:p>
            <w:r>
              <w:t>CPU 型号/核心数、内存、OS、Python/依赖版本</w:t>
            </w:r>
          </w:p>
        </w:tc>
        <w:tc>
          <w:tcPr>
            <w:tcW w:type="dxa" w:w="3312"/>
          </w:tcPr>
          <w:p>
            <w:r>
              <w:t>具体配置实际记录，不猜</w:t>
            </w:r>
          </w:p>
        </w:tc>
      </w:tr>
    </w:tbl>
    <w:p/>
    <w:p>
      <w:pPr>
        <w:pStyle w:val="Heading2"/>
      </w:pPr>
      <w:r>
        <w:t>7.5 指标</w:t>
      </w:r>
    </w:p>
    <w:p>
      <w:r>
        <w:t>IGD 计算参考前沿 Z 中各点到算法解集 A 最近点距离的平均值，越低越好；HV 衡量相对于统一参考点被解集支配的目标空间体积，越高越好。定义与 pymoo 接口参考官方指标文档[7]。</w:t>
      </w:r>
    </w:p>
    <w:p>
      <w:r>
        <w:t>每个问题/环境的 PF 采样方法与点数必须固定，建议不少于 1000 个参考点；若真实 PF 不能可靠生成，必须标注为近似 PF。HV 参考点需对所有算法一致，并将数值写入配置，不得按算法单独调整。</w:t>
      </w:r>
    </w:p>
    <w:p>
      <w:pPr>
        <w:pStyle w:val="Heading2"/>
      </w:pPr>
      <w:r>
        <w:t>7.6 主对比实验</w:t>
      </w:r>
    </w:p>
    <w:p>
      <w:pPr>
        <w:pStyle w:val="ListNumber"/>
      </w:pPr>
      <w:r>
        <w:t>每个问题、参数配置和算法运行 30 个 seed；使用相同环境变化时刻与每环境评估预算。</w:t>
      </w:r>
    </w:p>
    <w:p>
      <w:pPr>
        <w:pStyle w:val="ListNumber"/>
      </w:pPr>
      <w:r>
        <w:t>变化后第 0、1、2、5、10 代记录 IGD/HV；同时保存每环境均值指标、总耗时和迁移模块耗时。</w:t>
      </w:r>
    </w:p>
    <w:p>
      <w:pPr>
        <w:pStyle w:val="ListNumber"/>
      </w:pPr>
      <w:r>
        <w:t>保存逐代原始 CSV，汇总 mean、std、median、IQR；绘制 IGD/HV 曲线、耗时箱线图与恢复曲线。</w:t>
      </w:r>
    </w:p>
    <w:p>
      <w:pPr>
        <w:pStyle w:val="Heading2"/>
      </w:pPr>
      <w:r>
        <w:t>7.7 消融实验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</w:tcPr>
          <w:p>
            <w:r>
              <w:rPr>
                <w:b/>
                <w:color w:val="FFFFFF"/>
              </w:rPr>
              <w:t>组别</w:t>
            </w:r>
          </w:p>
        </w:tc>
        <w:tc>
          <w:tcPr>
            <w:tcW w:type="dxa" w:w="3312"/>
            <w:shd w:fill="1F4E79"/>
          </w:tcPr>
          <w:p>
            <w:r>
              <w:rPr>
                <w:b/>
                <w:color w:val="FFFFFF"/>
              </w:rPr>
              <w:t>改动</w:t>
            </w:r>
          </w:p>
        </w:tc>
        <w:tc>
          <w:tcPr>
            <w:tcW w:type="dxa" w:w="3312"/>
            <w:shd w:fill="1F4E79"/>
          </w:tcPr>
          <w:p>
            <w:r>
              <w:rPr>
                <w:b/>
                <w:color w:val="FFFFFF"/>
              </w:rPr>
              <w:t>目的</w:t>
            </w:r>
          </w:p>
        </w:tc>
      </w:tr>
      <w:tr>
        <w:tc>
          <w:tcPr>
            <w:tcW w:type="dxa" w:w="3312"/>
          </w:tcPr>
          <w:p>
            <w:r>
              <w:t>Full LDT</w:t>
            </w:r>
          </w:p>
        </w:tc>
        <w:tc>
          <w:tcPr>
            <w:tcW w:type="dxa" w:w="3312"/>
          </w:tcPr>
          <w:p>
            <w:r>
              <w:t>全部模块启用</w:t>
            </w:r>
          </w:p>
        </w:tc>
        <w:tc>
          <w:tcPr>
            <w:tcW w:type="dxa" w:w="3312"/>
          </w:tcPr>
          <w:p>
            <w:r>
              <w:t>候选算法整体表现</w:t>
            </w:r>
          </w:p>
        </w:tc>
      </w:tr>
      <w:tr>
        <w:tc>
          <w:tcPr>
            <w:tcW w:type="dxa" w:w="3312"/>
          </w:tcPr>
          <w:p>
            <w:r>
              <w:t>Ablation-A</w:t>
            </w:r>
          </w:p>
        </w:tc>
        <w:tc>
          <w:tcPr>
            <w:tcW w:type="dxa" w:w="3312"/>
          </w:tcPr>
          <w:p>
            <w:r>
              <w:t>关闭趋势外推，μ̂=μ_e</w:t>
            </w:r>
          </w:p>
        </w:tc>
        <w:tc>
          <w:tcPr>
            <w:tcW w:type="dxa" w:w="3312"/>
          </w:tcPr>
          <w:p>
            <w:r>
              <w:t>判断趋势项贡献</w:t>
            </w:r>
          </w:p>
        </w:tc>
      </w:tr>
      <w:tr>
        <w:tc>
          <w:tcPr>
            <w:tcW w:type="dxa" w:w="3312"/>
          </w:tcPr>
          <w:p>
            <w:r>
              <w:t>Ablation-B</w:t>
            </w:r>
          </w:p>
        </w:tc>
        <w:tc>
          <w:tcPr>
            <w:tcW w:type="dxa" w:w="3312"/>
          </w:tcPr>
          <w:p>
            <w:r>
              <w:t>关闭分布迁移，使用旧种群与随机候选混合</w:t>
            </w:r>
          </w:p>
        </w:tc>
        <w:tc>
          <w:tcPr>
            <w:tcW w:type="dxa" w:w="3312"/>
          </w:tcPr>
          <w:p>
            <w:r>
              <w:t>判断分布统计迁移贡献</w:t>
            </w:r>
          </w:p>
        </w:tc>
      </w:tr>
      <w:tr>
        <w:tc>
          <w:tcPr>
            <w:tcW w:type="dxa" w:w="3312"/>
          </w:tcPr>
          <w:p>
            <w:r>
              <w:t>Ablation-C（建议）</w:t>
            </w:r>
          </w:p>
        </w:tc>
        <w:tc>
          <w:tcPr>
            <w:tcW w:type="dxa" w:w="3312"/>
          </w:tcPr>
          <w:p>
            <w:r>
              <w:t>设 κ=0</w:t>
            </w:r>
          </w:p>
        </w:tc>
        <w:tc>
          <w:tcPr>
            <w:tcW w:type="dxa" w:w="3312"/>
          </w:tcPr>
          <w:p>
            <w:r>
              <w:t>判断旧种群保留的影响</w:t>
            </w:r>
          </w:p>
        </w:tc>
      </w:tr>
    </w:tbl>
    <w:p/>
    <w:p>
      <w:r>
        <w:t>消融实验只改目标模块；随机种子、预算、变异参数和环境切换时刻保持一致。</w:t>
      </w:r>
    </w:p>
    <w:p>
      <w:pPr>
        <w:pStyle w:val="Heading2"/>
      </w:pPr>
      <w:r>
        <w:t>7.8 参数敏感性</w:t>
      </w:r>
    </w:p>
    <w:p>
      <w:pPr>
        <w:pStyle w:val="ListBullet"/>
      </w:pPr>
      <w:r>
        <w:t>种群规模 N∈{50,100,200}。</w:t>
      </w:r>
    </w:p>
    <w:p>
      <w:pPr>
        <w:pStyle w:val="ListBullet"/>
      </w:pPr>
      <w:r>
        <w:t>频率、幅度分别设置三档；取值必须落在锁定基准实现的合法范围。</w:t>
      </w:r>
    </w:p>
    <w:p>
      <w:pPr>
        <w:pStyle w:val="ListBullet"/>
      </w:pPr>
      <w:r>
        <w:t>迁移比例 ρ∈{0.25,0.5,0.75}；趋势系数 α∈{0,0.25,0.5,0.75,1.0}。</w:t>
      </w:r>
    </w:p>
    <w:p>
      <w:pPr>
        <w:pStyle w:val="ListBullet"/>
      </w:pPr>
      <w:r>
        <w:t>先在 FDA1/3/4 各选一个代表配置做敏感性分析；预算不足时明确缩减组合，不得声称跑完未执行的实验。</w:t>
      </w:r>
    </w:p>
    <w:p>
      <w:pPr>
        <w:pStyle w:val="Heading2"/>
      </w:pPr>
      <w:r>
        <w:t>7.9 统计检验与结果判定</w:t>
      </w:r>
    </w:p>
    <w:p>
      <w:r>
        <w:t>同一配置下使用相同 seed 配对比较 30 次结果。两算法可用 Wilcoxon signed-rank test；多算法整体可用 Friedman 检验，并对多重比较校正。报告 p 值、中位数差、效果方向和效果量。p&gt;0.05 不代表算法完全相同。</w:t>
      </w:r>
    </w:p>
    <w:p>
      <w:r>
        <w:t>“轻量级有效”的项目判据应同时看：测试通过、结果可复现、至少部分预先指定渐变配置中 IGD/HV 没有明显恶化，且迁移/总耗时有实测下降。此判据是项目决策门槛，不是普适学术标准。负迁移必须如实报告。</w:t>
      </w:r>
    </w:p>
    <w:p>
      <w:pPr>
        <w:pStyle w:val="Heading2"/>
      </w:pPr>
      <w:r>
        <w:t>7.10 计算预算</w:t>
      </w:r>
    </w:p>
    <w:p>
      <w:r>
        <w:t>普通 CPU 环境可先做小规模测试，建议至少 8 GB 内存；正式运行记录 CPU、核心数、内存、操作系统、Python 和依赖版本。实际运行时长未知，应先跑 smoke suite 估计，再安排完整实验。按 seed 并行，避免嵌套并行导致资源争用。</w:t>
      </w:r>
    </w:p>
    <w:p>
      <w:pPr>
        <w:pStyle w:val="Heading1"/>
      </w:pPr>
      <w:r>
        <w:t>八、预期成果与风险</w:t>
      </w:r>
    </w:p>
    <w:p>
      <w:pPr>
        <w:pStyle w:val="ListBullet"/>
      </w:pPr>
      <w:r>
        <w:t>可运行 Python 项目：基准适配器、算法、运行器、指标、统计和绘图模块。</w:t>
      </w:r>
    </w:p>
    <w:p>
      <w:pPr>
        <w:pStyle w:val="ListBullet"/>
      </w:pPr>
      <w:r>
        <w:t>可追溯实验数据：原始 CSV、配置、环境信息、图表和统计结果。</w:t>
      </w:r>
    </w:p>
    <w:p>
      <w:pPr>
        <w:pStyle w:val="ListBullet"/>
      </w:pPr>
      <w:r>
        <w:t>本科毕业论文：明确描述算法、实现差异、实验设置、失败案例与局限。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9"/>
          </w:tcPr>
          <w:p>
            <w:r>
              <w:rPr>
                <w:b/>
                <w:color w:val="FFFFFF"/>
              </w:rPr>
              <w:t>风险</w:t>
            </w:r>
          </w:p>
        </w:tc>
        <w:tc>
          <w:tcPr>
            <w:tcW w:type="dxa" w:w="4968"/>
            <w:shd w:fill="1F4E79"/>
          </w:tcPr>
          <w:p>
            <w:r>
              <w:rPr>
                <w:b/>
                <w:color w:val="FFFFFF"/>
              </w:rPr>
              <w:t>处理措施</w:t>
            </w:r>
          </w:p>
        </w:tc>
      </w:tr>
      <w:tr>
        <w:tc>
          <w:tcPr>
            <w:tcW w:type="dxa" w:w="4968"/>
          </w:tcPr>
          <w:p>
            <w:r>
              <w:t>FDA 公式混用</w:t>
            </w:r>
          </w:p>
        </w:tc>
        <w:tc>
          <w:tcPr>
            <w:tcW w:type="dxa" w:w="4968"/>
          </w:tcPr>
          <w:p>
            <w:r>
              <w:t>锁定源文件和版本；不能核验就不发布标准 FDA 结果</w:t>
            </w:r>
          </w:p>
        </w:tc>
      </w:tr>
      <w:tr>
        <w:tc>
          <w:tcPr>
            <w:tcW w:type="dxa" w:w="4968"/>
          </w:tcPr>
          <w:p>
            <w:r>
              <w:t>基线与原论文不一致</w:t>
            </w:r>
          </w:p>
        </w:tc>
        <w:tc>
          <w:tcPr>
            <w:tcW w:type="dxa" w:w="4968"/>
          </w:tcPr>
          <w:p>
            <w:r>
              <w:t>区分 exact reproduction 与 inspired 实现，写明差异</w:t>
            </w:r>
          </w:p>
        </w:tc>
      </w:tr>
      <w:tr>
        <w:tc>
          <w:tcPr>
            <w:tcW w:type="dxa" w:w="4968"/>
          </w:tcPr>
          <w:p>
            <w:r>
              <w:t>负迁移</w:t>
            </w:r>
          </w:p>
        </w:tc>
        <w:tc>
          <w:tcPr>
            <w:tcW w:type="dxa" w:w="4968"/>
          </w:tcPr>
          <w:p>
            <w:r>
              <w:t>混合随机候选、限制迁移比例、保留回退与消融</w:t>
            </w:r>
          </w:p>
        </w:tc>
      </w:tr>
      <w:tr>
        <w:tc>
          <w:tcPr>
            <w:tcW w:type="dxa" w:w="4968"/>
          </w:tcPr>
          <w:p>
            <w:r>
              <w:t>计时波动</w:t>
            </w:r>
          </w:p>
        </w:tc>
        <w:tc>
          <w:tcPr>
            <w:tcW w:type="dxa" w:w="4968"/>
          </w:tcPr>
          <w:p>
            <w:r>
              <w:t>固定线程与硬件、预热、交错运行，报告中位数/IQR</w:t>
            </w:r>
          </w:p>
        </w:tc>
      </w:tr>
      <w:tr>
        <w:tc>
          <w:tcPr>
            <w:tcW w:type="dxa" w:w="4968"/>
          </w:tcPr>
          <w:p>
            <w:r>
              <w:t>PF/HV 参考不一致</w:t>
            </w:r>
          </w:p>
        </w:tc>
        <w:tc>
          <w:tcPr>
            <w:tcW w:type="dxa" w:w="4968"/>
          </w:tcPr>
          <w:p>
            <w:r>
              <w:t>缓存统一 PF 和参考点，写入配置</w:t>
            </w:r>
          </w:p>
        </w:tc>
      </w:tr>
      <w:tr>
        <w:tc>
          <w:tcPr>
            <w:tcW w:type="dxa" w:w="4968"/>
          </w:tcPr>
          <w:p>
            <w:r>
              <w:t>时间不足</w:t>
            </w:r>
          </w:p>
        </w:tc>
        <w:tc>
          <w:tcPr>
            <w:tcW w:type="dxa" w:w="4968"/>
          </w:tcPr>
          <w:p>
            <w:r>
              <w:t>先完成 FDA1 端到端，再扩展；未完成实验不填造数据</w:t>
            </w:r>
          </w:p>
        </w:tc>
      </w:tr>
    </w:tbl>
    <w:p/>
    <w:p>
      <w:pPr>
        <w:pStyle w:val="Heading1"/>
      </w:pPr>
      <w:r>
        <w:t>九、14 周进度安排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</w:tcPr>
          <w:p>
            <w:r>
              <w:rPr>
                <w:b/>
                <w:color w:val="FFFFFF"/>
              </w:rPr>
              <w:t>周次</w:t>
            </w:r>
          </w:p>
        </w:tc>
        <w:tc>
          <w:tcPr>
            <w:tcW w:type="dxa" w:w="3312"/>
            <w:shd w:fill="1F4E79"/>
          </w:tcPr>
          <w:p>
            <w:r>
              <w:rPr>
                <w:b/>
                <w:color w:val="FFFFFF"/>
              </w:rPr>
              <w:t>任务</w:t>
            </w:r>
          </w:p>
        </w:tc>
        <w:tc>
          <w:tcPr>
            <w:tcW w:type="dxa" w:w="3312"/>
            <w:shd w:fill="1F4E79"/>
          </w:tcPr>
          <w:p>
            <w:r>
              <w:rPr>
                <w:b/>
                <w:color w:val="FFFFFF"/>
              </w:rPr>
              <w:t>交付物</w:t>
            </w:r>
          </w:p>
        </w:tc>
      </w:tr>
      <w:tr>
        <w:tc>
          <w:tcPr>
            <w:tcW w:type="dxa" w:w="3312"/>
          </w:tcPr>
          <w:p>
            <w:r>
              <w:t>1–2</w:t>
            </w:r>
          </w:p>
        </w:tc>
        <w:tc>
          <w:tcPr>
            <w:tcW w:type="dxa" w:w="3312"/>
          </w:tcPr>
          <w:p>
            <w:r>
              <w:t>文献核验、环境搭建、静态 NSGA-II</w:t>
            </w:r>
          </w:p>
        </w:tc>
        <w:tc>
          <w:tcPr>
            <w:tcW w:type="dxa" w:w="3312"/>
          </w:tcPr>
          <w:p>
            <w:r>
              <w:t>项目骨架与测试记录</w:t>
            </w:r>
          </w:p>
        </w:tc>
      </w:tr>
      <w:tr>
        <w:tc>
          <w:tcPr>
            <w:tcW w:type="dxa" w:w="3312"/>
          </w:tcPr>
          <w:p>
            <w:r>
              <w:t>3–4</w:t>
            </w:r>
          </w:p>
        </w:tc>
        <w:tc>
          <w:tcPr>
            <w:tcW w:type="dxa" w:w="3312"/>
          </w:tcPr>
          <w:p>
            <w:r>
              <w:t>核验动态基准、实现动态接口与基线</w:t>
            </w:r>
          </w:p>
        </w:tc>
        <w:tc>
          <w:tcPr>
            <w:tcW w:type="dxa" w:w="3312"/>
          </w:tcPr>
          <w:p>
            <w:r>
              <w:t>来源表、基线、开题定稿</w:t>
            </w:r>
          </w:p>
        </w:tc>
      </w:tr>
      <w:tr>
        <w:tc>
          <w:tcPr>
            <w:tcW w:type="dxa" w:w="3312"/>
          </w:tcPr>
          <w:p>
            <w:r>
              <w:t>5–7</w:t>
            </w:r>
          </w:p>
        </w:tc>
        <w:tc>
          <w:tcPr>
            <w:tcW w:type="dxa" w:w="3312"/>
          </w:tcPr>
          <w:p>
            <w:r>
              <w:t>实现 LDT、异常回退和单元测试</w:t>
            </w:r>
          </w:p>
        </w:tc>
        <w:tc>
          <w:tcPr>
            <w:tcW w:type="dxa" w:w="3312"/>
          </w:tcPr>
          <w:p>
            <w:r>
              <w:t>算法代码与测试报告</w:t>
            </w:r>
          </w:p>
        </w:tc>
      </w:tr>
      <w:tr>
        <w:tc>
          <w:tcPr>
            <w:tcW w:type="dxa" w:w="3312"/>
          </w:tcPr>
          <w:p>
            <w:r>
              <w:t>8</w:t>
            </w:r>
          </w:p>
        </w:tc>
        <w:tc>
          <w:tcPr>
            <w:tcW w:type="dxa" w:w="3312"/>
          </w:tcPr>
          <w:p>
            <w:r>
              <w:t>冒烟实验与计时</w:t>
            </w:r>
          </w:p>
        </w:tc>
        <w:tc>
          <w:tcPr>
            <w:tcW w:type="dxa" w:w="3312"/>
          </w:tcPr>
          <w:p>
            <w:r>
              <w:t>端到端日志和初步曲线</w:t>
            </w:r>
          </w:p>
        </w:tc>
      </w:tr>
      <w:tr>
        <w:tc>
          <w:tcPr>
            <w:tcW w:type="dxa" w:w="3312"/>
          </w:tcPr>
          <w:p>
            <w:r>
              <w:t>9–10</w:t>
            </w:r>
          </w:p>
        </w:tc>
        <w:tc>
          <w:tcPr>
            <w:tcW w:type="dxa" w:w="3312"/>
          </w:tcPr>
          <w:p>
            <w:r>
              <w:t>主实验、消融、敏感性</w:t>
            </w:r>
          </w:p>
        </w:tc>
        <w:tc>
          <w:tcPr>
            <w:tcW w:type="dxa" w:w="3312"/>
          </w:tcPr>
          <w:p>
            <w:r>
              <w:t>CSV、统计检验、图表</w:t>
            </w:r>
          </w:p>
        </w:tc>
      </w:tr>
      <w:tr>
        <w:tc>
          <w:tcPr>
            <w:tcW w:type="dxa" w:w="3312"/>
          </w:tcPr>
          <w:p>
            <w:r>
              <w:t>11–12</w:t>
            </w:r>
          </w:p>
        </w:tc>
        <w:tc>
          <w:tcPr>
            <w:tcW w:type="dxa" w:w="3312"/>
          </w:tcPr>
          <w:p>
            <w:r>
              <w:t>撰写论文初稿</w:t>
            </w:r>
          </w:p>
        </w:tc>
        <w:tc>
          <w:tcPr>
            <w:tcW w:type="dxa" w:w="3312"/>
          </w:tcPr>
          <w:p>
            <w:r>
              <w:t>论文初稿与复现说明</w:t>
            </w:r>
          </w:p>
        </w:tc>
      </w:tr>
      <w:tr>
        <w:tc>
          <w:tcPr>
            <w:tcW w:type="dxa" w:w="3312"/>
          </w:tcPr>
          <w:p>
            <w:r>
              <w:t>13</w:t>
            </w:r>
          </w:p>
        </w:tc>
        <w:tc>
          <w:tcPr>
            <w:tcW w:type="dxa" w:w="3312"/>
          </w:tcPr>
          <w:p>
            <w:r>
              <w:t>补充实验、引用和格式修改</w:t>
            </w:r>
          </w:p>
        </w:tc>
        <w:tc>
          <w:tcPr>
            <w:tcW w:type="dxa" w:w="3312"/>
          </w:tcPr>
          <w:p>
            <w:r>
              <w:t>修改稿、代码归档</w:t>
            </w:r>
          </w:p>
        </w:tc>
      </w:tr>
      <w:tr>
        <w:tc>
          <w:tcPr>
            <w:tcW w:type="dxa" w:w="3312"/>
          </w:tcPr>
          <w:p>
            <w:r>
              <w:t>14</w:t>
            </w:r>
          </w:p>
        </w:tc>
        <w:tc>
          <w:tcPr>
            <w:tcW w:type="dxa" w:w="3312"/>
          </w:tcPr>
          <w:p>
            <w:r>
              <w:t>答辩准备与现场演示</w:t>
            </w:r>
          </w:p>
        </w:tc>
        <w:tc>
          <w:tcPr>
            <w:tcW w:type="dxa" w:w="3312"/>
          </w:tcPr>
          <w:p>
            <w:r>
              <w:t>PPT、可运行演示</w:t>
            </w:r>
          </w:p>
        </w:tc>
      </w:tr>
    </w:tbl>
    <w:p/>
    <w:p>
      <w:pPr>
        <w:pStyle w:val="Heading1"/>
      </w:pPr>
      <w:r>
        <w:t>十、可直接复制给代码生成 AI 的任务指令</w:t>
      </w:r>
    </w:p>
    <w:p>
      <w:r>
        <w:t>请依据本文件实现完整、可运行的 Python 项目。第一步必须核验 FDA1、FDA3、FDA4 的公式、变量边界、环境时钟和 PF 生成方法，保存来源 URL、版本/commit 与文件校验值。若不能核验，不得猜测标准公式，应停止该测试或明确标为 FDA-inspired。实现 NSGA-II、明确版本的 DNSGA-II（或标为 DNSGA-II-inspired）、一阶趋势预测基线、GMM-inspired 对照和 LDT-NSGA-II。</w:t>
      </w:r>
    </w:p>
    <w:p>
      <w:r>
        <w:t>逐文件输出完整代码，包含依赖清单、README、配置、单元测试、实验运行器、原始 CSV 日志、统计检验和绘图脚本。禁止伪代码、TODO、pass、占位符、只输出片段或声称运行成功但未执行。先运行 pytest 与小规模 smoke test，修复错误后提供确切命令和真实测试输出。不得预填实验结果；所有关键技术点在 README 或代码注释中附出处。</w:t>
      </w:r>
    </w:p>
    <w:p>
      <w:pPr>
        <w:pStyle w:val="Heading1"/>
      </w:pPr>
      <w:r>
        <w:t>十一、参考文献（GB/T 7714；提交前核验）</w:t>
      </w:r>
    </w:p>
    <w:p>
      <w:pPr>
        <w:ind w:left="360" w:hanging="360"/>
      </w:pPr>
      <w:r>
        <w:t>[1] DEB K, PRATAP A, AGARWAL S, et al. A fast and elitist multiobjective genetic algorithm: NSGA-II[J]. IEEE Transactions on Evolutionary Computation, 2002, 6(2): 182-197. DOI:10.1109/4235.996017.</w:t>
      </w:r>
    </w:p>
    <w:p>
      <w:pPr>
        <w:ind w:left="360" w:hanging="360"/>
      </w:pPr>
      <w:r>
        <w:t>[2] JIANG S, ZOU J, YANG S, et al. Evolutionary dynamic multi-objective optimisation: A survey[J]. ACM Computing Surveys, 2023, 55(4): Article 76. DOI:10.1145/3524495.</w:t>
      </w:r>
    </w:p>
    <w:p>
      <w:pPr>
        <w:ind w:left="360" w:hanging="360"/>
      </w:pPr>
      <w:r>
        <w:t>[3] FARINA M, DEB K, AMATO P. Dynamic multiobjective optimization problems: Test cases, approximations, and applications[J]. IEEE Transactions on Evolutionary Computation, 2004, 8(5): 425-442. DOI:10.1109/TEVC.2004.831456.</w:t>
      </w:r>
    </w:p>
    <w:p>
      <w:pPr>
        <w:ind w:left="360" w:hanging="360"/>
      </w:pPr>
      <w:r>
        <w:t>[4] DNSGA-II 具体版本需在实现选定后，依据原始论文/可靠源代码核实完整作者、题名、刊物、年份和 DOI；在核验前不要将此占位说明作为正式参考文献提交。</w:t>
      </w:r>
    </w:p>
    <w:p>
      <w:pPr>
        <w:ind w:left="360" w:hanging="360"/>
      </w:pPr>
      <w:r>
        <w:t>[5] ZOU J, HOU Z, JIANG S, et al. Knowledge transfer with mixture model in dynamic multi-objective optimization[J]. IEEE Transactions on Evolutionary Computation, 2025, 29(5): 1517-1530. DOI:10.1109/TEVC.2025.3566481.</w:t>
      </w:r>
    </w:p>
    <w:p>
      <w:pPr>
        <w:ind w:left="360" w:hanging="360"/>
      </w:pPr>
      <w:r>
        <w:t>[6] ZOU J, HOU Z, JIANG S, et al. KTMM-NSGA-II: Knowledge Transfer With Mixture Model in Dynamic Multi-Objective Optimization[EB/OL]. https://github.com/zoujuan1/KTMM-NSGA-II.</w:t>
      </w:r>
    </w:p>
    <w:p>
      <w:pPr>
        <w:ind w:left="360" w:hanging="360"/>
      </w:pPr>
      <w:r>
        <w:t>[7] pymoo. Performance Indicator[EB/OL]. https://pymoo.org/misc/indicators.html.</w:t>
      </w:r>
    </w:p>
    <w:p>
      <w:pPr>
        <w:ind w:left="360" w:hanging="360"/>
      </w:pPr>
      <w:r>
        <w:t>[8] pymoo. NSGA-II[EB/OL]. https://pymoo.org/algorithms/moo/nsga2.html.</w:t>
      </w:r>
    </w:p>
    <w:p>
      <w:pPr>
        <w:ind w:left="360" w:hanging="360"/>
      </w:pPr>
      <w:r>
        <w:t>[9] TIAN Y, CHENG R, ZHANG X, et al. PlatEMO: A MATLAB platform for evolutionary multi-objective optimization[J]. IEEE Computational Intelligence Magazine, 2017, 12(4): 73-87.</w:t>
      </w:r>
    </w:p>
    <w:p>
      <w:pPr>
        <w:ind w:left="360" w:hanging="360"/>
      </w:pPr>
      <w:r>
        <w:t>[10] JIANG S, YANG S. Evolutionary dynamic multiobjective optimization: Benchmarks and algorithm comparisons[J]. IEEE Transactions on Cybernetics, 2017, 47(1): 198-211.</w:t>
      </w:r>
    </w:p>
    <w:p>
      <w:pPr>
        <w:ind w:left="360" w:hanging="360"/>
      </w:pPr>
      <w:r>
        <w:t>[11] JIANG S, YANG S, YAO X, et al. Benchmark functions for the CEC'2018 competition on dynamic multiobjective optimization[R]. Newcastle University, 2018.</w:t>
      </w:r>
    </w:p>
    <w:p>
      <w:pPr>
        <w:pStyle w:val="Heading1"/>
      </w:pPr>
      <w:r>
        <w:t>十二、关键技术出处与核验链接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</w:tcPr>
          <w:p>
            <w:r>
              <w:rPr>
                <w:b/>
                <w:color w:val="FFFFFF"/>
              </w:rPr>
              <w:t>来源</w:t>
            </w:r>
          </w:p>
        </w:tc>
        <w:tc>
          <w:tcPr>
            <w:tcW w:type="dxa" w:w="3312"/>
            <w:shd w:fill="1F4E79"/>
          </w:tcPr>
          <w:p>
            <w:r>
              <w:rPr>
                <w:b/>
                <w:color w:val="FFFFFF"/>
              </w:rPr>
              <w:t>链接</w:t>
            </w:r>
          </w:p>
        </w:tc>
        <w:tc>
          <w:tcPr>
            <w:tcW w:type="dxa" w:w="3312"/>
            <w:shd w:fill="1F4E79"/>
          </w:tcPr>
          <w:p>
            <w:r>
              <w:rPr>
                <w:b/>
                <w:color w:val="FFFFFF"/>
              </w:rPr>
              <w:t>用途</w:t>
            </w:r>
          </w:p>
        </w:tc>
      </w:tr>
      <w:tr>
        <w:tc>
          <w:tcPr>
            <w:tcW w:type="dxa" w:w="3312"/>
          </w:tcPr>
          <w:p>
            <w:r>
              <w:t>NSGA-II 原始论文</w:t>
            </w:r>
          </w:p>
        </w:tc>
        <w:tc>
          <w:tcPr>
            <w:tcW w:type="dxa" w:w="3312"/>
          </w:tcPr>
          <w:p>
            <w:r>
              <w:t>https://doi.org/10.1109/4235.996017</w:t>
            </w:r>
          </w:p>
        </w:tc>
        <w:tc>
          <w:tcPr>
            <w:tcW w:type="dxa" w:w="3312"/>
          </w:tcPr>
          <w:p>
            <w:r>
              <w:t>算法机制与经典基线</w:t>
            </w:r>
          </w:p>
        </w:tc>
      </w:tr>
      <w:tr>
        <w:tc>
          <w:tcPr>
            <w:tcW w:type="dxa" w:w="3312"/>
          </w:tcPr>
          <w:p>
            <w:r>
              <w:t>动态多目标优化综述</w:t>
            </w:r>
          </w:p>
        </w:tc>
        <w:tc>
          <w:tcPr>
            <w:tcW w:type="dxa" w:w="3312"/>
          </w:tcPr>
          <w:p>
            <w:r>
              <w:t>https://doi.org/10.1145/3524495</w:t>
            </w:r>
          </w:p>
        </w:tc>
        <w:tc>
          <w:tcPr>
            <w:tcW w:type="dxa" w:w="3312"/>
          </w:tcPr>
          <w:p>
            <w:r>
              <w:t>研究分类与问题界定</w:t>
            </w:r>
          </w:p>
        </w:tc>
      </w:tr>
      <w:tr>
        <w:tc>
          <w:tcPr>
            <w:tcW w:type="dxa" w:w="3312"/>
          </w:tcPr>
          <w:p>
            <w:r>
              <w:t>FDA 原始论文</w:t>
            </w:r>
          </w:p>
        </w:tc>
        <w:tc>
          <w:tcPr>
            <w:tcW w:type="dxa" w:w="3312"/>
          </w:tcPr>
          <w:p>
            <w:r>
              <w:t>https://doi.org/10.1109/TEVC.2004.831456</w:t>
            </w:r>
          </w:p>
        </w:tc>
        <w:tc>
          <w:tcPr>
            <w:tcW w:type="dxa" w:w="3312"/>
          </w:tcPr>
          <w:p>
            <w:r>
              <w:t>动态测试问题来源</w:t>
            </w:r>
          </w:p>
        </w:tc>
      </w:tr>
      <w:tr>
        <w:tc>
          <w:tcPr>
            <w:tcW w:type="dxa" w:w="3312"/>
          </w:tcPr>
          <w:p>
            <w:r>
              <w:t>Zou 等 KTMM 论文</w:t>
            </w:r>
          </w:p>
        </w:tc>
        <w:tc>
          <w:tcPr>
            <w:tcW w:type="dxa" w:w="3312"/>
          </w:tcPr>
          <w:p>
            <w:r>
              <w:t>https://doi.org/10.1109/TEVC.2025.3566481</w:t>
            </w:r>
          </w:p>
        </w:tc>
        <w:tc>
          <w:tcPr>
            <w:tcW w:type="dxa" w:w="3312"/>
          </w:tcPr>
          <w:p>
            <w:r>
              <w:t>知识迁移研究</w:t>
            </w:r>
          </w:p>
        </w:tc>
      </w:tr>
      <w:tr>
        <w:tc>
          <w:tcPr>
            <w:tcW w:type="dxa" w:w="3312"/>
          </w:tcPr>
          <w:p>
            <w:r>
              <w:t>KTMM 作者代码</w:t>
            </w:r>
          </w:p>
        </w:tc>
        <w:tc>
          <w:tcPr>
            <w:tcW w:type="dxa" w:w="3312"/>
          </w:tcPr>
          <w:p>
            <w:r>
              <w:t>https://github.com/zoujuan1/KTMM-NSGA-II</w:t>
            </w:r>
          </w:p>
        </w:tc>
        <w:tc>
          <w:tcPr>
            <w:tcW w:type="dxa" w:w="3312"/>
          </w:tcPr>
          <w:p>
            <w:r>
              <w:t>MATLAB/PlatEMO 参考实现</w:t>
            </w:r>
          </w:p>
        </w:tc>
      </w:tr>
      <w:tr>
        <w:tc>
          <w:tcPr>
            <w:tcW w:type="dxa" w:w="3312"/>
          </w:tcPr>
          <w:p>
            <w:r>
              <w:t>PlatEMO</w:t>
            </w:r>
          </w:p>
        </w:tc>
        <w:tc>
          <w:tcPr>
            <w:tcW w:type="dxa" w:w="3312"/>
          </w:tcPr>
          <w:p>
            <w:r>
              <w:t>https://github.com/BIMK/PlatEMO</w:t>
            </w:r>
          </w:p>
        </w:tc>
        <w:tc>
          <w:tcPr>
            <w:tcW w:type="dxa" w:w="3312"/>
          </w:tcPr>
          <w:p>
            <w:r>
              <w:t>算法与问题交叉核验</w:t>
            </w:r>
          </w:p>
        </w:tc>
      </w:tr>
      <w:tr>
        <w:tc>
          <w:tcPr>
            <w:tcW w:type="dxa" w:w="3312"/>
          </w:tcPr>
          <w:p>
            <w:r>
              <w:t>pymoo 指标文档</w:t>
            </w:r>
          </w:p>
        </w:tc>
        <w:tc>
          <w:tcPr>
            <w:tcW w:type="dxa" w:w="3312"/>
          </w:tcPr>
          <w:p>
            <w:r>
              <w:t>https://pymoo.org/misc/indicators.html</w:t>
            </w:r>
          </w:p>
        </w:tc>
        <w:tc>
          <w:tcPr>
            <w:tcW w:type="dxa" w:w="3312"/>
          </w:tcPr>
          <w:p>
            <w:r>
              <w:t>IGD/HV 定义/API</w:t>
            </w:r>
          </w:p>
        </w:tc>
      </w:tr>
      <w:tr>
        <w:tc>
          <w:tcPr>
            <w:tcW w:type="dxa" w:w="3312"/>
          </w:tcPr>
          <w:p>
            <w:r>
              <w:t>pymoo NSGA-II 文档</w:t>
            </w:r>
          </w:p>
        </w:tc>
        <w:tc>
          <w:tcPr>
            <w:tcW w:type="dxa" w:w="3312"/>
          </w:tcPr>
          <w:p>
            <w:r>
              <w:t>https://pymoo.org/algorithms/moo/nsga2.html</w:t>
            </w:r>
          </w:p>
        </w:tc>
        <w:tc>
          <w:tcPr>
            <w:tcW w:type="dxa" w:w="3312"/>
          </w:tcPr>
          <w:p>
            <w:r>
              <w:t>算法接口与参数</w:t>
            </w:r>
          </w:p>
        </w:tc>
      </w:tr>
    </w:tbl>
    <w:p/>
    <w:p>
      <w:pPr>
        <w:pStyle w:val="Heading1"/>
      </w:pPr>
      <w:r>
        <w:t>附录 A：配置模板</w:t>
      </w:r>
    </w:p>
    <w:p>
      <w:r>
        <w:rPr>
          <w:rFonts w:ascii="Consolas" w:hAnsi="Consolas"/>
          <w:sz w:val="18"/>
        </w:rPr>
        <w:t>project:</w:t>
        <w:br/>
        <w:t xml:space="preserve">  name: LDT-NSGA-II</w:t>
        <w:br/>
        <w:t xml:space="preserve">  python: "3.11"</w:t>
        <w:br/>
        <w:t>experiment:</w:t>
        <w:br/>
        <w:t xml:space="preserve">  problems: ["FDA1", "FDA3", "FDA4"]</w:t>
        <w:br/>
        <w:t xml:space="preserve">  algorithms: ["NSGA-II", "DNSGA-II-inspired", "AR1-Predictive", "GMM-inspired", "LDT-NSGA-II"]</w:t>
        <w:br/>
        <w:t xml:space="preserve">  population_size: 100</w:t>
        <w:br/>
        <w:t xml:space="preserve">  environments: 10</w:t>
        <w:br/>
        <w:t xml:space="preserve">  evaluations_per_environment: 5000</w:t>
        <w:br/>
        <w:t xml:space="preserve">  runs: 30</w:t>
        <w:br/>
        <w:t>ldt:</w:t>
        <w:br/>
        <w:t xml:space="preserve">  transfer_ratio: 0.5</w:t>
        <w:br/>
        <w:t xml:space="preserve">  retain_ratio: 0.2</w:t>
        <w:br/>
        <w:t xml:space="preserve">  trend_alpha: 0.5</w:t>
        <w:br/>
        <w:t xml:space="preserve">  sigma_floor_fraction: 0.001</w:t>
        <w:br/>
        <w:t>reproducibility:</w:t>
        <w:br/>
        <w:t xml:space="preserve">  save_raw_csv: true</w:t>
        <w:br/>
        <w:t xml:space="preserve">  save_config_copy: true</w:t>
        <w:br/>
        <w:t xml:space="preserve">  save_environment_info: true</w:t>
        <w:br/>
        <w:t xml:space="preserve">  fail_fast_on_unverified_benchmark: true</w:t>
      </w:r>
    </w:p>
    <w:p>
      <w:pPr>
        <w:pStyle w:val="Heading1"/>
      </w:pPr>
      <w:r>
        <w:t>附录 B：正式实验前检查清单</w:t>
      </w:r>
    </w:p>
    <w:p>
      <w:pPr>
        <w:pStyle w:val="ListBullet"/>
      </w:pPr>
      <w:r>
        <w:t>☐ FDA1/FDA3/FDA4 公式、变量边界、时间参数和 PF 生成方式均有可追溯出处。</w:t>
      </w:r>
    </w:p>
    <w:p>
      <w:pPr>
        <w:pStyle w:val="ListBullet"/>
      </w:pPr>
      <w:r>
        <w:t>☐ 所有算法环境变化时机一致，且在新环境下重新评价全部个体。</w:t>
      </w:r>
    </w:p>
    <w:p>
      <w:pPr>
        <w:pStyle w:val="ListBullet"/>
      </w:pPr>
      <w:r>
        <w:t>☐ 函数评估预算一致；不一致时明确解释并补充按评估次数对齐结果。</w:t>
      </w:r>
    </w:p>
    <w:p>
      <w:pPr>
        <w:pStyle w:val="ListBullet"/>
      </w:pPr>
      <w:r>
        <w:t>☐ IGD 的 PF 采样固定；HV 参考点固定并写入配置。</w:t>
      </w:r>
    </w:p>
    <w:p>
      <w:pPr>
        <w:pStyle w:val="ListBullet"/>
      </w:pPr>
      <w:r>
        <w:t>☐ 每次运行保存 seed、配置、版本、耗时和异常信息。</w:t>
      </w:r>
    </w:p>
    <w:p>
      <w:pPr>
        <w:pStyle w:val="ListBullet"/>
      </w:pPr>
      <w:r>
        <w:t>☐ 30 次运行完成后再生成汇总统计；不以部分结果冒充完整实验。</w:t>
      </w:r>
    </w:p>
    <w:p>
      <w:pPr>
        <w:pStyle w:val="ListBullet"/>
      </w:pPr>
      <w:r>
        <w:t>☐ 原版复现与 inspired 版本命名清楚，记录算法实现差异。</w:t>
      </w:r>
    </w:p>
    <w:p>
      <w:pPr>
        <w:pStyle w:val="ListBullet"/>
      </w:pPr>
      <w:r>
        <w:t>☐ 正文每个实验结论都能追溯到真实数据或文献来源。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渐变环境下轻量级动态多目标优化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80"/>
    </w:pPr>
    <w:rPr>
      <w:rFonts w:ascii="宋体" w:hAnsi="宋体" w:eastAsia="宋体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渐变环境下基于分布迁移的轻量级动态多目标优化算法：开题报告与可执行实验规格</dc:title>
  <dc:subject>本科计算机科学与技术毕业设计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