
<file path=[Content_Types].xml><?xml version="1.0" encoding="utf-8"?>
<Types xmlns="http://schemas.openxmlformats.org/package/2006/content-types">
  <Default Extension="xml" ContentType="application/xml"/>
  <Default Extension="rels" ContentType="application/vnd.openxmlformats-package.relationships+xml"/>
  <Override PartName="/word/header3.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document.xml" ContentType="application/vnd.openxmlformats-officedocument.wordprocessingml.document.main+xml"/>
  <Override PartName="/customXml/itemProps1.xml" ContentType="application/vnd.openxmlformats-officedocument.customXmlProperties+xml"/>
  <Override PartName="/word/footer2.xml" ContentType="application/vnd.openxmlformats-officedocument.wordprocessingml.footer+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1360" w:after="560"/>
        <w:jc w:val="center"/>
        <w:rPr/>
      </w:pPr>
      <w:r>
        <w:rPr>
          <w:rFonts w:ascii="Times New Roman" w:eastAsia="黑体" w:hAnsi="Times New Roman"/>
          <w:b/>
          <w:color w:val="1f4e79"/>
          <w:sz w:val="46"/>
        </w:rPr>
        <w:t>本科毕业设计（论文）</w:t>
      </w:r>
    </w:p>
    <w:p>
      <w:pPr>
        <w:pStyle w:val="style0"/>
        <w:spacing w:before="320" w:after="440" w:lineRule="auto" w:line="360"/>
        <w:jc w:val="center"/>
        <w:rPr/>
      </w:pPr>
      <w:r>
        <w:rPr>
          <w:rFonts w:ascii="Times New Roman" w:eastAsia="黑体" w:hAnsi="Times New Roman"/>
          <w:b/>
          <w:color w:val="1f4e79"/>
          <w:sz w:val="50"/>
        </w:rPr>
        <w:t>开题报告</w:t>
      </w:r>
    </w:p>
    <w:p>
      <w:pPr>
        <w:pStyle w:val="style0"/>
        <w:spacing w:before="300" w:after="800" w:lineRule="auto" w:line="384"/>
        <w:jc w:val="center"/>
        <w:rPr/>
      </w:pPr>
      <w:r>
        <w:rPr>
          <w:rFonts w:ascii="Times New Roman" w:eastAsia="黑体" w:hAnsi="Times New Roman"/>
          <w:b/>
          <w:color w:val="1f1f1f"/>
          <w:sz w:val="42"/>
        </w:rPr>
        <w:t>渐变环境下基于分布迁移的</w:t>
      </w:r>
      <w:r>
        <w:rPr>
          <w:rFonts w:ascii="Times New Roman" w:eastAsia="黑体" w:hAnsi="Times New Roman"/>
          <w:b/>
          <w:color w:val="1f1f1f"/>
          <w:sz w:val="42"/>
        </w:rPr>
        <w:br/>
      </w:r>
      <w:r>
        <w:rPr>
          <w:rFonts w:ascii="Times New Roman" w:eastAsia="黑体" w:hAnsi="Times New Roman"/>
          <w:b/>
          <w:color w:val="1f1f1f"/>
          <w:sz w:val="42"/>
        </w:rPr>
        <w:t>轻量级动态多目标优化算法</w:t>
      </w:r>
    </w:p>
    <w:p>
      <w:pPr>
        <w:pStyle w:val="style0"/>
        <w:spacing w:after="280"/>
        <w:jc w:val="center"/>
        <w:rPr/>
      </w:pPr>
      <w:r>
        <w:rPr>
          <w:rFonts w:ascii="Times New Roman" w:eastAsia="宋体" w:hAnsi="Times New Roman"/>
          <w:sz w:val="24"/>
        </w:rPr>
        <w:t>学院（系）：____________________________</w:t>
      </w:r>
    </w:p>
    <w:p>
      <w:pPr>
        <w:pStyle w:val="style0"/>
        <w:spacing w:after="280"/>
        <w:jc w:val="center"/>
        <w:rPr/>
      </w:pPr>
      <w:r>
        <w:rPr>
          <w:rFonts w:ascii="Times New Roman" w:eastAsia="宋体" w:hAnsi="Times New Roman"/>
          <w:sz w:val="24"/>
        </w:rPr>
        <w:t>专业：计算机科学与技术</w:t>
      </w:r>
    </w:p>
    <w:p>
      <w:pPr>
        <w:pStyle w:val="style0"/>
        <w:spacing w:after="280"/>
        <w:jc w:val="center"/>
        <w:rPr/>
      </w:pPr>
      <w:r>
        <w:rPr>
          <w:rFonts w:ascii="Times New Roman" w:eastAsia="宋体" w:hAnsi="Times New Roman"/>
          <w:sz w:val="24"/>
        </w:rPr>
        <w:t>学生姓名：____________________________</w:t>
      </w:r>
    </w:p>
    <w:p>
      <w:pPr>
        <w:pStyle w:val="style0"/>
        <w:spacing w:after="280"/>
        <w:jc w:val="center"/>
        <w:rPr/>
      </w:pPr>
      <w:r>
        <w:rPr>
          <w:rFonts w:ascii="Times New Roman" w:eastAsia="宋体" w:hAnsi="Times New Roman"/>
          <w:sz w:val="24"/>
        </w:rPr>
        <w:t>学号：________________________________</w:t>
      </w:r>
    </w:p>
    <w:p>
      <w:pPr>
        <w:pStyle w:val="style0"/>
        <w:spacing w:after="280"/>
        <w:jc w:val="center"/>
        <w:rPr/>
      </w:pPr>
      <w:r>
        <w:rPr>
          <w:rFonts w:ascii="Times New Roman" w:eastAsia="宋体" w:hAnsi="Times New Roman"/>
          <w:sz w:val="24"/>
        </w:rPr>
        <w:t>指导教师：____________________________</w:t>
      </w:r>
    </w:p>
    <w:p>
      <w:pPr>
        <w:pStyle w:val="style0"/>
        <w:spacing w:after="280"/>
        <w:jc w:val="center"/>
        <w:rPr/>
      </w:pPr>
      <w:r>
        <w:rPr>
          <w:rFonts w:ascii="Times New Roman" w:eastAsia="宋体" w:hAnsi="Times New Roman"/>
          <w:sz w:val="24"/>
        </w:rPr>
        <w:t>提交日期：________年____月____日</w:t>
      </w:r>
    </w:p>
    <w:p>
      <w:pPr>
        <w:pStyle w:val="style0"/>
        <w:spacing w:before="700"/>
        <w:jc w:val="center"/>
        <w:rPr/>
      </w:pPr>
      <w:r>
        <w:rPr>
          <w:rFonts w:ascii="Times New Roman" w:eastAsia="宋体" w:hAnsi="Times New Roman"/>
          <w:color w:val="787878"/>
          <w:sz w:val="18"/>
        </w:rPr>
        <w:t>（本科毕业设计开题报告·研究方案稿）</w:t>
      </w:r>
    </w:p>
    <w:p>
      <w:pPr>
        <w:pStyle w:val="style0"/>
        <w:rPr/>
      </w:pPr>
      <w:r>
        <w:br w:type="page"/>
      </w:r>
    </w:p>
    <w:p>
      <w:pPr>
        <w:pStyle w:val="style1"/>
        <w:rPr/>
      </w:pPr>
      <w:r>
        <w:t>课题摘要</w:t>
      </w:r>
    </w:p>
    <w:p>
      <w:pPr>
        <w:pStyle w:val="style0"/>
        <w:spacing w:before="0" w:after="80" w:lineRule="auto" w:line="355"/>
        <w:ind w:firstLine="420"/>
        <w:rPr/>
      </w:pPr>
      <w:r>
        <w:rPr>
          <w:rFonts w:ascii="Times New Roman" w:eastAsia="宋体" w:hAnsi="Times New Roman"/>
          <w:sz w:val="21"/>
        </w:rPr>
        <w:t>多目标优化广泛应用于车间调度、机器人路径规划、能源系统运行和工业参数设计等需要同时权衡多个冲突目标的场景。实际环境中的目标函数、约束或系统参数可能随时间变化，使得静态多目标进化算法难以长期保持对当前帕累托最优解集的跟踪能力。动态多目标优化方法通常通过增加随机个体、预测未来解集或复用历史知识来提高环境变化后的响应速度，但随机响应可能导致重新收敛耗时较长，预测策略容易受到历史误差影响，而基于复杂概率模型的迁移方法则可能带来额外计算开销。</w:t>
      </w:r>
    </w:p>
    <w:p>
      <w:pPr>
        <w:pStyle w:val="style0"/>
        <w:spacing w:before="0" w:after="80" w:lineRule="auto" w:line="355"/>
        <w:ind w:firstLine="420"/>
        <w:rPr/>
      </w:pPr>
      <w:r>
        <w:rPr>
          <w:rFonts w:ascii="Times New Roman" w:eastAsia="宋体" w:hAnsi="Times New Roman"/>
          <w:sz w:val="21"/>
        </w:rPr>
        <w:t>本课题拟以NSGA-II为基础框架，针对平滑趋势、离散采样的渐变环境，设计一种基于种群分布特征迁移的轻量级动态多目标优化算法。方法拟提取种群在决策空间中的均值与标准差等低维统计特征，并利用相邻环境的特征变化估计下一环境中种群中心及分布尺度的变化，再将历史个体相对于分布中心的结构映射到预测分布中；同时保留一定比例随机个体，以减轻负迁移与多样性损失。研究将基于FDA1、FDA3、FDA4等动态基准开展对比实验、消融实验和参数敏感性实验，以IGD、HV、单代运行时间及环境变化后的恢复曲线作为主要评价依据。</w:t>
      </w:r>
    </w:p>
    <w:p>
      <w:pPr>
        <w:pStyle w:val="style0"/>
        <w:spacing w:before="0" w:after="80" w:lineRule="auto" w:line="355"/>
        <w:ind w:firstLine="420"/>
        <w:rPr/>
      </w:pPr>
      <w:r>
        <w:rPr>
          <w:rFonts w:ascii="Times New Roman" w:eastAsia="宋体" w:hAnsi="Times New Roman"/>
          <w:b/>
          <w:sz w:val="21"/>
        </w:rPr>
        <w:t>本报告提出</w:t>
      </w:r>
      <w:r>
        <w:rPr>
          <w:rFonts w:ascii="Times New Roman" w:eastAsia="宋体" w:hAnsi="Times New Roman"/>
          <w:sz w:val="21"/>
        </w:rPr>
        <w:t>的是待实现、待验证的研究方案，而非已获得实验结论。预期形成可运行的算法实现、可复现的实验脚本与数据、性能分析报告及本科毕业论文。</w:t>
      </w:r>
    </w:p>
    <w:p>
      <w:pPr>
        <w:pStyle w:val="style0"/>
        <w:spacing w:before="0" w:after="80" w:lineRule="auto" w:line="355"/>
        <w:ind w:firstLine="0"/>
        <w:rPr/>
      </w:pPr>
      <w:r>
        <w:rPr>
          <w:rFonts w:ascii="Times New Roman" w:eastAsia="宋体" w:hAnsi="Times New Roman"/>
          <w:sz w:val="21"/>
        </w:rPr>
        <w:t>关键词：动态多目标优化；渐变环境；种群分布；知识迁移；NSGA-II；IGD；HV</w:t>
      </w:r>
    </w:p>
    <w:p>
      <w:pPr>
        <w:pStyle w:val="style1"/>
        <w:rPr/>
      </w:pPr>
      <w:r>
        <w:t>一、研究背景与意义</w:t>
      </w:r>
    </w:p>
    <w:p>
      <w:pPr>
        <w:pStyle w:val="style2"/>
        <w:rPr/>
      </w:pPr>
      <w:r>
        <w:t>1.1 多目标优化的工程价值</w:t>
      </w:r>
    </w:p>
    <w:p>
      <w:pPr>
        <w:pStyle w:val="style0"/>
        <w:spacing w:before="0" w:after="80" w:lineRule="auto" w:line="355"/>
        <w:ind w:firstLine="420"/>
        <w:rPr/>
      </w:pPr>
      <w:r>
        <w:rPr>
          <w:rFonts w:ascii="Times New Roman" w:eastAsia="宋体" w:hAnsi="Times New Roman"/>
          <w:sz w:val="21"/>
        </w:rPr>
        <w:t>在复杂工程系统中，决策往往同时受到成本、效率、质量、能耗、安全性和资源约束等多重因素影响，各目标之间通常存在冲突，难以通过单一目标函数给出兼顾全部需求的唯一最优解。多目标优化通过寻找一组帕累托最优解，为决策者提供不同目标权衡下的可选方案。</w:t>
      </w:r>
    </w:p>
    <w:p>
      <w:pPr>
        <w:pStyle w:val="style0"/>
        <w:spacing w:before="0" w:after="80" w:lineRule="auto" w:line="355"/>
        <w:ind w:firstLine="420"/>
        <w:rPr/>
      </w:pPr>
      <w:r>
        <w:rPr>
          <w:rFonts w:ascii="Times New Roman" w:eastAsia="宋体" w:hAnsi="Times New Roman"/>
          <w:sz w:val="21"/>
        </w:rPr>
        <w:t>在车间调度场景中，系统可同时优化最大完工时间、设备利用率、能耗与订单延迟；在机器人路径规划场景中，可同步考虑路径长度、碰撞风险、能量消耗和执行时间；在工业能效场景中，可兼顾单位产量能耗、产能、设备磨损及排放约束。此类问题普遍具有目标冲突、变量耦合和约束复杂等特征，基于种群的多目标进化算法能够一次性探索多个候选解，适用于难以获得解析梯度或存在复杂非凸结构的优化问题。</w:t>
      </w:r>
    </w:p>
    <w:p>
      <w:pPr>
        <w:pStyle w:val="style2"/>
        <w:rPr/>
      </w:pPr>
      <w:r>
        <w:t>1.2 动态多目标优化的定义与现实需求</w:t>
      </w:r>
    </w:p>
    <w:p>
      <w:pPr>
        <w:pStyle w:val="style0"/>
        <w:spacing w:before="0" w:after="80" w:lineRule="auto" w:line="355"/>
        <w:ind w:firstLine="420"/>
        <w:rPr/>
      </w:pPr>
      <w:r>
        <w:rPr>
          <w:rFonts w:ascii="Times New Roman" w:eastAsia="宋体" w:hAnsi="Times New Roman"/>
          <w:sz w:val="21"/>
        </w:rPr>
        <w:t>动态多目标优化问题（Dynamic Multi-objective Optimization Problem，DMOP）是指目标函数、约束条件、决策空间或相关环境参数会随时间变化的多目标优化问题。一般可写为：</w:t>
      </w:r>
    </w:p>
    <w:p>
      <w:pPr>
        <w:pStyle w:val="style0"/>
        <w:spacing w:before="60" w:after="100"/>
        <w:jc w:val="center"/>
        <w:rPr/>
      </w:pPr>
      <w:r>
        <w:rPr>
          <w:rFonts w:ascii="Times New Roman" w:eastAsia="Times New Roman" w:hAnsi="Times New Roman"/>
          <w:b/>
          <w:sz w:val="22"/>
        </w:rPr>
        <w:t>min  F(x,t) = (f₁(x,t), f₂(x,t), …, fₘ(x,t))，x ∈ Ω(t)</w:t>
      </w:r>
    </w:p>
    <w:p>
      <w:pPr>
        <w:pStyle w:val="style0"/>
        <w:spacing w:before="0" w:after="80" w:lineRule="auto" w:line="355"/>
        <w:ind w:firstLine="420"/>
        <w:rPr/>
      </w:pPr>
      <w:r>
        <w:rPr>
          <w:rFonts w:ascii="Times New Roman" w:eastAsia="宋体" w:hAnsi="Times New Roman"/>
          <w:sz w:val="21"/>
        </w:rPr>
        <w:t>其中，x为决策向量，t为环境时间参数，F为多目标向量，Ω(t)表示可能随环境变化的可行域。随着t变化，帕累托最优解集（Pareto Set，PS）和帕累托前沿（Pareto Front，PF）可能发生位置、形状、范围或可行性的变化。静态算法通常将目标函数视为固定函数，当环境发生变化时，其当前种群可能不再靠近新的PS/PF，旧的非支配关系也可能失去意义，算法因此需要重新评估个体并调整搜索方向[2,5,7]。</w:t>
      </w:r>
    </w:p>
    <w:p>
      <w:pPr>
        <w:pStyle w:val="style0"/>
        <w:spacing w:before="0" w:after="80" w:lineRule="auto" w:line="355"/>
        <w:ind w:firstLine="420"/>
        <w:rPr/>
      </w:pPr>
      <w:r>
        <w:rPr>
          <w:rFonts w:ascii="Times New Roman" w:eastAsia="宋体" w:hAnsi="Times New Roman"/>
          <w:sz w:val="21"/>
        </w:rPr>
        <w:t>动态算法需要同时解决三个相互关联的问题：一是识别环境变化；二是重建或更新种群以快速响应变化；三是在收敛性与多样性之间保持平衡。若响应机制过度依赖随机重启，搜索会耗费较多评估预算；若过度依赖对历史变化轨迹的预测，则预测误差可能被传递至下一环境。因此，合理利用历史解集中的有效信息并限制额外计算，是动态多目标优化的重要研究方向。</w:t>
      </w:r>
    </w:p>
    <w:p>
      <w:pPr>
        <w:pStyle w:val="style2"/>
        <w:rPr/>
      </w:pPr>
      <w:r>
        <w:t>1.3 渐变型动态场景的特点与研究不足</w:t>
      </w:r>
    </w:p>
    <w:p>
      <w:pPr>
        <w:pStyle w:val="style0"/>
        <w:spacing w:before="0" w:after="80" w:lineRule="auto" w:line="355"/>
        <w:ind w:firstLine="420"/>
        <w:rPr/>
      </w:pPr>
      <w:r>
        <w:rPr>
          <w:rFonts w:ascii="Times New Roman" w:eastAsia="宋体" w:hAnsi="Times New Roman"/>
          <w:sz w:val="21"/>
        </w:rPr>
        <w:t>本课题重点考虑环境参数沿相对平滑的时间轨迹连续变化、相邻采样环境之间的变化幅度较小的情形。与突发式变化相比，渐变场景中相邻环境之间通常具有更强的关联性，上一环境的种群分布往往包含可复用信息。但这种相关性并不意味着直接复制上一代种群一定有效：如果PS发生位移、PF形状发生变化或变量之间的关联关系变化，未经调整的历史解会出现系统性偏移。</w:t>
      </w:r>
    </w:p>
    <w:p>
      <w:pPr>
        <w:pStyle w:val="style0"/>
        <w:spacing w:before="0" w:after="80" w:lineRule="auto" w:line="355"/>
        <w:ind w:firstLine="420"/>
        <w:rPr/>
      </w:pPr>
      <w:r>
        <w:rPr>
          <w:rFonts w:ascii="Times New Roman" w:eastAsia="宋体" w:hAnsi="Times New Roman"/>
          <w:sz w:val="21"/>
        </w:rPr>
        <w:t>渐变动态测试通常通过具有时间参数的FDA等基准函数生成，并由变化幅度参数与环境更新频率共同控制变化过程[2,5,20]。需要注意，经典基准在实现中往往采用离散环境采样，即底层变化函数可以是平滑的，但算法只在指定代数更新环境。本研究将把这一点明确记录为“平滑轨迹、离散采样的渐变环境”，避免将经典分段更新机制误写为严格连续时间优化。对于同一测试问题，变化频率和单次变化幅度应分别设置，以区分“变化较频繁”和“每次变化较剧烈”两种因素。</w:t>
      </w:r>
    </w:p>
    <w:p>
      <w:pPr>
        <w:pStyle w:val="style0"/>
        <w:spacing w:before="0" w:after="80" w:lineRule="auto" w:line="355"/>
        <w:ind w:firstLine="420"/>
        <w:rPr/>
      </w:pPr>
      <w:r>
        <w:rPr>
          <w:rFonts w:ascii="Times New Roman" w:eastAsia="宋体" w:hAnsi="Times New Roman"/>
          <w:sz w:val="21"/>
        </w:rPr>
        <w:t>现有动态优化研究已覆盖随机响应、多样性保持、预测、记忆与知识迁移等方向[7]。近期研究进一步利用参考向量调整、历史精英迁移、流形迁移、混合概率模型与多中心预测提高新环境初始种群质量[8-10,13,16-17]。然而，复杂模型通常需要聚类、协方差估计、潜在空间变换或多候选预测，可能增加拟合与采样成本。对于变化幅度较小、需要频繁响应的渐变场景，是否可以只迁移具有代表性的低维统计特征，在保持解集质量的同时减少额外计算，仍值得通过受控实验进一步研究。</w:t>
      </w:r>
    </w:p>
    <w:p>
      <w:pPr>
        <w:pStyle w:val="style2"/>
        <w:rPr/>
      </w:pPr>
      <w:r>
        <w:t>1.4 理论意义</w:t>
      </w:r>
    </w:p>
    <w:p>
      <w:pPr>
        <w:pStyle w:val="style48"/>
        <w:spacing w:after="40" w:lineRule="auto" w:line="324"/>
        <w:ind w:left="425" w:hanging="198"/>
        <w:rPr/>
      </w:pPr>
      <w:r>
        <w:rPr>
          <w:rFonts w:ascii="Times New Roman" w:eastAsia="宋体" w:hAnsi="Times New Roman"/>
          <w:sz w:val="20"/>
        </w:rPr>
        <w:t>从动态进化算法的角度，研究种群分布统计量与环境变化响应之间的映射关系，为轻量级迁移策略提供可分析、可复现的实现路径。</w:t>
      </w:r>
    </w:p>
    <w:p>
      <w:pPr>
        <w:pStyle w:val="style48"/>
        <w:spacing w:after="40" w:lineRule="auto" w:line="324"/>
        <w:ind w:left="425" w:hanging="198"/>
        <w:rPr/>
      </w:pPr>
      <w:r>
        <w:rPr>
          <w:rFonts w:ascii="Times New Roman" w:eastAsia="宋体" w:hAnsi="Times New Roman"/>
          <w:sz w:val="20"/>
        </w:rPr>
        <w:t>通过对比预测式迁移、随机响应和分布模型迁移，分析历史信息复用、种群多样性和计算开销之间的权衡。</w:t>
      </w:r>
    </w:p>
    <w:p>
      <w:pPr>
        <w:pStyle w:val="style48"/>
        <w:spacing w:after="40" w:lineRule="auto" w:line="324"/>
        <w:ind w:left="425" w:hanging="198"/>
        <w:rPr/>
      </w:pPr>
      <w:r>
        <w:rPr>
          <w:rFonts w:ascii="Times New Roman" w:eastAsia="宋体" w:hAnsi="Times New Roman"/>
          <w:sz w:val="20"/>
        </w:rPr>
        <w:t>通过消融实验独立评估“低维特征表示”和“自适应迁移函数”的贡献，避免仅凭总体性能差异推断某一模块有效。</w:t>
      </w:r>
    </w:p>
    <w:p>
      <w:pPr>
        <w:pStyle w:val="style2"/>
        <w:rPr/>
      </w:pPr>
      <w:r>
        <w:t>1.5 工程应用价值</w:t>
      </w:r>
    </w:p>
    <w:p>
      <w:pPr>
        <w:pStyle w:val="style0"/>
        <w:spacing w:before="0" w:after="80" w:lineRule="auto" w:line="355"/>
        <w:ind w:firstLine="420"/>
        <w:rPr/>
      </w:pPr>
      <w:r>
        <w:rPr>
          <w:rFonts w:ascii="Times New Roman" w:eastAsia="宋体" w:hAnsi="Times New Roman"/>
          <w:sz w:val="21"/>
        </w:rPr>
        <w:t>本研究以通用动态多目标优化基准为验证对象，暂不直接声称能够解决某一真实行业系统。若实验表明所提方法能够在较低计算开销下保持具有竞争力的收敛与覆盖性能，则该方法可作为后续车间调度、移动机器人规划或工业能效优化系统中的候选动态响应模块。其工程价值主要体现为实现结构相对简单、额外参数数量少、可嵌入现有NSGA-II框架，并能够通过运行时间与解集质量指标进行量化评估。</w:t>
      </w:r>
    </w:p>
    <w:p>
      <w:pPr>
        <w:pStyle w:val="style1"/>
        <w:rPr/>
      </w:pPr>
      <w:r>
        <w:t>二、国内外研究现状</w:t>
      </w:r>
    </w:p>
    <w:p>
      <w:pPr>
        <w:pStyle w:val="style2"/>
        <w:rPr/>
      </w:pPr>
      <w:r>
        <w:t>2.1 静态多目标优化研究</w:t>
      </w:r>
    </w:p>
    <w:p>
      <w:pPr>
        <w:pStyle w:val="style0"/>
        <w:spacing w:before="0" w:after="80" w:lineRule="auto" w:line="355"/>
        <w:ind w:firstLine="420"/>
        <w:rPr/>
      </w:pPr>
      <w:r>
        <w:rPr>
          <w:rFonts w:ascii="Times New Roman" w:eastAsia="宋体" w:hAnsi="Times New Roman"/>
          <w:sz w:val="21"/>
        </w:rPr>
        <w:t>静态多目标进化算法（MOEA）通过群体搜索寻找一组收敛性和分布性兼顾的非支配解。Deb等提出的NSGA-II使用快速非支配排序、拥挤距离和精英保留机制，在较低计算复杂度下实现有效的多目标搜索，成为动态算法常用的基础框架之一[1]。分解式方法MOEA/D则把多目标问题转换为多个相互关联的标量子问题，为多目标搜索提供了另一条重要技术路线。</w:t>
      </w:r>
    </w:p>
    <w:p>
      <w:pPr>
        <w:pStyle w:val="style0"/>
        <w:spacing w:before="0" w:after="80" w:lineRule="auto" w:line="355"/>
        <w:ind w:firstLine="420"/>
        <w:rPr/>
      </w:pPr>
      <w:r>
        <w:rPr>
          <w:rFonts w:ascii="Times New Roman" w:eastAsia="宋体" w:hAnsi="Times New Roman"/>
          <w:sz w:val="21"/>
        </w:rPr>
        <w:t>静态算法在动态环境下的局限在于其选择机制默认目标函数和约束不随时间改变。环境变化后，原有个体的适应度、非支配等级和拥挤度需要重新计算，历史种群可能集中在已经偏离当前最优区域的位置。若算法只延续静态进化流程，则需要通过后续选择、交叉和变异逐步恢复；当环境更新频率较高时，算法可能在尚未充分收敛前再次遭遇环境变化。因此，动态优化研究通常保留静态算法作为搜索内核，再为环境变化设计专门响应机制[2,5,7]。</w:t>
      </w:r>
    </w:p>
    <w:p>
      <w:pPr>
        <w:pStyle w:val="style2"/>
        <w:rPr/>
      </w:pPr>
      <w:r>
        <w:t>2.2 动态多目标优化的主流方法</w:t>
      </w:r>
    </w:p>
    <w:p>
      <w:pPr>
        <w:pStyle w:val="style3"/>
        <w:rPr/>
      </w:pPr>
      <w:r>
        <w:t>2.2.1 响应式方法</w:t>
      </w:r>
    </w:p>
    <w:p>
      <w:pPr>
        <w:pStyle w:val="style0"/>
        <w:spacing w:before="0" w:after="80" w:lineRule="auto" w:line="355"/>
        <w:ind w:firstLine="420"/>
        <w:rPr/>
      </w:pPr>
      <w:r>
        <w:rPr>
          <w:rFonts w:ascii="Times New Roman" w:eastAsia="宋体" w:hAnsi="Times New Roman"/>
          <w:sz w:val="21"/>
        </w:rPr>
        <w:t>响应式方法在检测到环境变化后改变种群结构或进化算子，使算法重新获得搜索多样性。代表性方法包括动态NSGA-II（DNSGA-II）的随机移民或变异响应策略，以及通过随机重初始化、增强变异或保留精英解集来适应新环境的方法[3,5]。其优点是实现直观、无需训练复杂模型，对历史数据量的要求较低；不足是随机生成的个体可能远离新环境的PS，增强变异也可能破坏已积累的有效结构，从而导致恢复过程较慢。</w:t>
      </w:r>
    </w:p>
    <w:p>
      <w:pPr>
        <w:pStyle w:val="style3"/>
        <w:rPr/>
      </w:pPr>
      <w:r>
        <w:t>2.2.2 预测式方法</w:t>
      </w:r>
    </w:p>
    <w:p>
      <w:pPr>
        <w:pStyle w:val="style0"/>
        <w:spacing w:before="0" w:after="80" w:lineRule="auto" w:line="355"/>
        <w:ind w:firstLine="420"/>
        <w:rPr/>
      </w:pPr>
      <w:r>
        <w:rPr>
          <w:rFonts w:ascii="Times New Roman" w:eastAsia="宋体" w:hAnsi="Times New Roman"/>
          <w:sz w:val="21"/>
        </w:rPr>
        <w:t>预测式方法根据历史环境中的优秀解、边界点、中心点或参考向量估计新环境下的解集位置，并用预测个体构造新环境的初始种群。Hatzakis和Wallace提出将前向预测与进化算法结合的思路[4]；近期研究利用参考向量调整与线性预测、多中心预测、时序模型以及贝叶斯向量自回归等方式提升对新环境的跟踪能力[8,11,17-18]。预测方法通常能更充分地利用历史趋势，但预测质量高度依赖历史解的质量、变化规律的稳定程度及环境时间跨度。如果变化方向反转、历史种群尚未收敛或相邻环境关联减弱，预测偏差可能引导搜索进入错误区域。复杂预测模型还可能增加拟合、参数估计和模型更新的开销。</w:t>
      </w:r>
    </w:p>
    <w:p>
      <w:pPr>
        <w:pStyle w:val="style3"/>
        <w:rPr/>
      </w:pPr>
      <w:r>
        <w:t>2.2.3 多样性保持型方法</w:t>
      </w:r>
    </w:p>
    <w:p>
      <w:pPr>
        <w:pStyle w:val="style0"/>
        <w:spacing w:before="0" w:after="80" w:lineRule="auto" w:line="355"/>
        <w:ind w:firstLine="420"/>
        <w:rPr/>
      </w:pPr>
      <w:r>
        <w:rPr>
          <w:rFonts w:ascii="Times New Roman" w:eastAsia="宋体" w:hAnsi="Times New Roman"/>
          <w:sz w:val="21"/>
        </w:rPr>
        <w:t>多样性保持型方法通过历史档案、随机移民、多个子群体或差异化搜索算子维持候选解覆盖范围，使算法在环境改变后仍保有探索能力。动态多目标优化的经典基准与算法比较研究表明，响应能力不仅取决于收敛速度，也与种群分布是否能够覆盖当前PF密切相关[5,7]。近期工作将多样性保持与预测、迁移或双搜索策略相结合，试图兼顾快速定位与全局覆盖[9,12-13]。其不足在于，若仅维持广泛分布而缺少方向性引导，计算资源会用于大量与新PS无关的区域；若新环境中随机解比例过高，收敛性能可能受到影响。</w:t>
      </w:r>
    </w:p>
    <w:p>
      <w:pPr>
        <w:pStyle w:val="style2"/>
        <w:rPr/>
      </w:pPr>
      <w:r>
        <w:t>2.3 知识迁移型动态优化研究</w:t>
      </w:r>
    </w:p>
    <w:p>
      <w:pPr>
        <w:pStyle w:val="style0"/>
        <w:spacing w:before="0" w:after="80" w:lineRule="auto" w:line="355"/>
        <w:ind w:firstLine="420"/>
        <w:rPr/>
      </w:pPr>
      <w:r>
        <w:rPr>
          <w:rFonts w:ascii="Times New Roman" w:eastAsia="宋体" w:hAnsi="Times New Roman"/>
          <w:sz w:val="21"/>
        </w:rPr>
        <w:t>知识迁移型方法把历史环境中已学习到的解集结构、代表个体或分布模式复用于新环境，以减少新一轮搜索的冷启动成本。相关研究包括基于精英解筛选和流形迁移的T-DMOEA、结合精英迁移与多样性维护的HETD-DMOEA，以及面向动态多目标优化的目标知识迁移方法[9-10,14]。这些方法共同反映出：并非历史种群中的所有个体都值得迁移，选择信息量较高且与目标环境相关的知识，有助于降低负迁移风险。</w:t>
      </w:r>
    </w:p>
    <w:p>
      <w:pPr>
        <w:pStyle w:val="style0"/>
        <w:spacing w:before="0" w:after="80" w:lineRule="auto" w:line="355"/>
        <w:ind w:firstLine="420"/>
        <w:rPr/>
      </w:pPr>
      <w:r>
        <w:rPr>
          <w:rFonts w:ascii="Times New Roman" w:eastAsia="宋体" w:hAnsi="Times New Roman"/>
          <w:sz w:val="21"/>
        </w:rPr>
        <w:t>邹娟及其合作者的研究与本课题联系紧密。Jiang、Zou、Yang和Yao的综述系统梳理了动态多目标优化的算法分类、环境响应机制和后续研究方向，为本课题建立了整体研究脉络[7]。Zheng等提出结合自适应参考向量和线性预测的动态多目标进化算法，利用非支配解的预测和参考向量调整来改善新环境中的解集定位[8]。邹娟团队参与的混合模型知识迁移工作KTMM利用高斯混合模型刻画历史环境知识，并据此生成新环境初始种群，针对相邻环境差异不规则的情况增强知识复用能力[16]。团队相关的多中心预测研究则通过历史解的多中心表示预测下一环境的群体结构，重点关注动态约束条件下新环境初始种群质量[17]。这些工作表明，分布信息、代表中心和历史知识的选择是提升动态响应效率的重要方向。</w:t>
      </w:r>
    </w:p>
    <w:p>
      <w:pPr>
        <w:pStyle w:val="style0"/>
        <w:spacing w:before="0" w:after="80" w:lineRule="auto" w:line="355"/>
        <w:ind w:firstLine="420"/>
        <w:rPr/>
      </w:pPr>
      <w:r>
        <w:rPr>
          <w:rFonts w:ascii="Times New Roman" w:eastAsia="宋体" w:hAnsi="Times New Roman"/>
          <w:sz w:val="21"/>
        </w:rPr>
        <w:t>与此同时，KTMM一类模型迁移方法需要进行概率模型拟合与采样；流形迁移方法涉及特征空间变换；多中心预测需要聚类或代表点识别[10,14,16-17]。这些策略面向复杂环境具有优势，但其建模开销和实现复杂度未必适合本科毕设所强调的轻量级场景。本课题不会复刻上述高复杂度方法，而是借鉴“显式利用种群分布信息、重用历史环境结构”的基本思想，研究只依赖均值、尺度等低维统计特征的简化迁移策略。</w:t>
      </w:r>
    </w:p>
    <w:p>
      <w:pPr>
        <w:pStyle w:val="style2"/>
        <w:rPr/>
      </w:pPr>
      <w:r>
        <w:t>2.4 研究现状总结与问题定位</w:t>
      </w:r>
    </w:p>
    <w:p>
      <w:pPr>
        <w:pStyle w:val="style0"/>
        <w:spacing w:before="0" w:after="80" w:lineRule="auto" w:line="355"/>
        <w:ind w:firstLine="420"/>
        <w:rPr/>
      </w:pPr>
      <w:r>
        <w:rPr>
          <w:rFonts w:ascii="Times New Roman" w:eastAsia="宋体" w:hAnsi="Times New Roman"/>
          <w:sz w:val="21"/>
        </w:rPr>
        <w:t>综上，静态多目标算法提供了成熟的搜索内核，响应式算法实现简单但存在重新收敛成本，预测式算法能够利用历史趋势但容易受到误差影响，多样性保持型算法可减轻搜索退化但需要平衡探索和开发；知识迁移方法进一步提高了历史经验的利用率，但复杂模型可能引入额外计算负担[7-18]。</w:t>
      </w:r>
    </w:p>
    <w:p>
      <w:pPr>
        <w:pStyle w:val="style0"/>
        <w:spacing w:before="0" w:after="80" w:lineRule="auto" w:line="355"/>
        <w:ind w:firstLine="420"/>
        <w:rPr/>
      </w:pPr>
      <w:r>
        <w:rPr>
          <w:rFonts w:ascii="Times New Roman" w:eastAsia="宋体" w:hAnsi="Times New Roman"/>
          <w:sz w:val="21"/>
        </w:rPr>
        <w:t>因此，本课题拟聚焦于一个边界清晰且适合本科工程验证的问题：针对平滑趋势、相邻环境变化幅度较小的动态场景，设计低维、低开销的种群分布特征迁移策略，检验其能否在不显著损害IGD和HV表现的前提下，降低迁移阶段耗时并改善环境改变后的恢复速度。需要强调的是，这一定位是基于现有研究的归纳所提出的具体研究切入点，并不意味着整个领域尚无人研究轻量化迁移；最终研究贡献必须通过与相关算法的实验比较来判断。</w:t>
      </w:r>
    </w:p>
    <w:p>
      <w:pPr>
        <w:pStyle w:val="style1"/>
        <w:rPr/>
      </w:pPr>
      <w:r>
        <w:t>三、研究内容与目标</w:t>
      </w:r>
    </w:p>
    <w:p>
      <w:pPr>
        <w:pStyle w:val="style2"/>
        <w:rPr/>
      </w:pPr>
      <w:r>
        <w:t>3.1 总体研究目标</w:t>
      </w:r>
    </w:p>
    <w:p>
      <w:pPr>
        <w:pStyle w:val="style0"/>
        <w:spacing w:before="0" w:after="80" w:lineRule="auto" w:line="355"/>
        <w:ind w:firstLine="420"/>
        <w:rPr/>
      </w:pPr>
      <w:r>
        <w:rPr>
          <w:rFonts w:ascii="Times New Roman" w:eastAsia="宋体" w:hAnsi="Times New Roman"/>
          <w:sz w:val="21"/>
        </w:rPr>
        <w:t>设计并实现一种适用于渐变动态环境的轻量级种群分布迁移算法（暂命名为LDMT-NSGA-II，Lightweight Distribution Migration NSGA-II）。算法以NSGA-II为基础，在环境变化后从历史种群中提取少量统计特征，预测新环境下种群分布中心与尺度，再将历史个体的相对分布结构映射至预测分布，形成新环境的初始种群。研究目标是在统一的函数评估预算和实验环境下，以较低的迁移开销取得不低于主流响应式方法的总体收敛质量，并与全分布模型迁移基线进行计算成本比较。</w:t>
      </w:r>
    </w:p>
    <w:p>
      <w:pPr>
        <w:pStyle w:val="style2"/>
        <w:rPr/>
      </w:pPr>
      <w:r>
        <w:t>3.2 具体研究内容</w:t>
      </w:r>
    </w:p>
    <w:p>
      <w:pPr>
        <w:pStyle w:val="style3"/>
        <w:rPr/>
      </w:pPr>
      <w:r>
        <w:t>（1）动态多目标基准与基线算法研究</w:t>
      </w:r>
    </w:p>
    <w:p>
      <w:pPr>
        <w:pStyle w:val="style0"/>
        <w:spacing w:before="0" w:after="80" w:lineRule="auto" w:line="355"/>
        <w:ind w:firstLine="420"/>
        <w:rPr/>
      </w:pPr>
      <w:r>
        <w:rPr>
          <w:rFonts w:ascii="Times New Roman" w:eastAsia="宋体" w:hAnsi="Times New Roman"/>
          <w:sz w:val="21"/>
        </w:rPr>
        <w:t>整理动态多目标优化的基本定义、FDA和dMOP系列基准、IGD/HV指标及环境变化设置；在统一的Python实验框架下实现NSGA-II的动态版本，并复现DNSGA-II响应机制。进一步实现一阶自回归趋势预测基线和GMM全分布迁移对照版本，明确每个算法的环境切换时机、初始化方式、遗传算子与额外计算过程，保证基线之间的比较具有可解释性。</w:t>
      </w:r>
    </w:p>
    <w:p>
      <w:pPr>
        <w:pStyle w:val="style3"/>
        <w:rPr/>
      </w:pPr>
      <w:r>
        <w:t>（2）轻量级分布迁移策略设计</w:t>
      </w:r>
    </w:p>
    <w:p>
      <w:pPr>
        <w:pStyle w:val="style0"/>
        <w:spacing w:before="0" w:after="80" w:lineRule="auto" w:line="355"/>
        <w:ind w:firstLine="420"/>
        <w:rPr/>
      </w:pPr>
      <w:r>
        <w:rPr>
          <w:rFonts w:ascii="Times New Roman" w:eastAsia="宋体" w:hAnsi="Times New Roman"/>
          <w:sz w:val="21"/>
        </w:rPr>
        <w:t>在决策空间中对种群进行边界归一化，优先从非支配解集或经过选择的代表种群中提取均值向量和逐维标准差向量；在环境变化后，根据历史分布特征变化构造中心与尺度的简单预测；利用预测分布变换历史个体，同时保留一定比例的随机移民或变异个体以维持探索能力。迁移函数、特征计算范围、迁移比例以及边界处理方式将通过预实验确定，并在正式实验前固定。</w:t>
      </w:r>
    </w:p>
    <w:p>
      <w:pPr>
        <w:pStyle w:val="style3"/>
        <w:rPr/>
      </w:pPr>
      <w:r>
        <w:t>（3）实验验证与性能分析</w:t>
      </w:r>
    </w:p>
    <w:p>
      <w:pPr>
        <w:pStyle w:val="style0"/>
        <w:spacing w:before="0" w:after="80" w:lineRule="auto" w:line="355"/>
        <w:ind w:firstLine="420"/>
        <w:rPr/>
      </w:pPr>
      <w:r>
        <w:rPr>
          <w:rFonts w:ascii="Times New Roman" w:eastAsia="宋体" w:hAnsi="Times New Roman"/>
          <w:sz w:val="21"/>
        </w:rPr>
        <w:t>在FDA1、FDA3、FDA4及补充dMOP测试实例上开展对比实验，分别考察不同变化频率下的算法质量与速度；通过移除分布特征简化、移除迁移函数的消融实验分析模块贡献；通过改变种群规模、变化频率及变化幅度参数分析稳定性。实验记录IGD、HV、单代平均运行时间、函数评估次数以及环境变化后的IGD恢复过程，生成可追踪的CSV数据、汇总表和图形。</w:t>
      </w:r>
    </w:p>
    <w:p>
      <w:pPr>
        <w:pStyle w:val="style2"/>
        <w:rPr/>
      </w:pPr>
      <w:r>
        <w:t>3.3 拟解决的关键问题</w:t>
      </w:r>
    </w:p>
    <w:p>
      <w:pPr>
        <w:pStyle w:val="style48"/>
        <w:spacing w:after="40" w:lineRule="auto" w:line="324"/>
        <w:ind w:left="425" w:hanging="198"/>
        <w:rPr/>
      </w:pPr>
      <w:r>
        <w:rPr>
          <w:rFonts w:ascii="Times New Roman" w:eastAsia="宋体" w:hAnsi="Times New Roman"/>
          <w:sz w:val="20"/>
        </w:rPr>
        <w:t>如何在有限的统计量下概括历史种群的中心位置和分散程度，并尽量避免复杂概率模型的拟合成本。</w:t>
      </w:r>
    </w:p>
    <w:p>
      <w:pPr>
        <w:pStyle w:val="style48"/>
        <w:spacing w:after="40" w:lineRule="auto" w:line="324"/>
        <w:ind w:left="425" w:hanging="198"/>
        <w:rPr/>
      </w:pPr>
      <w:r>
        <w:rPr>
          <w:rFonts w:ascii="Times New Roman" w:eastAsia="宋体" w:hAnsi="Times New Roman"/>
          <w:sz w:val="20"/>
        </w:rPr>
        <w:t>如何将分布特征的变化映射到新环境中，使迁移既具有方向性，又不过度外推而导致边界截断或负迁移。</w:t>
      </w:r>
    </w:p>
    <w:p>
      <w:pPr>
        <w:pStyle w:val="style48"/>
        <w:spacing w:after="40" w:lineRule="auto" w:line="324"/>
        <w:ind w:left="425" w:hanging="198"/>
        <w:rPr/>
      </w:pPr>
      <w:r>
        <w:rPr>
          <w:rFonts w:ascii="Times New Roman" w:eastAsia="宋体" w:hAnsi="Times New Roman"/>
          <w:sz w:val="20"/>
        </w:rPr>
        <w:t>如何在统一实验条件下区分解集质量改善、环境响应更快和代码运行更省时三个不同维度的贡献。</w:t>
      </w:r>
    </w:p>
    <w:p>
      <w:pPr>
        <w:pStyle w:val="style2"/>
        <w:rPr/>
      </w:pPr>
      <w:r>
        <w:t>3.4 研究假设与验收目标</w:t>
      </w:r>
    </w:p>
    <w:p>
      <w:pPr>
        <w:pStyle w:val="style0"/>
        <w:spacing w:before="0" w:after="80" w:lineRule="auto" w:line="355"/>
        <w:ind w:firstLine="420"/>
        <w:rPr/>
      </w:pPr>
      <w:r>
        <w:rPr>
          <w:rFonts w:ascii="Times New Roman" w:eastAsia="宋体" w:hAnsi="Times New Roman"/>
          <w:sz w:val="21"/>
        </w:rPr>
        <w:t>研究假设H1：在渐变且相邻环境关联较强的测试设置下，分布特征迁移能够提高环境变化后初始种群与新环境PS的匹配程度，从而降低变化后的短期IGD或缩短恢复代数。研究假设H2：低维统计特征迁移相较于GMM全分布迁移可减少迁移模块的额外拟合耗时。研究假设H3：若迁移比例过高或环境变化幅度增大，算法可能出现多样性降低或预测偏差，因而需要通过保留探索个体及参数敏感性实验确定适用范围。</w:t>
      </w:r>
    </w:p>
    <w:p>
      <w:pPr>
        <w:pStyle w:val="style0"/>
        <w:spacing w:before="0" w:after="80" w:lineRule="auto" w:line="355"/>
        <w:ind w:firstLine="420"/>
        <w:rPr/>
      </w:pPr>
      <w:r>
        <w:rPr>
          <w:rFonts w:ascii="Times New Roman" w:eastAsia="宋体" w:hAnsi="Times New Roman"/>
          <w:sz w:val="21"/>
        </w:rPr>
        <w:t>拟定工程验收目标（属于实验前设定，不代表结果已经实现）：在多数主测试组合上，LDMT-NSGA-II的平均MIGD与平均MHV相对最佳基线的差异控制在约5%的工程容忍范围内；同时，相对GMM全分布迁移基线减少迁移相关耗时。若实际结果未达到这些阈值，应如实分析适用场景、失败案例和可能原因，不得只选择有利测试实例报告。</w:t>
      </w:r>
    </w:p>
    <w:p>
      <w:pPr>
        <w:pStyle w:val="style2"/>
        <w:rPr/>
      </w:pPr>
      <w:r>
        <w:t>3.5 预期创新点（本科适度）</w:t>
      </w:r>
    </w:p>
    <w:p>
      <w:pPr>
        <w:pStyle w:val="style48"/>
        <w:spacing w:after="40" w:lineRule="auto" w:line="324"/>
        <w:ind w:left="425" w:hanging="198"/>
        <w:rPr/>
      </w:pPr>
      <w:r>
        <w:rPr>
          <w:rFonts w:ascii="Times New Roman" w:eastAsia="宋体" w:hAnsi="Times New Roman"/>
          <w:sz w:val="20"/>
        </w:rPr>
        <w:t>低维种群分布特征表示：采用均值向量与逐维尺度统计量刻画种群分布，减少对完整协方差、复杂聚类或潜在空间模型的依赖。</w:t>
      </w:r>
    </w:p>
    <w:p>
      <w:pPr>
        <w:pStyle w:val="style48"/>
        <w:spacing w:after="40" w:lineRule="auto" w:line="324"/>
        <w:ind w:left="425" w:hanging="198"/>
        <w:rPr/>
      </w:pPr>
      <w:r>
        <w:rPr>
          <w:rFonts w:ascii="Times New Roman" w:eastAsia="宋体" w:hAnsi="Times New Roman"/>
          <w:sz w:val="20"/>
        </w:rPr>
        <w:t>面向渐变环境的轻量级迁移函数：利用相邻环境的分布中心变化估计迁移方向，并以环境变化幅度指标调节外推强度，将历史个体的相对分布结构映射到预测分布。</w:t>
      </w:r>
    </w:p>
    <w:p>
      <w:pPr>
        <w:pStyle w:val="style48"/>
        <w:spacing w:after="40" w:lineRule="auto" w:line="324"/>
        <w:ind w:left="425" w:hanging="198"/>
        <w:rPr/>
      </w:pPr>
      <w:r>
        <w:rPr>
          <w:rFonts w:ascii="Times New Roman" w:eastAsia="宋体" w:hAnsi="Times New Roman"/>
          <w:sz w:val="20"/>
        </w:rPr>
        <w:t>基于消融实验的模块贡献分析：分别移除特征简化与迁移函数，量化各模块对IGD、HV、响应速度和运行时间的影响，避免将组合方法的全部性能差异归因于单一机制。</w:t>
      </w:r>
    </w:p>
    <w:p>
      <w:pPr>
        <w:pStyle w:val="style0"/>
        <w:spacing w:before="0" w:after="80" w:lineRule="auto" w:line="355"/>
        <w:ind w:firstLine="420"/>
        <w:rPr/>
      </w:pPr>
      <w:r>
        <w:rPr>
          <w:rFonts w:ascii="Times New Roman" w:eastAsia="宋体" w:hAnsi="Times New Roman"/>
          <w:sz w:val="21"/>
        </w:rPr>
        <w:t>以上创新点属于算法设计与实验验证层面的改进，不主张提出全新的动态优化理论，也不将“使用均值和标准差”本身表述为国际首创。最终创新性应通过与现有迁移策略的差异说明和实证结果共同支撑。</w:t>
      </w:r>
    </w:p>
    <w:p>
      <w:pPr>
        <w:pStyle w:val="style1"/>
        <w:rPr/>
      </w:pPr>
      <w:r>
        <w:t>四、研究方法与技术路线</w:t>
      </w:r>
    </w:p>
    <w:p>
      <w:pPr>
        <w:pStyle w:val="style2"/>
        <w:rPr/>
      </w:pPr>
      <w:r>
        <w:t>4.1 研究方法</w:t>
      </w:r>
    </w:p>
    <w:p>
      <w:pPr>
        <w:pStyle w:val="style3"/>
        <w:rPr/>
      </w:pPr>
      <w:r>
        <w:t>4.1.1 文献研究法</w:t>
      </w:r>
    </w:p>
    <w:p>
      <w:pPr>
        <w:pStyle w:val="style0"/>
        <w:spacing w:before="0" w:after="80" w:lineRule="auto" w:line="355"/>
        <w:ind w:firstLine="420"/>
        <w:rPr/>
      </w:pPr>
      <w:r>
        <w:rPr>
          <w:rFonts w:ascii="Times New Roman" w:eastAsia="宋体" w:hAnsi="Times New Roman"/>
          <w:sz w:val="21"/>
        </w:rPr>
        <w:t>围绕NSGA-II、动态多目标优化、DNSGA-II、环境变化响应、种群预测、迁移学习和FDA/dMOP基准开展文献梳理。重点从算法的迁移对象、环境变化检测方式、预测模型复杂度、解集质量指标和实验设置等角度整理差异，并以动态多目标优化综述作为分类框架[7]。</w:t>
      </w:r>
    </w:p>
    <w:p>
      <w:pPr>
        <w:pStyle w:val="style3"/>
        <w:rPr/>
      </w:pPr>
      <w:r>
        <w:t>4.1.2 基线复现法</w:t>
      </w:r>
    </w:p>
    <w:p>
      <w:pPr>
        <w:pStyle w:val="style0"/>
        <w:spacing w:before="0" w:after="80" w:lineRule="auto" w:line="355"/>
        <w:ind w:firstLine="420"/>
        <w:rPr/>
      </w:pPr>
      <w:r>
        <w:rPr>
          <w:rFonts w:ascii="Times New Roman" w:eastAsia="宋体" w:hAnsi="Times New Roman"/>
          <w:sz w:val="21"/>
        </w:rPr>
        <w:t>在相同测试函数实现、决策变量边界、种群规模、遗传算子、变化时刻和随机种子集合下实现对照算法。对论文未充分披露或实现版本存在差异的细节进行记录，避免将自定义基线误称为原论文算法的完全复现。对于KTMM等复杂方法，采用公开方法的核心思想构造独立的GMM分布迁移对照版本，并明确标注为“受相关方法启发的实验实现”。</w:t>
      </w:r>
    </w:p>
    <w:p>
      <w:pPr>
        <w:pStyle w:val="style3"/>
        <w:rPr/>
      </w:pPr>
      <w:r>
        <w:t>4.1.3 对比实验法与消融实验法</w:t>
      </w:r>
    </w:p>
    <w:p>
      <w:pPr>
        <w:pStyle w:val="style0"/>
        <w:spacing w:before="0" w:after="80" w:lineRule="auto" w:line="355"/>
        <w:ind w:firstLine="420"/>
        <w:rPr/>
      </w:pPr>
      <w:r>
        <w:rPr>
          <w:rFonts w:ascii="Times New Roman" w:eastAsia="宋体" w:hAnsi="Times New Roman"/>
          <w:sz w:val="21"/>
        </w:rPr>
        <w:t>对比实验用于检验所提方法相对于响应式、预测式与全分布迁移方法的总体表现；消融实验通过逐一移除模块识别各设计部分的边际贡献。所有结果均报告均值、标准差和分布图，并使用适当的非参数统计检验检查差异是否具有统计意义。</w:t>
      </w:r>
    </w:p>
    <w:p>
      <w:pPr>
        <w:pStyle w:val="style2"/>
        <w:rPr/>
      </w:pPr>
      <w:r>
        <w:t>4.2 技术路线</w:t>
      </w:r>
    </w:p>
    <w:p>
      <w:pPr>
        <w:pStyle w:val="style0"/>
        <w:spacing w:before="0" w:after="80" w:lineRule="auto" w:line="355"/>
        <w:ind w:firstLine="420"/>
        <w:rPr/>
      </w:pPr>
      <w:r>
        <w:rPr>
          <w:rFonts w:ascii="Times New Roman" w:eastAsia="宋体" w:hAnsi="Times New Roman"/>
          <w:sz w:val="21"/>
        </w:rPr>
        <w:t>本课题技术路线按以下顺序推进：问题定义与文献梳理 → 静态NSGA-II框架复现 → FDA/dMOP动态环境与评估指标实现 → DNSGA-II、趋势预测和GMM迁移基线实现 → 种群分布特征简化与迁移函数设计 → 集成LDMT-NSGA-II → 对比实验、消融实验及参数敏感性实验 → 结果统计、图形绘制和误差分析 → 论文撰写与结论总结。</w:t>
      </w:r>
    </w:p>
    <w:tbl>
      <w:tblPr>
        <w:tblStyle w:val="style154"/>
        <w:tblW w:w="0" w:type="auto"/>
        <w:jc w:val="center"/>
        <w:tblLayout w:type="fixed"/>
        <w:tblLook w:val="04A0" w:firstRow="1" w:lastRow="0" w:firstColumn="1" w:lastColumn="0" w:noHBand="0" w:noVBand="1"/>
      </w:tblPr>
      <w:tblGrid>
        <w:gridCol w:w="1247"/>
        <w:gridCol w:w="1814"/>
        <w:gridCol w:w="3402"/>
        <w:gridCol w:w="2268"/>
      </w:tblGrid>
      <w:tr>
        <w:trPr>
          <w:cantSplit/>
          <w:tblHeader/>
          <w:jc w:val="center"/>
        </w:trPr>
        <w:tc>
          <w:tcPr>
            <w:tcW w:w="2323" w:type="dxa"/>
            <w:tcBorders/>
            <w:shd w:val="nil" w:color="auto" w:fill="1f4e79"/>
            <w:tcMar>
              <w:top w:w="90" w:type="dxa"/>
              <w:left w:w="100" w:type="dxa"/>
              <w:bottom w:w="90" w:type="dxa"/>
              <w:right w:w="100" w:type="dxa"/>
            </w:tcMar>
            <w:vAlign w:val="center"/>
          </w:tcPr>
          <w:p>
            <w:pPr>
              <w:pStyle w:val="style0"/>
              <w:spacing w:after="0" w:lineRule="auto" w:line="251"/>
              <w:jc w:val="center"/>
              <w:rPr/>
            </w:pPr>
            <w:r>
              <w:rPr>
                <w:rFonts w:ascii="Times New Roman" w:eastAsia="黑体" w:hAnsi="Times New Roman"/>
                <w:b/>
                <w:color w:val="ffffff"/>
                <w:sz w:val="17"/>
              </w:rPr>
              <w:t>阶段</w:t>
            </w:r>
          </w:p>
        </w:tc>
        <w:tc>
          <w:tcPr>
            <w:tcW w:w="2323" w:type="dxa"/>
            <w:tcBorders/>
            <w:shd w:val="nil" w:color="auto" w:fill="1f4e79"/>
            <w:tcMar>
              <w:top w:w="90" w:type="dxa"/>
              <w:left w:w="100" w:type="dxa"/>
              <w:bottom w:w="90" w:type="dxa"/>
              <w:right w:w="100" w:type="dxa"/>
            </w:tcMar>
            <w:vAlign w:val="center"/>
          </w:tcPr>
          <w:p>
            <w:pPr>
              <w:pStyle w:val="style0"/>
              <w:spacing w:after="0" w:lineRule="auto" w:line="251"/>
              <w:jc w:val="center"/>
              <w:rPr/>
            </w:pPr>
            <w:r>
              <w:rPr>
                <w:rFonts w:ascii="Times New Roman" w:eastAsia="黑体" w:hAnsi="Times New Roman"/>
                <w:b/>
                <w:color w:val="ffffff"/>
                <w:sz w:val="17"/>
              </w:rPr>
              <w:t>输入</w:t>
            </w:r>
          </w:p>
        </w:tc>
        <w:tc>
          <w:tcPr>
            <w:tcW w:w="2323" w:type="dxa"/>
            <w:tcBorders/>
            <w:shd w:val="nil" w:color="auto" w:fill="1f4e79"/>
            <w:tcMar>
              <w:top w:w="90" w:type="dxa"/>
              <w:left w:w="100" w:type="dxa"/>
              <w:bottom w:w="90" w:type="dxa"/>
              <w:right w:w="100" w:type="dxa"/>
            </w:tcMar>
            <w:vAlign w:val="center"/>
          </w:tcPr>
          <w:p>
            <w:pPr>
              <w:pStyle w:val="style0"/>
              <w:spacing w:after="0" w:lineRule="auto" w:line="251"/>
              <w:jc w:val="center"/>
              <w:rPr/>
            </w:pPr>
            <w:r>
              <w:rPr>
                <w:rFonts w:ascii="Times New Roman" w:eastAsia="黑体" w:hAnsi="Times New Roman"/>
                <w:b/>
                <w:color w:val="ffffff"/>
                <w:sz w:val="17"/>
              </w:rPr>
              <w:t>主要处理</w:t>
            </w:r>
          </w:p>
        </w:tc>
        <w:tc>
          <w:tcPr>
            <w:tcW w:w="2323" w:type="dxa"/>
            <w:tcBorders/>
            <w:shd w:val="nil" w:color="auto" w:fill="1f4e79"/>
            <w:tcMar>
              <w:top w:w="90" w:type="dxa"/>
              <w:left w:w="100" w:type="dxa"/>
              <w:bottom w:w="90" w:type="dxa"/>
              <w:right w:w="100" w:type="dxa"/>
            </w:tcMar>
            <w:vAlign w:val="center"/>
          </w:tcPr>
          <w:p>
            <w:pPr>
              <w:pStyle w:val="style0"/>
              <w:spacing w:after="0" w:lineRule="auto" w:line="251"/>
              <w:jc w:val="center"/>
              <w:rPr/>
            </w:pPr>
            <w:r>
              <w:rPr>
                <w:rFonts w:ascii="Times New Roman" w:eastAsia="黑体" w:hAnsi="Times New Roman"/>
                <w:b/>
                <w:color w:val="ffffff"/>
                <w:sz w:val="17"/>
              </w:rPr>
              <w:t>输出/检查点</w:t>
            </w:r>
          </w:p>
        </w:tc>
      </w:tr>
      <w:tr>
        <w:tblPrEx/>
        <w:trPr>
          <w:cantSplit/>
          <w:jc w:val="center"/>
        </w:trPr>
        <w:tc>
          <w:tcPr>
            <w:tcW w:w="1247" w:type="dxa"/>
            <w:tcBorders/>
            <w:tcMar>
              <w:top w:w="90" w:type="dxa"/>
              <w:left w:w="100" w:type="dxa"/>
              <w:bottom w:w="90" w:type="dxa"/>
              <w:right w:w="100" w:type="dxa"/>
            </w:tcMar>
            <w:vAlign w:val="center"/>
          </w:tcPr>
          <w:p>
            <w:pPr>
              <w:pStyle w:val="style0"/>
              <w:spacing w:after="0" w:lineRule="auto" w:line="259"/>
              <w:jc w:val="center"/>
              <w:rPr/>
            </w:pPr>
            <w:r>
              <w:rPr>
                <w:rFonts w:ascii="Times New Roman" w:eastAsia="宋体" w:hAnsi="Times New Roman"/>
                <w:sz w:val="17"/>
              </w:rPr>
              <w:t>问题定义</w:t>
            </w:r>
          </w:p>
        </w:tc>
        <w:tc>
          <w:tcPr>
            <w:tcW w:w="1814" w:type="dxa"/>
            <w:tcBorders/>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研究任务与文献</w:t>
            </w:r>
          </w:p>
        </w:tc>
        <w:tc>
          <w:tcPr>
            <w:tcW w:w="3402" w:type="dxa"/>
            <w:tcBorders/>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明确渐变环境、PS/PF变化、指标及边界</w:t>
            </w:r>
          </w:p>
        </w:tc>
        <w:tc>
          <w:tcPr>
            <w:tcW w:w="2268" w:type="dxa"/>
            <w:tcBorders/>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问题描述、文献矩阵</w:t>
            </w:r>
          </w:p>
        </w:tc>
      </w:tr>
      <w:tr>
        <w:tblPrEx/>
        <w:trPr>
          <w:cantSplit/>
          <w:jc w:val="center"/>
        </w:trPr>
        <w:tc>
          <w:tcPr>
            <w:tcW w:w="1247" w:type="dxa"/>
            <w:tcBorders/>
            <w:shd w:val="nil" w:color="auto" w:fill="f3f6fa"/>
            <w:tcMar>
              <w:top w:w="90" w:type="dxa"/>
              <w:left w:w="100" w:type="dxa"/>
              <w:bottom w:w="90" w:type="dxa"/>
              <w:right w:w="100" w:type="dxa"/>
            </w:tcMar>
            <w:vAlign w:val="center"/>
          </w:tcPr>
          <w:p>
            <w:pPr>
              <w:pStyle w:val="style0"/>
              <w:spacing w:after="0" w:lineRule="auto" w:line="259"/>
              <w:jc w:val="center"/>
              <w:rPr/>
            </w:pPr>
            <w:r>
              <w:rPr>
                <w:rFonts w:ascii="Times New Roman" w:eastAsia="宋体" w:hAnsi="Times New Roman"/>
                <w:sz w:val="17"/>
              </w:rPr>
              <w:t>基线复现</w:t>
            </w:r>
          </w:p>
        </w:tc>
        <w:tc>
          <w:tcPr>
            <w:tcW w:w="1814" w:type="dxa"/>
            <w:tcBorders/>
            <w:shd w:val="nil" w:color="auto" w:fill="f3f6fa"/>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NSGA-II及动态基准</w:t>
            </w:r>
          </w:p>
        </w:tc>
        <w:tc>
          <w:tcPr>
            <w:tcW w:w="3402" w:type="dxa"/>
            <w:tcBorders/>
            <w:shd w:val="nil" w:color="auto" w:fill="f3f6fa"/>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固定选择、交叉、变异、变化时刻与随机种子</w:t>
            </w:r>
          </w:p>
        </w:tc>
        <w:tc>
          <w:tcPr>
            <w:tcW w:w="2268" w:type="dxa"/>
            <w:tcBorders/>
            <w:shd w:val="nil" w:color="auto" w:fill="f3f6fa"/>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基线代码、单元测试</w:t>
            </w:r>
          </w:p>
        </w:tc>
      </w:tr>
      <w:tr>
        <w:tblPrEx/>
        <w:trPr>
          <w:cantSplit/>
          <w:jc w:val="center"/>
        </w:trPr>
        <w:tc>
          <w:tcPr>
            <w:tcW w:w="1247" w:type="dxa"/>
            <w:tcBorders/>
            <w:tcMar>
              <w:top w:w="90" w:type="dxa"/>
              <w:left w:w="100" w:type="dxa"/>
              <w:bottom w:w="90" w:type="dxa"/>
              <w:right w:w="100" w:type="dxa"/>
            </w:tcMar>
            <w:vAlign w:val="center"/>
          </w:tcPr>
          <w:p>
            <w:pPr>
              <w:pStyle w:val="style0"/>
              <w:spacing w:after="0" w:lineRule="auto" w:line="259"/>
              <w:jc w:val="center"/>
              <w:rPr/>
            </w:pPr>
            <w:r>
              <w:rPr>
                <w:rFonts w:ascii="Times New Roman" w:eastAsia="宋体" w:hAnsi="Times New Roman"/>
                <w:sz w:val="17"/>
              </w:rPr>
              <w:t>策略设计</w:t>
            </w:r>
          </w:p>
        </w:tc>
        <w:tc>
          <w:tcPr>
            <w:tcW w:w="1814" w:type="dxa"/>
            <w:tcBorders/>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历史种群及环境信息</w:t>
            </w:r>
          </w:p>
        </w:tc>
        <w:tc>
          <w:tcPr>
            <w:tcW w:w="3402" w:type="dxa"/>
            <w:tcBorders/>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提取均值/尺度特征，估计偏移并迁移</w:t>
            </w:r>
          </w:p>
        </w:tc>
        <w:tc>
          <w:tcPr>
            <w:tcW w:w="2268" w:type="dxa"/>
            <w:tcBorders/>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LDMT核心模块</w:t>
            </w:r>
          </w:p>
        </w:tc>
      </w:tr>
      <w:tr>
        <w:tblPrEx/>
        <w:trPr>
          <w:cantSplit/>
          <w:jc w:val="center"/>
        </w:trPr>
        <w:tc>
          <w:tcPr>
            <w:tcW w:w="1247" w:type="dxa"/>
            <w:tcBorders/>
            <w:shd w:val="nil" w:color="auto" w:fill="f3f6fa"/>
            <w:tcMar>
              <w:top w:w="90" w:type="dxa"/>
              <w:left w:w="100" w:type="dxa"/>
              <w:bottom w:w="90" w:type="dxa"/>
              <w:right w:w="100" w:type="dxa"/>
            </w:tcMar>
            <w:vAlign w:val="center"/>
          </w:tcPr>
          <w:p>
            <w:pPr>
              <w:pStyle w:val="style0"/>
              <w:spacing w:after="0" w:lineRule="auto" w:line="259"/>
              <w:jc w:val="center"/>
              <w:rPr/>
            </w:pPr>
            <w:r>
              <w:rPr>
                <w:rFonts w:ascii="Times New Roman" w:eastAsia="宋体" w:hAnsi="Times New Roman"/>
                <w:sz w:val="17"/>
              </w:rPr>
              <w:t>算法集成</w:t>
            </w:r>
          </w:p>
        </w:tc>
        <w:tc>
          <w:tcPr>
            <w:tcW w:w="1814" w:type="dxa"/>
            <w:tcBorders/>
            <w:shd w:val="nil" w:color="auto" w:fill="f3f6fa"/>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基线框架与迁移模块</w:t>
            </w:r>
          </w:p>
        </w:tc>
        <w:tc>
          <w:tcPr>
            <w:tcW w:w="3402" w:type="dxa"/>
            <w:tcBorders/>
            <w:shd w:val="nil" w:color="auto" w:fill="f3f6fa"/>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在环境变化后构造混合初始种群</w:t>
            </w:r>
          </w:p>
        </w:tc>
        <w:tc>
          <w:tcPr>
            <w:tcW w:w="2268" w:type="dxa"/>
            <w:tcBorders/>
            <w:shd w:val="nil" w:color="auto" w:fill="f3f6fa"/>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可重复运行的算法</w:t>
            </w:r>
          </w:p>
        </w:tc>
      </w:tr>
      <w:tr>
        <w:tblPrEx/>
        <w:trPr>
          <w:cantSplit/>
          <w:jc w:val="center"/>
        </w:trPr>
        <w:tc>
          <w:tcPr>
            <w:tcW w:w="1247" w:type="dxa"/>
            <w:tcBorders/>
            <w:tcMar>
              <w:top w:w="90" w:type="dxa"/>
              <w:left w:w="100" w:type="dxa"/>
              <w:bottom w:w="90" w:type="dxa"/>
              <w:right w:w="100" w:type="dxa"/>
            </w:tcMar>
            <w:vAlign w:val="center"/>
          </w:tcPr>
          <w:p>
            <w:pPr>
              <w:pStyle w:val="style0"/>
              <w:spacing w:after="0" w:lineRule="auto" w:line="259"/>
              <w:jc w:val="center"/>
              <w:rPr/>
            </w:pPr>
            <w:r>
              <w:rPr>
                <w:rFonts w:ascii="Times New Roman" w:eastAsia="宋体" w:hAnsi="Times New Roman"/>
                <w:sz w:val="17"/>
              </w:rPr>
              <w:t>实验验证</w:t>
            </w:r>
          </w:p>
        </w:tc>
        <w:tc>
          <w:tcPr>
            <w:tcW w:w="1814" w:type="dxa"/>
            <w:tcBorders/>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算法与测试配置</w:t>
            </w:r>
          </w:p>
        </w:tc>
        <w:tc>
          <w:tcPr>
            <w:tcW w:w="3402" w:type="dxa"/>
            <w:tcBorders/>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比较、消融、参数敏感性和统计检验</w:t>
            </w:r>
          </w:p>
        </w:tc>
        <w:tc>
          <w:tcPr>
            <w:tcW w:w="2268" w:type="dxa"/>
            <w:tcBorders/>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CSV、表格、图形</w:t>
            </w:r>
          </w:p>
        </w:tc>
      </w:tr>
      <w:tr>
        <w:tblPrEx/>
        <w:trPr>
          <w:cantSplit/>
          <w:jc w:val="center"/>
        </w:trPr>
        <w:tc>
          <w:tcPr>
            <w:tcW w:w="1247" w:type="dxa"/>
            <w:tcBorders/>
            <w:shd w:val="nil" w:color="auto" w:fill="f3f6fa"/>
            <w:tcMar>
              <w:top w:w="90" w:type="dxa"/>
              <w:left w:w="100" w:type="dxa"/>
              <w:bottom w:w="90" w:type="dxa"/>
              <w:right w:w="100" w:type="dxa"/>
            </w:tcMar>
            <w:vAlign w:val="center"/>
          </w:tcPr>
          <w:p>
            <w:pPr>
              <w:pStyle w:val="style0"/>
              <w:spacing w:after="0" w:lineRule="auto" w:line="259"/>
              <w:jc w:val="center"/>
              <w:rPr/>
            </w:pPr>
            <w:r>
              <w:rPr>
                <w:rFonts w:ascii="Times New Roman" w:eastAsia="宋体" w:hAnsi="Times New Roman"/>
                <w:sz w:val="17"/>
              </w:rPr>
              <w:t>总结归档</w:t>
            </w:r>
          </w:p>
        </w:tc>
        <w:tc>
          <w:tcPr>
            <w:tcW w:w="1814" w:type="dxa"/>
            <w:tcBorders/>
            <w:shd w:val="nil" w:color="auto" w:fill="f3f6fa"/>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实验结果与误差记录</w:t>
            </w:r>
          </w:p>
        </w:tc>
        <w:tc>
          <w:tcPr>
            <w:tcW w:w="3402" w:type="dxa"/>
            <w:tcBorders/>
            <w:shd w:val="nil" w:color="auto" w:fill="f3f6fa"/>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解释有效条件、失效情形与局限</w:t>
            </w:r>
          </w:p>
        </w:tc>
        <w:tc>
          <w:tcPr>
            <w:tcW w:w="2268" w:type="dxa"/>
            <w:tcBorders/>
            <w:shd w:val="nil" w:color="auto" w:fill="f3f6fa"/>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论文、代码说明、答辩材料</w:t>
            </w:r>
          </w:p>
        </w:tc>
      </w:tr>
    </w:tbl>
    <w:p>
      <w:pPr>
        <w:pStyle w:val="style0"/>
        <w:spacing w:after="20"/>
        <w:rPr/>
      </w:pPr>
    </w:p>
    <w:p>
      <w:pPr>
        <w:pStyle w:val="style2"/>
        <w:rPr/>
      </w:pPr>
      <w:r>
        <w:t>4.3 关键技术</w:t>
      </w:r>
    </w:p>
    <w:p>
      <w:pPr>
        <w:pStyle w:val="style3"/>
        <w:rPr/>
      </w:pPr>
      <w:r>
        <w:t>4.3.1 NSGA-II与动态环境更新</w:t>
      </w:r>
    </w:p>
    <w:p>
      <w:pPr>
        <w:pStyle w:val="style0"/>
        <w:spacing w:before="0" w:after="80" w:lineRule="auto" w:line="355"/>
        <w:ind w:firstLine="420"/>
        <w:rPr/>
      </w:pPr>
      <w:r>
        <w:rPr>
          <w:rFonts w:ascii="Times New Roman" w:eastAsia="宋体" w:hAnsi="Times New Roman"/>
          <w:sz w:val="21"/>
        </w:rPr>
        <w:t>采用NSGA-II作为基础搜索算子，包括快速非支配排序、拥挤距离、二元锦标赛选择、模拟二进制交叉和多项式变异。环境参数变化时，重新计算当前种群的目标值，并触发各动态算法自己的响应机制。各算法必须遵循相同的环境更新时刻和评价预算，以降低实验偏差。</w:t>
      </w:r>
    </w:p>
    <w:p>
      <w:pPr>
        <w:pStyle w:val="style3"/>
        <w:rPr/>
      </w:pPr>
      <w:r>
        <w:t>4.3.2 种群分布特征提取</w:t>
      </w:r>
    </w:p>
    <w:p>
      <w:pPr>
        <w:pStyle w:val="style0"/>
        <w:spacing w:before="0" w:after="80" w:lineRule="auto" w:line="355"/>
        <w:ind w:firstLine="420"/>
        <w:rPr/>
      </w:pPr>
      <w:r>
        <w:rPr>
          <w:rFonts w:ascii="Times New Roman" w:eastAsia="宋体" w:hAnsi="Times New Roman"/>
          <w:sz w:val="21"/>
        </w:rPr>
        <w:t>将决策变量按上下界线性归一化至[0,1]，在代表种群X中计算均值向量μ与逐维标准差σ。对每代计算这些统计量的成本为O(ND)，其中N为种群规模、D为决策变量维数。与完整协方差矩阵或高斯混合模型相比，该特征表示更简单，存储量也更低；但它可能无法刻画多峰、强相关或不规则形状的解集，因此保留随机个体和消融分析是必要的。</w:t>
      </w:r>
    </w:p>
    <w:p>
      <w:pPr>
        <w:pStyle w:val="style3"/>
        <w:rPr/>
      </w:pPr>
      <w:r>
        <w:t>4.3.3 环境变化检测与迁移控制</w:t>
      </w:r>
    </w:p>
    <w:p>
      <w:pPr>
        <w:pStyle w:val="style0"/>
        <w:spacing w:before="0" w:after="80" w:lineRule="auto" w:line="355"/>
        <w:ind w:firstLine="420"/>
        <w:rPr/>
      </w:pPr>
      <w:r>
        <w:rPr>
          <w:rFonts w:ascii="Times New Roman" w:eastAsia="宋体" w:hAnsi="Times New Roman"/>
          <w:sz w:val="21"/>
        </w:rPr>
        <w:t>动态基准可提供已知的变化时间作为参考，但实验实现仍建议用固定探针集检查目标函数是否变化，模拟黑箱环境下的检测机制。探针点固定在归一化决策空间内，检测时比较其变化前后的目标向量。探针只用于判断环境是否改变及估计变化强度，不参与选择或充当算法解，且所有动态基线采用同一检测流程。为避免目标尺度差异，探针目标差分需按各目标的固定尺度归一化。</w:t>
      </w:r>
    </w:p>
    <w:p>
      <w:pPr>
        <w:pStyle w:val="style3"/>
        <w:rPr/>
      </w:pPr>
      <w:r>
        <w:t>4.3.4 FDA测试集与性能指标</w:t>
      </w:r>
    </w:p>
    <w:p>
      <w:pPr>
        <w:pStyle w:val="style0"/>
        <w:spacing w:before="0" w:after="80" w:lineRule="auto" w:line="355"/>
        <w:ind w:firstLine="420"/>
        <w:rPr/>
      </w:pPr>
      <w:r>
        <w:rPr>
          <w:rFonts w:ascii="Times New Roman" w:eastAsia="宋体" w:hAnsi="Times New Roman"/>
          <w:sz w:val="21"/>
        </w:rPr>
        <w:t>FDA系列通过时间参数改变PS、PF或两者之间的关系，是动态多目标优化的经典测试集[2]。本研究用FDA1检验PS随时间变化而PF相对稳定时的跟踪能力，用FDA3检验PS与PF同时变化时的适应能力，用FDA4补充三目标情形。具体的函数公式、变量边界和时间参数必须在代码中固定为同一公开版本，并对真实PF采样程序进行检查。IGD用于评价接近真实PF的程度，HV用于评价收敛与覆盖的综合情况，单代平均时间用于评估计算效率。</w:t>
      </w:r>
    </w:p>
    <w:p>
      <w:pPr>
        <w:pStyle w:val="style1"/>
        <w:rPr/>
      </w:pPr>
      <w:r>
        <w:t>五、实验方案设计</w:t>
      </w:r>
    </w:p>
    <w:p>
      <w:pPr>
        <w:pStyle w:val="style0"/>
        <w:spacing w:before="0" w:after="80" w:lineRule="auto" w:line="355"/>
        <w:ind w:firstLine="420"/>
        <w:rPr/>
      </w:pPr>
      <w:r>
        <w:rPr>
          <w:rFonts w:ascii="Times New Roman" w:eastAsia="宋体" w:hAnsi="Times New Roman"/>
          <w:sz w:val="21"/>
        </w:rPr>
        <w:t>本章为后续代码实现与实验执行的操作方案。所有参数均为拟定的初始设置，正式实验前可通过小规模预实验检查实现正确性与运行成本；一旦进入正式实验，应冻结参数与代码版本，除非修复了明确的实现错误，并对修复前后结果作出记录。</w:t>
      </w:r>
    </w:p>
    <w:p>
      <w:pPr>
        <w:pStyle w:val="style2"/>
        <w:rPr/>
      </w:pPr>
      <w:r>
        <w:t>5.1 测试问题集</w:t>
      </w:r>
    </w:p>
    <w:p>
      <w:pPr>
        <w:pStyle w:val="style3"/>
        <w:rPr/>
      </w:pPr>
      <w:r>
        <w:t>5.1.1 主测试集：FDA动态基准</w:t>
      </w:r>
    </w:p>
    <w:tbl>
      <w:tblPr>
        <w:tblStyle w:val="style154"/>
        <w:tblW w:w="0" w:type="auto"/>
        <w:jc w:val="center"/>
        <w:tblLayout w:type="fixed"/>
        <w:tblLook w:val="04A0" w:firstRow="1" w:lastRow="0" w:firstColumn="1" w:lastColumn="0" w:noHBand="0" w:noVBand="1"/>
      </w:tblPr>
      <w:tblGrid>
        <w:gridCol w:w="907"/>
        <w:gridCol w:w="1757"/>
        <w:gridCol w:w="3969"/>
        <w:gridCol w:w="2154"/>
      </w:tblGrid>
      <w:tr>
        <w:trPr>
          <w:cantSplit/>
          <w:tblHeader/>
          <w:jc w:val="center"/>
        </w:trPr>
        <w:tc>
          <w:tcPr>
            <w:tcW w:w="2323" w:type="dxa"/>
            <w:tcBorders/>
            <w:shd w:val="nil" w:color="auto" w:fill="1f4e79"/>
            <w:tcMar>
              <w:top w:w="90" w:type="dxa"/>
              <w:left w:w="100" w:type="dxa"/>
              <w:bottom w:w="90" w:type="dxa"/>
              <w:right w:w="100" w:type="dxa"/>
            </w:tcMar>
            <w:vAlign w:val="center"/>
          </w:tcPr>
          <w:p>
            <w:pPr>
              <w:pStyle w:val="style0"/>
              <w:spacing w:after="0" w:lineRule="auto" w:line="251"/>
              <w:jc w:val="center"/>
              <w:rPr/>
            </w:pPr>
            <w:r>
              <w:rPr>
                <w:rFonts w:ascii="Times New Roman" w:eastAsia="黑体" w:hAnsi="Times New Roman"/>
                <w:b/>
                <w:color w:val="ffffff"/>
                <w:sz w:val="17"/>
              </w:rPr>
              <w:t>问题</w:t>
            </w:r>
          </w:p>
        </w:tc>
        <w:tc>
          <w:tcPr>
            <w:tcW w:w="2323" w:type="dxa"/>
            <w:tcBorders/>
            <w:shd w:val="nil" w:color="auto" w:fill="1f4e79"/>
            <w:tcMar>
              <w:top w:w="90" w:type="dxa"/>
              <w:left w:w="100" w:type="dxa"/>
              <w:bottom w:w="90" w:type="dxa"/>
              <w:right w:w="100" w:type="dxa"/>
            </w:tcMar>
            <w:vAlign w:val="center"/>
          </w:tcPr>
          <w:p>
            <w:pPr>
              <w:pStyle w:val="style0"/>
              <w:spacing w:after="0" w:lineRule="auto" w:line="251"/>
              <w:jc w:val="center"/>
              <w:rPr/>
            </w:pPr>
            <w:r>
              <w:rPr>
                <w:rFonts w:ascii="Times New Roman" w:eastAsia="黑体" w:hAnsi="Times New Roman"/>
                <w:b/>
                <w:color w:val="ffffff"/>
                <w:sz w:val="17"/>
              </w:rPr>
              <w:t>测试目的</w:t>
            </w:r>
          </w:p>
        </w:tc>
        <w:tc>
          <w:tcPr>
            <w:tcW w:w="2323" w:type="dxa"/>
            <w:tcBorders/>
            <w:shd w:val="nil" w:color="auto" w:fill="1f4e79"/>
            <w:tcMar>
              <w:top w:w="90" w:type="dxa"/>
              <w:left w:w="100" w:type="dxa"/>
              <w:bottom w:w="90" w:type="dxa"/>
              <w:right w:w="100" w:type="dxa"/>
            </w:tcMar>
            <w:vAlign w:val="center"/>
          </w:tcPr>
          <w:p>
            <w:pPr>
              <w:pStyle w:val="style0"/>
              <w:spacing w:after="0" w:lineRule="auto" w:line="251"/>
              <w:jc w:val="center"/>
              <w:rPr/>
            </w:pPr>
            <w:r>
              <w:rPr>
                <w:rFonts w:ascii="Times New Roman" w:eastAsia="黑体" w:hAnsi="Times New Roman"/>
                <w:b/>
                <w:color w:val="ffffff"/>
                <w:sz w:val="17"/>
              </w:rPr>
              <w:t>环境特征/用途</w:t>
            </w:r>
          </w:p>
        </w:tc>
        <w:tc>
          <w:tcPr>
            <w:tcW w:w="2323" w:type="dxa"/>
            <w:tcBorders/>
            <w:shd w:val="nil" w:color="auto" w:fill="1f4e79"/>
            <w:tcMar>
              <w:top w:w="90" w:type="dxa"/>
              <w:left w:w="100" w:type="dxa"/>
              <w:bottom w:w="90" w:type="dxa"/>
              <w:right w:w="100" w:type="dxa"/>
            </w:tcMar>
            <w:vAlign w:val="center"/>
          </w:tcPr>
          <w:p>
            <w:pPr>
              <w:pStyle w:val="style0"/>
              <w:spacing w:after="0" w:lineRule="auto" w:line="251"/>
              <w:jc w:val="center"/>
              <w:rPr/>
            </w:pPr>
            <w:r>
              <w:rPr>
                <w:rFonts w:ascii="Times New Roman" w:eastAsia="黑体" w:hAnsi="Times New Roman"/>
                <w:b/>
                <w:color w:val="ffffff"/>
                <w:sz w:val="17"/>
              </w:rPr>
              <w:t>拟定变量与目标数</w:t>
            </w:r>
          </w:p>
        </w:tc>
      </w:tr>
      <w:tr>
        <w:tblPrEx/>
        <w:trPr>
          <w:cantSplit/>
          <w:jc w:val="center"/>
        </w:trPr>
        <w:tc>
          <w:tcPr>
            <w:tcW w:w="907" w:type="dxa"/>
            <w:tcBorders/>
            <w:tcMar>
              <w:top w:w="90" w:type="dxa"/>
              <w:left w:w="100" w:type="dxa"/>
              <w:bottom w:w="90" w:type="dxa"/>
              <w:right w:w="100" w:type="dxa"/>
            </w:tcMar>
            <w:vAlign w:val="center"/>
          </w:tcPr>
          <w:p>
            <w:pPr>
              <w:pStyle w:val="style0"/>
              <w:spacing w:after="0" w:lineRule="auto" w:line="259"/>
              <w:jc w:val="center"/>
              <w:rPr/>
            </w:pPr>
            <w:r>
              <w:rPr>
                <w:rFonts w:ascii="Times New Roman" w:eastAsia="宋体" w:hAnsi="Times New Roman"/>
                <w:sz w:val="17"/>
              </w:rPr>
              <w:t>FDA1</w:t>
            </w:r>
          </w:p>
        </w:tc>
        <w:tc>
          <w:tcPr>
            <w:tcW w:w="1757" w:type="dxa"/>
            <w:tcBorders/>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检验PS漂移跟踪能力</w:t>
            </w:r>
          </w:p>
        </w:tc>
        <w:tc>
          <w:tcPr>
            <w:tcW w:w="3969" w:type="dxa"/>
            <w:tcBorders/>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经典Type-I场景常用于考察决策空间最优集随时间变化而PF相对稳定的情况</w:t>
            </w:r>
          </w:p>
        </w:tc>
        <w:tc>
          <w:tcPr>
            <w:tcW w:w="2154" w:type="dxa"/>
            <w:tcBorders/>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10个决策变量，2个目标</w:t>
            </w:r>
          </w:p>
        </w:tc>
      </w:tr>
      <w:tr>
        <w:tblPrEx/>
        <w:trPr>
          <w:cantSplit/>
          <w:jc w:val="center"/>
        </w:trPr>
        <w:tc>
          <w:tcPr>
            <w:tcW w:w="907" w:type="dxa"/>
            <w:tcBorders/>
            <w:shd w:val="nil" w:color="auto" w:fill="f3f6fa"/>
            <w:tcMar>
              <w:top w:w="90" w:type="dxa"/>
              <w:left w:w="100" w:type="dxa"/>
              <w:bottom w:w="90" w:type="dxa"/>
              <w:right w:w="100" w:type="dxa"/>
            </w:tcMar>
            <w:vAlign w:val="center"/>
          </w:tcPr>
          <w:p>
            <w:pPr>
              <w:pStyle w:val="style0"/>
              <w:spacing w:after="0" w:lineRule="auto" w:line="259"/>
              <w:jc w:val="center"/>
              <w:rPr/>
            </w:pPr>
            <w:r>
              <w:rPr>
                <w:rFonts w:ascii="Times New Roman" w:eastAsia="宋体" w:hAnsi="Times New Roman"/>
                <w:sz w:val="17"/>
              </w:rPr>
              <w:t>FDA3</w:t>
            </w:r>
          </w:p>
        </w:tc>
        <w:tc>
          <w:tcPr>
            <w:tcW w:w="1757" w:type="dxa"/>
            <w:tcBorders/>
            <w:shd w:val="nil" w:color="auto" w:fill="f3f6fa"/>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检验PS与PF共同变化时的适应性</w:t>
            </w:r>
          </w:p>
        </w:tc>
        <w:tc>
          <w:tcPr>
            <w:tcW w:w="3969" w:type="dxa"/>
            <w:tcBorders/>
            <w:shd w:val="nil" w:color="auto" w:fill="f3f6fa"/>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相邻环境同时发生解集与前沿变化，用于观察迁移方向和尺度估计是否可靠</w:t>
            </w:r>
          </w:p>
        </w:tc>
        <w:tc>
          <w:tcPr>
            <w:tcW w:w="2154" w:type="dxa"/>
            <w:tcBorders/>
            <w:shd w:val="nil" w:color="auto" w:fill="f3f6fa"/>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30个决策变量，2个目标</w:t>
            </w:r>
          </w:p>
        </w:tc>
      </w:tr>
      <w:tr>
        <w:tblPrEx/>
        <w:trPr>
          <w:cantSplit/>
          <w:jc w:val="center"/>
        </w:trPr>
        <w:tc>
          <w:tcPr>
            <w:tcW w:w="907" w:type="dxa"/>
            <w:tcBorders/>
            <w:tcMar>
              <w:top w:w="90" w:type="dxa"/>
              <w:left w:w="100" w:type="dxa"/>
              <w:bottom w:w="90" w:type="dxa"/>
              <w:right w:w="100" w:type="dxa"/>
            </w:tcMar>
            <w:vAlign w:val="center"/>
          </w:tcPr>
          <w:p>
            <w:pPr>
              <w:pStyle w:val="style0"/>
              <w:spacing w:after="0" w:lineRule="auto" w:line="259"/>
              <w:jc w:val="center"/>
              <w:rPr/>
            </w:pPr>
            <w:r>
              <w:rPr>
                <w:rFonts w:ascii="Times New Roman" w:eastAsia="宋体" w:hAnsi="Times New Roman"/>
                <w:sz w:val="17"/>
              </w:rPr>
              <w:t>FDA4</w:t>
            </w:r>
          </w:p>
        </w:tc>
        <w:tc>
          <w:tcPr>
            <w:tcW w:w="1757" w:type="dxa"/>
            <w:tcBorders/>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检验三目标下的可扩展性</w:t>
            </w:r>
          </w:p>
        </w:tc>
        <w:tc>
          <w:tcPr>
            <w:tcW w:w="3969" w:type="dxa"/>
            <w:tcBorders/>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三目标问题，用于检查分布迁移是否能在更高目标维度下维持覆盖；具体动态类型按固定实现版本记录</w:t>
            </w:r>
          </w:p>
        </w:tc>
        <w:tc>
          <w:tcPr>
            <w:tcW w:w="2154" w:type="dxa"/>
            <w:tcBorders/>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12个决策变量，3个目标</w:t>
            </w:r>
          </w:p>
        </w:tc>
      </w:tr>
    </w:tbl>
    <w:p>
      <w:pPr>
        <w:pStyle w:val="style0"/>
        <w:spacing w:after="20"/>
        <w:rPr/>
      </w:pPr>
    </w:p>
    <w:p>
      <w:pPr>
        <w:pStyle w:val="style0"/>
        <w:spacing w:before="0" w:after="80" w:lineRule="auto" w:line="355"/>
        <w:ind w:firstLine="420"/>
        <w:rPr/>
      </w:pPr>
      <w:r>
        <w:rPr>
          <w:rFonts w:ascii="Times New Roman" w:eastAsia="宋体" w:hAnsi="Times New Roman"/>
          <w:sz w:val="21"/>
        </w:rPr>
        <w:t>说明：上述变量数和目标数采用常见FDA实现设定，但不同代码库及论文中的函数版本可能存在差异。正式实验应选定一个版本（优先使用可核验的标准实现或依据原始公式实现），保存源代码、版本号和函数参数，并以该实现的实际定义为准。FDA1、FDA3与FDA4不能仅凭编号推断环境变化强弱；变化频率与变化幅度需要通过时间参数独立控制。</w:t>
      </w:r>
    </w:p>
    <w:p>
      <w:pPr>
        <w:pStyle w:val="style3"/>
        <w:rPr/>
      </w:pPr>
      <w:r>
        <w:t>5.1.2 补充测试集：dMOP系列</w:t>
      </w:r>
    </w:p>
    <w:p>
      <w:pPr>
        <w:pStyle w:val="style0"/>
        <w:spacing w:before="0" w:after="80" w:lineRule="auto" w:line="355"/>
        <w:ind w:firstLine="420"/>
        <w:rPr/>
      </w:pPr>
      <w:r>
        <w:rPr>
          <w:rFonts w:ascii="Times New Roman" w:eastAsia="宋体" w:hAnsi="Times New Roman"/>
          <w:sz w:val="21"/>
        </w:rPr>
        <w:t>在主实验流程稳定后，增加dMOP1和dMOP2作为外部验证。补充测试用于判断所提策略是否只对FDA的特定结构有效。补充实验使用已审计的公开函数实现，不在看到实验结果后任意删改测试实例。若本科进度受限，可优先保证FDA三类主测试全部完成，再运行dMOP补充测试。</w:t>
      </w:r>
    </w:p>
    <w:p>
      <w:pPr>
        <w:pStyle w:val="style3"/>
        <w:rPr/>
      </w:pPr>
      <w:r>
        <w:t>5.1.3 渐变设置与变化参数</w:t>
      </w:r>
    </w:p>
    <w:p>
      <w:pPr>
        <w:pStyle w:val="style0"/>
        <w:spacing w:before="0" w:after="80" w:lineRule="auto" w:line="355"/>
        <w:ind w:firstLine="420"/>
        <w:rPr/>
      </w:pPr>
      <w:r>
        <w:rPr>
          <w:rFonts w:ascii="Times New Roman" w:eastAsia="宋体" w:hAnsi="Times New Roman"/>
          <w:sz w:val="21"/>
        </w:rPr>
        <w:t>采用常见动态基准时间定义：t(g) = (1/n_t) × floor(g/τ_t)，其中g为迭代代数，τ_t为环境更新频率，n_t控制连续时间轨迹在相邻环境采样点之间的变化幅度。τ_t越小，环境更新越频繁；n_t越大，相邻采样点的时间参数步长越小、变化越平缓。主实验固定n_t=20，并分别设置τ_t=10、25、50。该设置属于平滑变化轨迹上的离散环境采样，不应在论文中描述成严格连续时间的在线环境。</w:t>
      </w:r>
    </w:p>
    <w:tbl>
      <w:tblPr>
        <w:tblStyle w:val="style154"/>
        <w:tblW w:w="0" w:type="auto"/>
        <w:jc w:val="center"/>
        <w:tblLayout w:type="fixed"/>
        <w:tblLook w:val="04A0" w:firstRow="1" w:lastRow="0" w:firstColumn="1" w:lastColumn="0" w:noHBand="0" w:noVBand="1"/>
      </w:tblPr>
      <w:tblGrid>
        <w:gridCol w:w="1701"/>
        <w:gridCol w:w="1134"/>
        <w:gridCol w:w="1134"/>
        <w:gridCol w:w="3685"/>
        <w:gridCol w:w="1587"/>
      </w:tblGrid>
      <w:tr>
        <w:trPr>
          <w:cantSplit/>
          <w:tblHeader/>
          <w:jc w:val="center"/>
        </w:trPr>
        <w:tc>
          <w:tcPr>
            <w:tcW w:w="1858" w:type="dxa"/>
            <w:tcBorders/>
            <w:shd w:val="nil" w:color="auto" w:fill="1f4e79"/>
            <w:tcMar>
              <w:top w:w="90" w:type="dxa"/>
              <w:left w:w="100" w:type="dxa"/>
              <w:bottom w:w="90" w:type="dxa"/>
              <w:right w:w="100" w:type="dxa"/>
            </w:tcMar>
            <w:vAlign w:val="center"/>
          </w:tcPr>
          <w:p>
            <w:pPr>
              <w:pStyle w:val="style0"/>
              <w:spacing w:after="0" w:lineRule="auto" w:line="251"/>
              <w:jc w:val="center"/>
              <w:rPr/>
            </w:pPr>
            <w:r>
              <w:rPr>
                <w:rFonts w:ascii="Times New Roman" w:eastAsia="黑体" w:hAnsi="Times New Roman"/>
                <w:b/>
                <w:color w:val="ffffff"/>
                <w:sz w:val="17"/>
              </w:rPr>
              <w:t>设置</w:t>
            </w:r>
          </w:p>
        </w:tc>
        <w:tc>
          <w:tcPr>
            <w:tcW w:w="1858" w:type="dxa"/>
            <w:tcBorders/>
            <w:shd w:val="nil" w:color="auto" w:fill="1f4e79"/>
            <w:tcMar>
              <w:top w:w="90" w:type="dxa"/>
              <w:left w:w="100" w:type="dxa"/>
              <w:bottom w:w="90" w:type="dxa"/>
              <w:right w:w="100" w:type="dxa"/>
            </w:tcMar>
            <w:vAlign w:val="center"/>
          </w:tcPr>
          <w:p>
            <w:pPr>
              <w:pStyle w:val="style0"/>
              <w:spacing w:after="0" w:lineRule="auto" w:line="251"/>
              <w:jc w:val="center"/>
              <w:rPr/>
            </w:pPr>
            <w:r>
              <w:rPr>
                <w:rFonts w:ascii="Times New Roman" w:eastAsia="黑体" w:hAnsi="Times New Roman"/>
                <w:b/>
                <w:color w:val="ffffff"/>
                <w:sz w:val="17"/>
              </w:rPr>
              <w:t>n_t</w:t>
            </w:r>
          </w:p>
        </w:tc>
        <w:tc>
          <w:tcPr>
            <w:tcW w:w="1858" w:type="dxa"/>
            <w:tcBorders/>
            <w:shd w:val="nil" w:color="auto" w:fill="1f4e79"/>
            <w:tcMar>
              <w:top w:w="90" w:type="dxa"/>
              <w:left w:w="100" w:type="dxa"/>
              <w:bottom w:w="90" w:type="dxa"/>
              <w:right w:w="100" w:type="dxa"/>
            </w:tcMar>
            <w:vAlign w:val="center"/>
          </w:tcPr>
          <w:p>
            <w:pPr>
              <w:pStyle w:val="style0"/>
              <w:spacing w:after="0" w:lineRule="auto" w:line="251"/>
              <w:jc w:val="center"/>
              <w:rPr/>
            </w:pPr>
            <w:r>
              <w:rPr>
                <w:rFonts w:ascii="Times New Roman" w:eastAsia="黑体" w:hAnsi="Times New Roman"/>
                <w:b/>
                <w:color w:val="ffffff"/>
                <w:sz w:val="17"/>
              </w:rPr>
              <w:t>τ_t</w:t>
            </w:r>
          </w:p>
        </w:tc>
        <w:tc>
          <w:tcPr>
            <w:tcW w:w="1858" w:type="dxa"/>
            <w:tcBorders/>
            <w:shd w:val="nil" w:color="auto" w:fill="1f4e79"/>
            <w:tcMar>
              <w:top w:w="90" w:type="dxa"/>
              <w:left w:w="100" w:type="dxa"/>
              <w:bottom w:w="90" w:type="dxa"/>
              <w:right w:w="100" w:type="dxa"/>
            </w:tcMar>
            <w:vAlign w:val="center"/>
          </w:tcPr>
          <w:p>
            <w:pPr>
              <w:pStyle w:val="style0"/>
              <w:spacing w:after="0" w:lineRule="auto" w:line="251"/>
              <w:jc w:val="center"/>
              <w:rPr/>
            </w:pPr>
            <w:r>
              <w:rPr>
                <w:rFonts w:ascii="Times New Roman" w:eastAsia="黑体" w:hAnsi="Times New Roman"/>
                <w:b/>
                <w:color w:val="ffffff"/>
                <w:sz w:val="17"/>
              </w:rPr>
              <w:t>含义</w:t>
            </w:r>
          </w:p>
        </w:tc>
        <w:tc>
          <w:tcPr>
            <w:tcW w:w="1858" w:type="dxa"/>
            <w:tcBorders/>
            <w:shd w:val="nil" w:color="auto" w:fill="1f4e79"/>
            <w:tcMar>
              <w:top w:w="90" w:type="dxa"/>
              <w:left w:w="100" w:type="dxa"/>
              <w:bottom w:w="90" w:type="dxa"/>
              <w:right w:w="100" w:type="dxa"/>
            </w:tcMar>
            <w:vAlign w:val="center"/>
          </w:tcPr>
          <w:p>
            <w:pPr>
              <w:pStyle w:val="style0"/>
              <w:spacing w:after="0" w:lineRule="auto" w:line="251"/>
              <w:jc w:val="center"/>
              <w:rPr/>
            </w:pPr>
            <w:r>
              <w:rPr>
                <w:rFonts w:ascii="Times New Roman" w:eastAsia="黑体" w:hAnsi="Times New Roman"/>
                <w:b/>
                <w:color w:val="ffffff"/>
                <w:sz w:val="17"/>
              </w:rPr>
              <w:t>使用阶段</w:t>
            </w:r>
          </w:p>
        </w:tc>
      </w:tr>
      <w:tr>
        <w:tblPrEx/>
        <w:trPr>
          <w:cantSplit/>
          <w:jc w:val="center"/>
        </w:trPr>
        <w:tc>
          <w:tcPr>
            <w:tcW w:w="1701" w:type="dxa"/>
            <w:tcBorders/>
            <w:tcMar>
              <w:top w:w="90" w:type="dxa"/>
              <w:left w:w="100" w:type="dxa"/>
              <w:bottom w:w="90" w:type="dxa"/>
              <w:right w:w="100" w:type="dxa"/>
            </w:tcMar>
            <w:vAlign w:val="center"/>
          </w:tcPr>
          <w:p>
            <w:pPr>
              <w:pStyle w:val="style0"/>
              <w:spacing w:after="0" w:lineRule="auto" w:line="259"/>
              <w:jc w:val="center"/>
              <w:rPr/>
            </w:pPr>
            <w:r>
              <w:rPr>
                <w:rFonts w:ascii="Times New Roman" w:eastAsia="宋体" w:hAnsi="Times New Roman"/>
                <w:sz w:val="17"/>
              </w:rPr>
              <w:t>主实验-高频</w:t>
            </w:r>
          </w:p>
        </w:tc>
        <w:tc>
          <w:tcPr>
            <w:tcW w:w="1134" w:type="dxa"/>
            <w:tcBorders/>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20</w:t>
            </w:r>
          </w:p>
        </w:tc>
        <w:tc>
          <w:tcPr>
            <w:tcW w:w="1134" w:type="dxa"/>
            <w:tcBorders/>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10</w:t>
            </w:r>
          </w:p>
        </w:tc>
        <w:tc>
          <w:tcPr>
            <w:tcW w:w="3685" w:type="dxa"/>
            <w:tcBorders/>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较频繁地更新环境，单个环境可供搜索的代数较少</w:t>
            </w:r>
          </w:p>
        </w:tc>
        <w:tc>
          <w:tcPr>
            <w:tcW w:w="1587" w:type="dxa"/>
            <w:tcBorders/>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对比实验</w:t>
            </w:r>
          </w:p>
        </w:tc>
      </w:tr>
      <w:tr>
        <w:tblPrEx/>
        <w:trPr>
          <w:cantSplit/>
          <w:jc w:val="center"/>
        </w:trPr>
        <w:tc>
          <w:tcPr>
            <w:tcW w:w="1701" w:type="dxa"/>
            <w:tcBorders/>
            <w:shd w:val="nil" w:color="auto" w:fill="f3f6fa"/>
            <w:tcMar>
              <w:top w:w="90" w:type="dxa"/>
              <w:left w:w="100" w:type="dxa"/>
              <w:bottom w:w="90" w:type="dxa"/>
              <w:right w:w="100" w:type="dxa"/>
            </w:tcMar>
            <w:vAlign w:val="center"/>
          </w:tcPr>
          <w:p>
            <w:pPr>
              <w:pStyle w:val="style0"/>
              <w:spacing w:after="0" w:lineRule="auto" w:line="259"/>
              <w:jc w:val="center"/>
              <w:rPr/>
            </w:pPr>
            <w:r>
              <w:rPr>
                <w:rFonts w:ascii="Times New Roman" w:eastAsia="宋体" w:hAnsi="Times New Roman"/>
                <w:sz w:val="17"/>
              </w:rPr>
              <w:t>主实验-中频</w:t>
            </w:r>
          </w:p>
        </w:tc>
        <w:tc>
          <w:tcPr>
            <w:tcW w:w="1134" w:type="dxa"/>
            <w:tcBorders/>
            <w:shd w:val="nil" w:color="auto" w:fill="f3f6fa"/>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20</w:t>
            </w:r>
          </w:p>
        </w:tc>
        <w:tc>
          <w:tcPr>
            <w:tcW w:w="1134" w:type="dxa"/>
            <w:tcBorders/>
            <w:shd w:val="nil" w:color="auto" w:fill="f3f6fa"/>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25</w:t>
            </w:r>
          </w:p>
        </w:tc>
        <w:tc>
          <w:tcPr>
            <w:tcW w:w="3685" w:type="dxa"/>
            <w:tcBorders/>
            <w:shd w:val="nil" w:color="auto" w:fill="f3f6fa"/>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中等频率环境更新</w:t>
            </w:r>
          </w:p>
        </w:tc>
        <w:tc>
          <w:tcPr>
            <w:tcW w:w="1587" w:type="dxa"/>
            <w:tcBorders/>
            <w:shd w:val="nil" w:color="auto" w:fill="f3f6fa"/>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对比实验/默认情形</w:t>
            </w:r>
          </w:p>
        </w:tc>
      </w:tr>
      <w:tr>
        <w:tblPrEx/>
        <w:trPr>
          <w:cantSplit/>
          <w:jc w:val="center"/>
        </w:trPr>
        <w:tc>
          <w:tcPr>
            <w:tcW w:w="1701" w:type="dxa"/>
            <w:tcBorders/>
            <w:tcMar>
              <w:top w:w="90" w:type="dxa"/>
              <w:left w:w="100" w:type="dxa"/>
              <w:bottom w:w="90" w:type="dxa"/>
              <w:right w:w="100" w:type="dxa"/>
            </w:tcMar>
            <w:vAlign w:val="center"/>
          </w:tcPr>
          <w:p>
            <w:pPr>
              <w:pStyle w:val="style0"/>
              <w:spacing w:after="0" w:lineRule="auto" w:line="259"/>
              <w:jc w:val="center"/>
              <w:rPr/>
            </w:pPr>
            <w:r>
              <w:rPr>
                <w:rFonts w:ascii="Times New Roman" w:eastAsia="宋体" w:hAnsi="Times New Roman"/>
                <w:sz w:val="17"/>
              </w:rPr>
              <w:t>主实验-低频</w:t>
            </w:r>
          </w:p>
        </w:tc>
        <w:tc>
          <w:tcPr>
            <w:tcW w:w="1134" w:type="dxa"/>
            <w:tcBorders/>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20</w:t>
            </w:r>
          </w:p>
        </w:tc>
        <w:tc>
          <w:tcPr>
            <w:tcW w:w="1134" w:type="dxa"/>
            <w:tcBorders/>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50</w:t>
            </w:r>
          </w:p>
        </w:tc>
        <w:tc>
          <w:tcPr>
            <w:tcW w:w="3685" w:type="dxa"/>
            <w:tcBorders/>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环境维持时间较长，允许更多代搜索</w:t>
            </w:r>
          </w:p>
        </w:tc>
        <w:tc>
          <w:tcPr>
            <w:tcW w:w="1587" w:type="dxa"/>
            <w:tcBorders/>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对比实验</w:t>
            </w:r>
          </w:p>
        </w:tc>
      </w:tr>
      <w:tr>
        <w:tblPrEx/>
        <w:trPr>
          <w:cantSplit/>
          <w:jc w:val="center"/>
        </w:trPr>
        <w:tc>
          <w:tcPr>
            <w:tcW w:w="1701" w:type="dxa"/>
            <w:tcBorders/>
            <w:shd w:val="nil" w:color="auto" w:fill="f3f6fa"/>
            <w:tcMar>
              <w:top w:w="90" w:type="dxa"/>
              <w:left w:w="100" w:type="dxa"/>
              <w:bottom w:w="90" w:type="dxa"/>
              <w:right w:w="100" w:type="dxa"/>
            </w:tcMar>
            <w:vAlign w:val="center"/>
          </w:tcPr>
          <w:p>
            <w:pPr>
              <w:pStyle w:val="style0"/>
              <w:spacing w:after="0" w:lineRule="auto" w:line="259"/>
              <w:jc w:val="center"/>
              <w:rPr/>
            </w:pPr>
            <w:r>
              <w:rPr>
                <w:rFonts w:ascii="Times New Roman" w:eastAsia="宋体" w:hAnsi="Times New Roman"/>
                <w:sz w:val="17"/>
              </w:rPr>
              <w:t>变化幅度敏感性</w:t>
            </w:r>
          </w:p>
        </w:tc>
        <w:tc>
          <w:tcPr>
            <w:tcW w:w="1134" w:type="dxa"/>
            <w:tcBorders/>
            <w:shd w:val="nil" w:color="auto" w:fill="f3f6fa"/>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10 / 20 / 40</w:t>
            </w:r>
          </w:p>
        </w:tc>
        <w:tc>
          <w:tcPr>
            <w:tcW w:w="1134" w:type="dxa"/>
            <w:tcBorders/>
            <w:shd w:val="nil" w:color="auto" w:fill="f3f6fa"/>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固定25</w:t>
            </w:r>
          </w:p>
        </w:tc>
        <w:tc>
          <w:tcPr>
            <w:tcW w:w="3685" w:type="dxa"/>
            <w:tcBorders/>
            <w:shd w:val="nil" w:color="auto" w:fill="f3f6fa"/>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较小n_t对应较大的时间参数步长；较大n_t对应更平缓的小步变化</w:t>
            </w:r>
          </w:p>
        </w:tc>
        <w:tc>
          <w:tcPr>
            <w:tcW w:w="1587" w:type="dxa"/>
            <w:tcBorders/>
            <w:shd w:val="nil" w:color="auto" w:fill="f3f6fa"/>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参数敏感性</w:t>
            </w:r>
          </w:p>
        </w:tc>
      </w:tr>
    </w:tbl>
    <w:p>
      <w:pPr>
        <w:pStyle w:val="style0"/>
        <w:spacing w:after="20"/>
        <w:rPr/>
      </w:pPr>
    </w:p>
    <w:p>
      <w:pPr>
        <w:pStyle w:val="style0"/>
        <w:spacing w:before="0" w:after="80" w:lineRule="auto" w:line="355"/>
        <w:ind w:firstLine="420"/>
        <w:rPr/>
      </w:pPr>
      <w:r>
        <w:rPr>
          <w:rFonts w:ascii="Times New Roman" w:eastAsia="宋体" w:hAnsi="Times New Roman"/>
          <w:sz w:val="21"/>
        </w:rPr>
        <w:t>实现注意：时间参数通常按代数或环境编号计算，并在发生变化时同步更新目标函数。需要明确“环境变化”是每代连续更新还是每隔τ_t代更新。本方案主实验采用经典FDA分段更新以便与文献比较；若额外实现逐代连续更新，应将其作为单独的扩展实验报告，不与经典FDA结果混为一组。</w:t>
      </w:r>
    </w:p>
    <w:p>
      <w:pPr>
        <w:pStyle w:val="style0"/>
        <w:rPr/>
      </w:pPr>
      <w:r>
        <w:br w:type="page"/>
      </w:r>
    </w:p>
    <w:p>
      <w:pPr>
        <w:pStyle w:val="style2"/>
        <w:rPr/>
      </w:pPr>
      <w:r>
        <w:t>5.2 对比基线算法</w:t>
      </w:r>
    </w:p>
    <w:tbl>
      <w:tblPr>
        <w:tblStyle w:val="style154"/>
        <w:tblW w:w="0" w:type="auto"/>
        <w:jc w:val="center"/>
        <w:tblLayout w:type="fixed"/>
        <w:tblLook w:val="04A0" w:firstRow="1" w:lastRow="0" w:firstColumn="1" w:lastColumn="0" w:noHBand="0" w:noVBand="1"/>
      </w:tblPr>
      <w:tblGrid>
        <w:gridCol w:w="1984"/>
        <w:gridCol w:w="1247"/>
        <w:gridCol w:w="3628"/>
        <w:gridCol w:w="2381"/>
      </w:tblGrid>
      <w:tr>
        <w:trPr>
          <w:cantSplit/>
          <w:tblHeader/>
          <w:jc w:val="center"/>
        </w:trPr>
        <w:tc>
          <w:tcPr>
            <w:tcW w:w="2323" w:type="dxa"/>
            <w:tcBorders/>
            <w:shd w:val="nil" w:color="auto" w:fill="1f4e79"/>
            <w:tcMar>
              <w:top w:w="90" w:type="dxa"/>
              <w:left w:w="100" w:type="dxa"/>
              <w:bottom w:w="90" w:type="dxa"/>
              <w:right w:w="100" w:type="dxa"/>
            </w:tcMar>
            <w:vAlign w:val="center"/>
          </w:tcPr>
          <w:p>
            <w:pPr>
              <w:pStyle w:val="style0"/>
              <w:spacing w:after="0" w:lineRule="auto" w:line="251"/>
              <w:jc w:val="center"/>
              <w:rPr/>
            </w:pPr>
            <w:r>
              <w:rPr>
                <w:rFonts w:ascii="Times New Roman" w:eastAsia="黑体" w:hAnsi="Times New Roman"/>
                <w:b/>
                <w:color w:val="ffffff"/>
                <w:sz w:val="16"/>
              </w:rPr>
              <w:t>算法</w:t>
            </w:r>
          </w:p>
        </w:tc>
        <w:tc>
          <w:tcPr>
            <w:tcW w:w="2323" w:type="dxa"/>
            <w:tcBorders/>
            <w:shd w:val="nil" w:color="auto" w:fill="1f4e79"/>
            <w:tcMar>
              <w:top w:w="90" w:type="dxa"/>
              <w:left w:w="100" w:type="dxa"/>
              <w:bottom w:w="90" w:type="dxa"/>
              <w:right w:w="100" w:type="dxa"/>
            </w:tcMar>
            <w:vAlign w:val="center"/>
          </w:tcPr>
          <w:p>
            <w:pPr>
              <w:pStyle w:val="style0"/>
              <w:spacing w:after="0" w:lineRule="auto" w:line="251"/>
              <w:jc w:val="center"/>
              <w:rPr/>
            </w:pPr>
            <w:r>
              <w:rPr>
                <w:rFonts w:ascii="Times New Roman" w:eastAsia="黑体" w:hAnsi="Times New Roman"/>
                <w:b/>
                <w:color w:val="ffffff"/>
                <w:sz w:val="16"/>
              </w:rPr>
              <w:t>类别</w:t>
            </w:r>
          </w:p>
        </w:tc>
        <w:tc>
          <w:tcPr>
            <w:tcW w:w="2323" w:type="dxa"/>
            <w:tcBorders/>
            <w:shd w:val="nil" w:color="auto" w:fill="1f4e79"/>
            <w:tcMar>
              <w:top w:w="90" w:type="dxa"/>
              <w:left w:w="100" w:type="dxa"/>
              <w:bottom w:w="90" w:type="dxa"/>
              <w:right w:w="100" w:type="dxa"/>
            </w:tcMar>
            <w:vAlign w:val="center"/>
          </w:tcPr>
          <w:p>
            <w:pPr>
              <w:pStyle w:val="style0"/>
              <w:spacing w:after="0" w:lineRule="auto" w:line="251"/>
              <w:jc w:val="center"/>
              <w:rPr/>
            </w:pPr>
            <w:r>
              <w:rPr>
                <w:rFonts w:ascii="Times New Roman" w:eastAsia="黑体" w:hAnsi="Times New Roman"/>
                <w:b/>
                <w:color w:val="ffffff"/>
                <w:sz w:val="16"/>
              </w:rPr>
              <w:t>环境变化后的处理</w:t>
            </w:r>
          </w:p>
        </w:tc>
        <w:tc>
          <w:tcPr>
            <w:tcW w:w="2323" w:type="dxa"/>
            <w:tcBorders/>
            <w:shd w:val="nil" w:color="auto" w:fill="1f4e79"/>
            <w:tcMar>
              <w:top w:w="90" w:type="dxa"/>
              <w:left w:w="100" w:type="dxa"/>
              <w:bottom w:w="90" w:type="dxa"/>
              <w:right w:w="100" w:type="dxa"/>
            </w:tcMar>
            <w:vAlign w:val="center"/>
          </w:tcPr>
          <w:p>
            <w:pPr>
              <w:pStyle w:val="style0"/>
              <w:spacing w:after="0" w:lineRule="auto" w:line="251"/>
              <w:jc w:val="center"/>
              <w:rPr/>
            </w:pPr>
            <w:r>
              <w:rPr>
                <w:rFonts w:ascii="Times New Roman" w:eastAsia="黑体" w:hAnsi="Times New Roman"/>
                <w:b/>
                <w:color w:val="ffffff"/>
                <w:sz w:val="16"/>
              </w:rPr>
              <w:t>实现要求与公平性控制</w:t>
            </w:r>
          </w:p>
        </w:tc>
      </w:tr>
      <w:tr>
        <w:tblPrEx/>
        <w:trPr>
          <w:cantSplit/>
          <w:jc w:val="center"/>
        </w:trPr>
        <w:tc>
          <w:tcPr>
            <w:tcW w:w="1984" w:type="dxa"/>
            <w:tcBorders/>
            <w:tcMar>
              <w:top w:w="90" w:type="dxa"/>
              <w:left w:w="100" w:type="dxa"/>
              <w:bottom w:w="90" w:type="dxa"/>
              <w:right w:w="100" w:type="dxa"/>
            </w:tcMar>
            <w:vAlign w:val="center"/>
          </w:tcPr>
          <w:p>
            <w:pPr>
              <w:pStyle w:val="style0"/>
              <w:spacing w:after="0" w:lineRule="auto" w:line="259"/>
              <w:jc w:val="center"/>
              <w:rPr/>
            </w:pPr>
            <w:r>
              <w:rPr>
                <w:rFonts w:ascii="Times New Roman" w:eastAsia="宋体" w:hAnsi="Times New Roman"/>
                <w:sz w:val="16"/>
              </w:rPr>
              <w:t>DNSGA-II-B（或明确选定的DNSGA-II变体）</w:t>
            </w:r>
          </w:p>
        </w:tc>
        <w:tc>
          <w:tcPr>
            <w:tcW w:w="1247" w:type="dxa"/>
            <w:tcBorders/>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6"/>
              </w:rPr>
              <w:t>响应式</w:t>
            </w:r>
          </w:p>
        </w:tc>
        <w:tc>
          <w:tcPr>
            <w:tcW w:w="3628" w:type="dxa"/>
            <w:tcBorders/>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6"/>
              </w:rPr>
              <w:t>环境变化后对部分个体进行变异扰动以提高种群多样性</w:t>
            </w:r>
          </w:p>
        </w:tc>
        <w:tc>
          <w:tcPr>
            <w:tcW w:w="2381" w:type="dxa"/>
            <w:tcBorders/>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6"/>
              </w:rPr>
              <w:t>在实验配置中明确变异比例及所用A/B变体；不得混用不同版本结果</w:t>
            </w:r>
          </w:p>
        </w:tc>
      </w:tr>
      <w:tr>
        <w:tblPrEx/>
        <w:trPr>
          <w:cantSplit/>
          <w:jc w:val="center"/>
        </w:trPr>
        <w:tc>
          <w:tcPr>
            <w:tcW w:w="1984" w:type="dxa"/>
            <w:tcBorders/>
            <w:shd w:val="nil" w:color="auto" w:fill="f3f6fa"/>
            <w:tcMar>
              <w:top w:w="90" w:type="dxa"/>
              <w:left w:w="100" w:type="dxa"/>
              <w:bottom w:w="90" w:type="dxa"/>
              <w:right w:w="100" w:type="dxa"/>
            </w:tcMar>
            <w:vAlign w:val="center"/>
          </w:tcPr>
          <w:p>
            <w:pPr>
              <w:pStyle w:val="style0"/>
              <w:spacing w:after="0" w:lineRule="auto" w:line="259"/>
              <w:jc w:val="center"/>
              <w:rPr/>
            </w:pPr>
            <w:r>
              <w:rPr>
                <w:rFonts w:ascii="Times New Roman" w:eastAsia="宋体" w:hAnsi="Times New Roman"/>
                <w:sz w:val="16"/>
              </w:rPr>
              <w:t>AR-NSGA-II（一阶自回归趋势预测基线）</w:t>
            </w:r>
          </w:p>
        </w:tc>
        <w:tc>
          <w:tcPr>
            <w:tcW w:w="1247" w:type="dxa"/>
            <w:tcBorders/>
            <w:shd w:val="nil" w:color="auto" w:fill="f3f6fa"/>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6"/>
              </w:rPr>
              <w:t>预测式</w:t>
            </w:r>
          </w:p>
        </w:tc>
        <w:tc>
          <w:tcPr>
            <w:tcW w:w="3628" w:type="dxa"/>
            <w:tcBorders/>
            <w:shd w:val="nil" w:color="auto" w:fill="f3f6fa"/>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6"/>
              </w:rPr>
              <w:t>根据历史环境的种群中心序列拟合一阶自回归模型，预测当前中心并平移上一环境种群</w:t>
            </w:r>
          </w:p>
        </w:tc>
        <w:tc>
          <w:tcPr>
            <w:tcW w:w="2381" w:type="dxa"/>
            <w:tcBorders/>
            <w:shd w:val="nil" w:color="auto" w:fill="f3f6fa"/>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6"/>
              </w:rPr>
              <w:t>固定使用最近若干环境中心；历史不足时退回NSGA-II随机初始化/保留</w:t>
            </w:r>
          </w:p>
        </w:tc>
      </w:tr>
      <w:tr>
        <w:tblPrEx/>
        <w:trPr>
          <w:cantSplit/>
          <w:jc w:val="center"/>
        </w:trPr>
        <w:tc>
          <w:tcPr>
            <w:tcW w:w="1984" w:type="dxa"/>
            <w:tcBorders/>
            <w:tcMar>
              <w:top w:w="90" w:type="dxa"/>
              <w:left w:w="100" w:type="dxa"/>
              <w:bottom w:w="90" w:type="dxa"/>
              <w:right w:w="100" w:type="dxa"/>
            </w:tcMar>
            <w:vAlign w:val="center"/>
          </w:tcPr>
          <w:p>
            <w:pPr>
              <w:pStyle w:val="style0"/>
              <w:spacing w:after="0" w:lineRule="auto" w:line="259"/>
              <w:jc w:val="center"/>
              <w:rPr/>
            </w:pPr>
            <w:r>
              <w:rPr>
                <w:rFonts w:ascii="Times New Roman" w:eastAsia="宋体" w:hAnsi="Times New Roman"/>
                <w:sz w:val="16"/>
              </w:rPr>
              <w:t>GMM-Transfer-NSGA-II（全分布迁移对照实现）</w:t>
            </w:r>
          </w:p>
        </w:tc>
        <w:tc>
          <w:tcPr>
            <w:tcW w:w="1247" w:type="dxa"/>
            <w:tcBorders/>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6"/>
              </w:rPr>
              <w:t>分布迁移</w:t>
            </w:r>
          </w:p>
        </w:tc>
        <w:tc>
          <w:tcPr>
            <w:tcW w:w="3628" w:type="dxa"/>
            <w:tcBorders/>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6"/>
              </w:rPr>
              <w:t>在历史归一化种群上拟合高斯混合模型，并从模型采样新环境的迁移个体</w:t>
            </w:r>
          </w:p>
        </w:tc>
        <w:tc>
          <w:tcPr>
            <w:tcW w:w="2381" w:type="dxa"/>
            <w:tcBorders/>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6"/>
              </w:rPr>
              <w:t>作为受KTMM等研究启发的项目对照实现，不能声称等同于原论文完整算法</w:t>
            </w:r>
          </w:p>
        </w:tc>
      </w:tr>
      <w:tr>
        <w:tblPrEx/>
        <w:trPr>
          <w:cantSplit/>
          <w:jc w:val="center"/>
        </w:trPr>
        <w:tc>
          <w:tcPr>
            <w:tcW w:w="1984" w:type="dxa"/>
            <w:tcBorders/>
            <w:shd w:val="nil" w:color="auto" w:fill="f3f6fa"/>
            <w:tcMar>
              <w:top w:w="90" w:type="dxa"/>
              <w:left w:w="100" w:type="dxa"/>
              <w:bottom w:w="90" w:type="dxa"/>
              <w:right w:w="100" w:type="dxa"/>
            </w:tcMar>
            <w:vAlign w:val="center"/>
          </w:tcPr>
          <w:p>
            <w:pPr>
              <w:pStyle w:val="style0"/>
              <w:spacing w:after="0" w:lineRule="auto" w:line="259"/>
              <w:jc w:val="center"/>
              <w:rPr/>
            </w:pPr>
            <w:r>
              <w:rPr>
                <w:rFonts w:ascii="Times New Roman" w:eastAsia="宋体" w:hAnsi="Times New Roman"/>
                <w:sz w:val="16"/>
              </w:rPr>
              <w:t>LDMT-NSGA-II（拟提出算法）</w:t>
            </w:r>
          </w:p>
        </w:tc>
        <w:tc>
          <w:tcPr>
            <w:tcW w:w="1247" w:type="dxa"/>
            <w:tcBorders/>
            <w:shd w:val="nil" w:color="auto" w:fill="f3f6fa"/>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6"/>
              </w:rPr>
              <w:t>轻量级特征迁移</w:t>
            </w:r>
          </w:p>
        </w:tc>
        <w:tc>
          <w:tcPr>
            <w:tcW w:w="3628" w:type="dxa"/>
            <w:tcBorders/>
            <w:shd w:val="nil" w:color="auto" w:fill="f3f6fa"/>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6"/>
              </w:rPr>
              <w:t>只用均值、逐维尺度和历史偏移量构造迁移分布，混合随机个体</w:t>
            </w:r>
          </w:p>
        </w:tc>
        <w:tc>
          <w:tcPr>
            <w:tcW w:w="2381" w:type="dxa"/>
            <w:tcBorders/>
            <w:shd w:val="nil" w:color="auto" w:fill="f3f6fa"/>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6"/>
              </w:rPr>
              <w:t>记录特征提取与迁移耗时，并进行两项模块消融</w:t>
            </w:r>
          </w:p>
        </w:tc>
      </w:tr>
    </w:tbl>
    <w:p>
      <w:pPr>
        <w:pStyle w:val="style0"/>
        <w:spacing w:after="20"/>
        <w:rPr/>
      </w:pPr>
    </w:p>
    <w:p>
      <w:pPr>
        <w:pStyle w:val="style0"/>
        <w:spacing w:before="0" w:after="80" w:lineRule="auto" w:line="355"/>
        <w:ind w:firstLine="420"/>
        <w:rPr/>
      </w:pPr>
      <w:r>
        <w:rPr>
          <w:rFonts w:ascii="Times New Roman" w:eastAsia="宋体" w:hAnsi="Times New Roman"/>
          <w:sz w:val="21"/>
        </w:rPr>
        <w:t>关于一阶自回归基线：为避免“AR-NSGA-II”名不副实，建议用最近5个环境的种群中心构造序列，对每个决策维度拟合一阶自回归关系μ_k=a+bμ_{k-1}+ε_k，并据此预测新环境中心。如果历史环境数量不足或回归不稳定，则使用一阶差分外推并记录回退状态。该基线是本研究为实现可复现比较而定义的预测型版本，不应误标为某篇文献的标准算法名称。</w:t>
      </w:r>
    </w:p>
    <w:p>
      <w:pPr>
        <w:pStyle w:val="style2"/>
        <w:rPr/>
      </w:pPr>
      <w:r>
        <w:t>5.3 拟提出算法：轻量级种群分布迁移</w:t>
      </w:r>
    </w:p>
    <w:p>
      <w:pPr>
        <w:pStyle w:val="style3"/>
        <w:rPr/>
      </w:pPr>
      <w:r>
        <w:t>5.3.1 特征定义</w:t>
      </w:r>
    </w:p>
    <w:p>
      <w:pPr>
        <w:pStyle w:val="style0"/>
        <w:spacing w:before="0" w:after="80" w:lineRule="auto" w:line="355"/>
        <w:ind w:firstLine="420"/>
        <w:rPr/>
      </w:pPr>
      <w:r>
        <w:rPr>
          <w:rFonts w:ascii="Times New Roman" w:eastAsia="宋体" w:hAnsi="Times New Roman"/>
          <w:sz w:val="21"/>
        </w:rPr>
        <w:t>设第k个环境的代表种群为X_k={x_i}，先将变量归一化：z_{i,j}=(x_{i,j}-l_j)/(u_j-l_j)，其中l_j、u_j为决策变量边界。随后计算均值向量μ_k=(1/N)Σ_i z_i和逐维标准差向量σ_k。代表种群可以取非支配解集；如果非支配解数量过少，则退回环境选择后的全种群，以保证统计量稳定。实际代码需固定这一规则。</w:t>
      </w:r>
    </w:p>
    <w:p>
      <w:pPr>
        <w:pStyle w:val="style3"/>
        <w:rPr/>
      </w:pPr>
      <w:r>
        <w:t>5.3.2 中心与尺度预测</w:t>
      </w:r>
    </w:p>
    <w:p>
      <w:pPr>
        <w:pStyle w:val="style0"/>
        <w:spacing w:before="0" w:after="80" w:lineRule="auto" w:line="355"/>
        <w:ind w:firstLine="420"/>
        <w:rPr/>
      </w:pPr>
      <w:r>
        <w:rPr>
          <w:rFonts w:ascii="Times New Roman" w:eastAsia="宋体" w:hAnsi="Times New Roman"/>
          <w:sz w:val="21"/>
        </w:rPr>
        <w:t>初步迁移函数采用历史中心位移作一阶外推：μ̂_k=μ_{k-1}+λ_k(μ_{k-1}-μ_{k-2})。尺度预测为σ̂_k=max(σ_min, σ_{k-1}+λ_k(σ_{k-1}-σ_{k-2}))，其中max按维度执行。λ_k为迁移强度，按最近两次探针测得的归一化环境变化量D_k与D_{k-1}调整，并截断至预设区间[0.5,1.5]；当探针变化量过小、比例不稳定或历史样本不足时，退回λ_k=1或仅进行位置迁移。参数在正式实验前通过小规模预实验确定并冻结。</w:t>
      </w:r>
    </w:p>
    <w:p>
      <w:pPr>
        <w:pStyle w:val="style3"/>
        <w:rPr/>
      </w:pPr>
      <w:r>
        <w:t>5.3.3 个体迁移和多样性保护</w:t>
      </w:r>
    </w:p>
    <w:p>
      <w:pPr>
        <w:pStyle w:val="style0"/>
        <w:spacing w:before="0" w:after="80" w:lineRule="auto" w:line="355"/>
        <w:ind w:firstLine="420"/>
        <w:rPr/>
      </w:pPr>
      <w:r>
        <w:rPr>
          <w:rFonts w:ascii="Times New Roman" w:eastAsia="宋体" w:hAnsi="Times New Roman"/>
          <w:sz w:val="21"/>
        </w:rPr>
        <w:t>对上一环境个体z_i构造新环境候选解：ẑ_i=clip(μ̂_k + (σ̂_k/(σ_{k-1}+ε))⊙(z_i-μ_{k-1}), 0, 1)，其中⊙表示逐维乘法，ε用于避免除零。该映射保留历史个体相对于旧中心的标准化位置关系，并调整其中心及各维尺度。新初始种群拟由70%的迁移个体、20%的局部变异个体和10%的随机移民构成；上述比例属于待验证的默认参数，而非理论最优值。若迁移后个体大量触及边界，可降低λ_k或增大随机移民比例。</w:t>
      </w:r>
    </w:p>
    <w:p>
      <w:pPr>
        <w:pStyle w:val="style3"/>
        <w:rPr/>
      </w:pPr>
      <w:r>
        <w:t>5.3.4 伪代码（实现规范）</w:t>
      </w:r>
    </w:p>
    <w:p>
      <w:pPr>
        <w:pStyle w:val="style0"/>
        <w:spacing w:after="20" w:lineRule="auto" w:line="276"/>
        <w:ind w:left="340"/>
        <w:rPr/>
      </w:pPr>
      <w:r>
        <w:rPr>
          <w:rFonts w:ascii="Times New Roman" w:eastAsia="Consolas" w:hAnsi="Times New Roman"/>
          <w:color w:val="283746"/>
          <w:sz w:val="18"/>
        </w:rPr>
        <w:t>输入：动态多目标问题P，种群规模N，环境更新频率τ_t，变化幅度参数n_t</w:t>
      </w:r>
    </w:p>
    <w:p>
      <w:pPr>
        <w:pStyle w:val="style0"/>
        <w:spacing w:after="20" w:lineRule="auto" w:line="276"/>
        <w:ind w:left="340"/>
        <w:rPr/>
      </w:pPr>
      <w:r>
        <w:rPr>
          <w:rFonts w:ascii="Times New Roman" w:eastAsia="Consolas" w:hAnsi="Times New Roman"/>
          <w:color w:val="283746"/>
          <w:sz w:val="18"/>
        </w:rPr>
        <w:t>初始化：在决策空间内随机生成X；计算目标值并执行NSGA-II迭代</w:t>
      </w:r>
    </w:p>
    <w:p>
      <w:pPr>
        <w:pStyle w:val="style0"/>
        <w:spacing w:after="20" w:lineRule="auto" w:line="276"/>
        <w:ind w:left="340"/>
        <w:rPr/>
      </w:pPr>
      <w:r>
        <w:rPr>
          <w:rFonts w:ascii="Times New Roman" w:eastAsia="Consolas" w:hAnsi="Times New Roman"/>
          <w:color w:val="283746"/>
          <w:sz w:val="18"/>
        </w:rPr>
        <w:t>对每一代g：</w:t>
      </w:r>
    </w:p>
    <w:p>
      <w:pPr>
        <w:pStyle w:val="style0"/>
        <w:spacing w:after="20" w:lineRule="auto" w:line="276"/>
        <w:ind w:left="340"/>
        <w:rPr/>
      </w:pPr>
      <w:r>
        <w:rPr>
          <w:rFonts w:ascii="Times New Roman" w:eastAsia="Consolas" w:hAnsi="Times New Roman"/>
          <w:color w:val="283746"/>
          <w:sz w:val="18"/>
        </w:rPr>
        <w:t xml:space="preserve">  1. 根据统一时间规则更新环境；用固定探针集检查目标变化</w:t>
      </w:r>
    </w:p>
    <w:p>
      <w:pPr>
        <w:pStyle w:val="style0"/>
        <w:spacing w:after="20" w:lineRule="auto" w:line="276"/>
        <w:ind w:left="340"/>
        <w:rPr/>
      </w:pPr>
      <w:r>
        <w:rPr>
          <w:rFonts w:ascii="Times New Roman" w:eastAsia="Consolas" w:hAnsi="Times New Roman"/>
          <w:color w:val="283746"/>
          <w:sz w:val="18"/>
        </w:rPr>
        <w:t xml:space="preserve">  2. 若环境未变化：按NSGA-II选择、交叉、变异和环境选择更新种群</w:t>
      </w:r>
    </w:p>
    <w:p>
      <w:pPr>
        <w:pStyle w:val="style0"/>
        <w:spacing w:after="20" w:lineRule="auto" w:line="276"/>
        <w:ind w:left="340"/>
        <w:rPr/>
      </w:pPr>
      <w:r>
        <w:rPr>
          <w:rFonts w:ascii="Times New Roman" w:eastAsia="Consolas" w:hAnsi="Times New Roman"/>
          <w:color w:val="283746"/>
          <w:sz w:val="18"/>
        </w:rPr>
        <w:t xml:space="preserve">  3. 若环境变化：重新评估当前种群与探针目标值</w:t>
      </w:r>
    </w:p>
    <w:p>
      <w:pPr>
        <w:pStyle w:val="style0"/>
        <w:spacing w:after="20" w:lineRule="auto" w:line="276"/>
        <w:ind w:left="340"/>
        <w:rPr/>
      </w:pPr>
      <w:r>
        <w:rPr>
          <w:rFonts w:ascii="Times New Roman" w:eastAsia="Consolas" w:hAnsi="Times New Roman"/>
          <w:color w:val="283746"/>
          <w:sz w:val="18"/>
        </w:rPr>
        <w:t xml:space="preserve">  4. 从历史代表种群中提取μ_{k-1}、σ_{k-1}；若历史足够，计算迁移强度λ_k</w:t>
      </w:r>
    </w:p>
    <w:p>
      <w:pPr>
        <w:pStyle w:val="style0"/>
        <w:spacing w:after="20" w:lineRule="auto" w:line="276"/>
        <w:ind w:left="340"/>
        <w:rPr/>
      </w:pPr>
      <w:r>
        <w:rPr>
          <w:rFonts w:ascii="Times New Roman" w:eastAsia="Consolas" w:hAnsi="Times New Roman"/>
          <w:color w:val="283746"/>
          <w:sz w:val="18"/>
        </w:rPr>
        <w:t xml:space="preserve">  5. 根据上一环境与前一环境的分布特征预测μ̂_k、σ̂_k</w:t>
      </w:r>
    </w:p>
    <w:p>
      <w:pPr>
        <w:pStyle w:val="style0"/>
        <w:spacing w:after="20" w:lineRule="auto" w:line="276"/>
        <w:ind w:left="340"/>
        <w:rPr/>
      </w:pPr>
      <w:r>
        <w:rPr>
          <w:rFonts w:ascii="Times New Roman" w:eastAsia="Consolas" w:hAnsi="Times New Roman"/>
          <w:color w:val="283746"/>
          <w:sz w:val="18"/>
        </w:rPr>
        <w:t xml:space="preserve">  6. 将历史个体映射到预测分布，裁剪至[0,1]并反归一化至变量边界</w:t>
      </w:r>
    </w:p>
    <w:p>
      <w:pPr>
        <w:pStyle w:val="style0"/>
        <w:spacing w:after="20" w:lineRule="auto" w:line="276"/>
        <w:ind w:left="340"/>
        <w:rPr/>
      </w:pPr>
      <w:r>
        <w:rPr>
          <w:rFonts w:ascii="Times New Roman" w:eastAsia="Consolas" w:hAnsi="Times New Roman"/>
          <w:color w:val="283746"/>
          <w:sz w:val="18"/>
        </w:rPr>
        <w:t xml:space="preserve">  7. 混合迁移个体、局部变异个体与随机移民，构成新环境初始种群</w:t>
      </w:r>
    </w:p>
    <w:p>
      <w:pPr>
        <w:pStyle w:val="style0"/>
        <w:spacing w:after="20" w:lineRule="auto" w:line="276"/>
        <w:ind w:left="340"/>
        <w:rPr/>
      </w:pPr>
      <w:r>
        <w:rPr>
          <w:rFonts w:ascii="Times New Roman" w:eastAsia="Consolas" w:hAnsi="Times New Roman"/>
          <w:color w:val="283746"/>
          <w:sz w:val="18"/>
        </w:rPr>
        <w:t xml:space="preserve">  8. 对新种群重新评估目标值，继续NSGA-II迭代，并存储当前环境统计量</w:t>
      </w:r>
    </w:p>
    <w:p>
      <w:pPr>
        <w:pStyle w:val="style0"/>
        <w:spacing w:after="20" w:lineRule="auto" w:line="276"/>
        <w:ind w:left="340"/>
        <w:rPr/>
      </w:pPr>
      <w:r>
        <w:rPr>
          <w:rFonts w:ascii="Times New Roman" w:eastAsia="Consolas" w:hAnsi="Times New Roman"/>
          <w:color w:val="283746"/>
          <w:sz w:val="18"/>
        </w:rPr>
        <w:t>每个环境采样点：保存非支配解、IGD、HV、函数评估次数、运行时间与随机种子</w:t>
      </w:r>
    </w:p>
    <w:p>
      <w:pPr>
        <w:pStyle w:val="style0"/>
        <w:spacing w:after="20" w:lineRule="auto" w:line="276"/>
        <w:ind w:left="340"/>
        <w:rPr/>
      </w:pPr>
      <w:r>
        <w:rPr>
          <w:rFonts w:ascii="Times New Roman" w:eastAsia="Consolas" w:hAnsi="Times New Roman"/>
          <w:color w:val="283746"/>
          <w:sz w:val="18"/>
        </w:rPr>
        <w:t>输出：各环境的非支配解集、指标序列、汇总CSV及图形</w:t>
      </w:r>
    </w:p>
    <w:p>
      <w:pPr>
        <w:pStyle w:val="style2"/>
        <w:rPr/>
      </w:pPr>
      <w:r>
        <w:t>5.4 评价指标与统计方法</w:t>
      </w:r>
    </w:p>
    <w:p>
      <w:pPr>
        <w:pStyle w:val="style3"/>
        <w:rPr/>
      </w:pPr>
      <w:r>
        <w:t>5.4.1 收敛性与分布性：IGD</w:t>
      </w:r>
    </w:p>
    <w:p>
      <w:pPr>
        <w:pStyle w:val="style0"/>
        <w:spacing w:before="0" w:after="80" w:lineRule="auto" w:line="355"/>
        <w:ind w:firstLine="420"/>
        <w:rPr/>
      </w:pPr>
      <w:r>
        <w:rPr>
          <w:rFonts w:ascii="Times New Roman" w:eastAsia="宋体" w:hAnsi="Times New Roman"/>
          <w:sz w:val="21"/>
        </w:rPr>
        <w:t>反向世代距离（Inverted Generational Distance，IGD）衡量参考PF上的点到算法获得解集的平均最近距离。设P*为真实PF的固定采样集、P为算法输出的非支配解集，则IGD(P*,P)=(1/|P*|)Σ_{z∈P*}min_{y∈P}||z-y||₂。通常IGD越小，说明解集越接近真实PF，且对PF的覆盖越充分。动态环境中应在每个环境采样点使用该环境对应的真实PF参考集，之后汇总为平均IGD（MIGD），并同时报告每个环境点的IGD轨迹。</w:t>
      </w:r>
    </w:p>
    <w:p>
      <w:pPr>
        <w:pStyle w:val="style3"/>
        <w:rPr/>
      </w:pPr>
      <w:r>
        <w:t>5.4.2 解集覆盖度：HV</w:t>
      </w:r>
    </w:p>
    <w:p>
      <w:pPr>
        <w:pStyle w:val="style0"/>
        <w:spacing w:before="0" w:after="80" w:lineRule="auto" w:line="355"/>
        <w:ind w:firstLine="420"/>
        <w:rPr/>
      </w:pPr>
      <w:r>
        <w:rPr>
          <w:rFonts w:ascii="Times New Roman" w:eastAsia="宋体" w:hAnsi="Times New Roman"/>
          <w:sz w:val="21"/>
        </w:rPr>
        <w:t>超体积（Hypervolume，HV）衡量解集相对固定参考点所支配的目标空间体积。HV通常越大越好，但不同目标尺度或参考点设置会造成不可比，因此需在同一测试问题中先按预先固定的目标尺度归一化，并为所有算法使用完全相同的参考点。对于两目标和三目标问题，参考点应在归一化参考PF范围外留有固定余量，例如归一化上界之外的同一常数偏移；不能根据每个算法输出临时调整参考点。动态场景中可计算各环境的HV及其平均值（MHV）。</w:t>
      </w:r>
    </w:p>
    <w:p>
      <w:pPr>
        <w:pStyle w:val="style3"/>
        <w:rPr/>
      </w:pPr>
      <w:r>
        <w:t>5.4.3 计算开销：单代平均运行时间</w:t>
      </w:r>
    </w:p>
    <w:p>
      <w:pPr>
        <w:pStyle w:val="style0"/>
        <w:spacing w:before="0" w:after="80" w:lineRule="auto" w:line="355"/>
        <w:ind w:firstLine="420"/>
        <w:rPr/>
      </w:pPr>
      <w:r>
        <w:rPr>
          <w:rFonts w:ascii="Times New Roman" w:eastAsia="宋体" w:hAnsi="Times New Roman"/>
          <w:sz w:val="21"/>
        </w:rPr>
        <w:t>运行时间在同一CPU、相同Python环境、单进程条件下测量。单代平均时间定义为算法主循环运行总耗时除以实际进化代数；另行记录环境变化时迁移模块耗时，便于分析成本来自常规进化还是迁移操作。计时范围包含环境探针检测、模型拟合、个体生成和目标评估，不包括绘图、汇总统计、写出大型日志和真实PF离线生成。所有方法先进行一次不计入结果的预热运行。</w:t>
      </w:r>
    </w:p>
    <w:p>
      <w:pPr>
        <w:pStyle w:val="style3"/>
        <w:rPr/>
      </w:pPr>
      <w:r>
        <w:t>5.4.4 变化后恢复曲线</w:t>
      </w:r>
    </w:p>
    <w:p>
      <w:pPr>
        <w:pStyle w:val="style0"/>
        <w:spacing w:before="0" w:after="80" w:lineRule="auto" w:line="355"/>
        <w:ind w:firstLine="420"/>
        <w:rPr/>
      </w:pPr>
      <w:r>
        <w:rPr>
          <w:rFonts w:ascii="Times New Roman" w:eastAsia="宋体" w:hAnsi="Times New Roman"/>
          <w:sz w:val="21"/>
        </w:rPr>
        <w:t>除核心指标外，记录每次环境变化后的IGD随代数变化曲线，以判断算法是否在变化后较快恢复。可报告变化后第1代、第5代及下一次环境变化前的IGD，或报告达到该环境稳定阶段IGD阈值所需代数。恢复阈值应在实验前固定，若未达到则按右删失/未恢复记录，而不任意删除该次结果。该曲线用于解释动态响应过程，不替代IGD、HV与运行时间三项核心指标。</w:t>
      </w:r>
    </w:p>
    <w:p>
      <w:pPr>
        <w:pStyle w:val="style3"/>
        <w:rPr/>
      </w:pPr>
      <w:r>
        <w:t>5.4.5 多次重复与显著性检验</w:t>
      </w:r>
    </w:p>
    <w:p>
      <w:pPr>
        <w:pStyle w:val="style0"/>
        <w:spacing w:before="0" w:after="80" w:lineRule="auto" w:line="355"/>
        <w:ind w:firstLine="420"/>
        <w:rPr/>
      </w:pPr>
      <w:r>
        <w:rPr>
          <w:rFonts w:ascii="Times New Roman" w:eastAsia="宋体" w:hAnsi="Times New Roman"/>
          <w:sz w:val="21"/>
        </w:rPr>
        <w:t>每个“算法×测试问题×环境频率”组合独立运行30次，固定随机种子列表0—29，并在不同算法之间固定相同的测试配置与随机种子编号。结果报告均值和标准差，并建议给出中位数、四分位距和箱线图，以降低极端值对均值的影响。算法间两两比较使用Wilcoxon秩和检验；对同一指标中的多次比较采用Holm方法校正显著性水平。除p值外，应报告差值或相对变化百分比，避免仅凭显著性检验判断实际效果。</w:t>
      </w:r>
    </w:p>
    <w:p>
      <w:pPr>
        <w:pStyle w:val="style2"/>
        <w:rPr/>
      </w:pPr>
      <w:r>
        <w:t>5.5 实验步骤与具体执行配置</w:t>
      </w:r>
    </w:p>
    <w:p>
      <w:pPr>
        <w:pStyle w:val="style3"/>
        <w:rPr/>
      </w:pPr>
      <w:r>
        <w:t>5.5.1 软件与硬件环境</w:t>
      </w:r>
    </w:p>
    <w:tbl>
      <w:tblPr>
        <w:tblStyle w:val="style154"/>
        <w:tblW w:w="0" w:type="auto"/>
        <w:jc w:val="center"/>
        <w:tblLayout w:type="fixed"/>
        <w:tblLook w:val="04A0" w:firstRow="1" w:lastRow="0" w:firstColumn="1" w:lastColumn="0" w:noHBand="0" w:noVBand="1"/>
      </w:tblPr>
      <w:tblGrid>
        <w:gridCol w:w="1701"/>
        <w:gridCol w:w="3402"/>
        <w:gridCol w:w="3515"/>
      </w:tblGrid>
      <w:tr>
        <w:trPr>
          <w:cantSplit/>
          <w:tblHeader/>
          <w:jc w:val="center"/>
        </w:trPr>
        <w:tc>
          <w:tcPr>
            <w:tcW w:w="3097" w:type="dxa"/>
            <w:tcBorders/>
            <w:shd w:val="nil" w:color="auto" w:fill="1f4e79"/>
            <w:tcMar>
              <w:top w:w="90" w:type="dxa"/>
              <w:left w:w="100" w:type="dxa"/>
              <w:bottom w:w="90" w:type="dxa"/>
              <w:right w:w="100" w:type="dxa"/>
            </w:tcMar>
            <w:vAlign w:val="center"/>
          </w:tcPr>
          <w:p>
            <w:pPr>
              <w:pStyle w:val="style0"/>
              <w:spacing w:after="0" w:lineRule="auto" w:line="251"/>
              <w:jc w:val="center"/>
              <w:rPr/>
            </w:pPr>
            <w:r>
              <w:rPr>
                <w:rFonts w:ascii="Times New Roman" w:eastAsia="黑体" w:hAnsi="Times New Roman"/>
                <w:b/>
                <w:color w:val="ffffff"/>
                <w:sz w:val="17"/>
              </w:rPr>
              <w:t>项目</w:t>
            </w:r>
          </w:p>
        </w:tc>
        <w:tc>
          <w:tcPr>
            <w:tcW w:w="3097" w:type="dxa"/>
            <w:tcBorders/>
            <w:shd w:val="nil" w:color="auto" w:fill="1f4e79"/>
            <w:tcMar>
              <w:top w:w="90" w:type="dxa"/>
              <w:left w:w="100" w:type="dxa"/>
              <w:bottom w:w="90" w:type="dxa"/>
              <w:right w:w="100" w:type="dxa"/>
            </w:tcMar>
            <w:vAlign w:val="center"/>
          </w:tcPr>
          <w:p>
            <w:pPr>
              <w:pStyle w:val="style0"/>
              <w:spacing w:after="0" w:lineRule="auto" w:line="251"/>
              <w:jc w:val="center"/>
              <w:rPr/>
            </w:pPr>
            <w:r>
              <w:rPr>
                <w:rFonts w:ascii="Times New Roman" w:eastAsia="黑体" w:hAnsi="Times New Roman"/>
                <w:b/>
                <w:color w:val="ffffff"/>
                <w:sz w:val="17"/>
              </w:rPr>
              <w:t>推荐配置/约束</w:t>
            </w:r>
          </w:p>
        </w:tc>
        <w:tc>
          <w:tcPr>
            <w:tcW w:w="3097" w:type="dxa"/>
            <w:tcBorders/>
            <w:shd w:val="nil" w:color="auto" w:fill="1f4e79"/>
            <w:tcMar>
              <w:top w:w="90" w:type="dxa"/>
              <w:left w:w="100" w:type="dxa"/>
              <w:bottom w:w="90" w:type="dxa"/>
              <w:right w:w="100" w:type="dxa"/>
            </w:tcMar>
            <w:vAlign w:val="center"/>
          </w:tcPr>
          <w:p>
            <w:pPr>
              <w:pStyle w:val="style0"/>
              <w:spacing w:after="0" w:lineRule="auto" w:line="251"/>
              <w:jc w:val="center"/>
              <w:rPr/>
            </w:pPr>
            <w:r>
              <w:rPr>
                <w:rFonts w:ascii="Times New Roman" w:eastAsia="黑体" w:hAnsi="Times New Roman"/>
                <w:b/>
                <w:color w:val="ffffff"/>
                <w:sz w:val="17"/>
              </w:rPr>
              <w:t>备注</w:t>
            </w:r>
          </w:p>
        </w:tc>
      </w:tr>
      <w:tr>
        <w:tblPrEx/>
        <w:trPr>
          <w:cantSplit/>
          <w:jc w:val="center"/>
        </w:trPr>
        <w:tc>
          <w:tcPr>
            <w:tcW w:w="1701" w:type="dxa"/>
            <w:tcBorders/>
            <w:tcMar>
              <w:top w:w="90" w:type="dxa"/>
              <w:left w:w="100" w:type="dxa"/>
              <w:bottom w:w="90" w:type="dxa"/>
              <w:right w:w="100" w:type="dxa"/>
            </w:tcMar>
            <w:vAlign w:val="center"/>
          </w:tcPr>
          <w:p>
            <w:pPr>
              <w:pStyle w:val="style0"/>
              <w:spacing w:after="0" w:lineRule="auto" w:line="259"/>
              <w:jc w:val="center"/>
              <w:rPr/>
            </w:pPr>
            <w:r>
              <w:rPr>
                <w:rFonts w:ascii="Times New Roman" w:eastAsia="宋体" w:hAnsi="Times New Roman"/>
                <w:sz w:val="17"/>
              </w:rPr>
              <w:t>操作系统</w:t>
            </w:r>
          </w:p>
        </w:tc>
        <w:tc>
          <w:tcPr>
            <w:tcW w:w="3402" w:type="dxa"/>
            <w:tcBorders/>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Windows 10/11 64位或Ubuntu 22.04 LTS</w:t>
            </w:r>
          </w:p>
        </w:tc>
        <w:tc>
          <w:tcPr>
            <w:tcW w:w="3515" w:type="dxa"/>
            <w:tcBorders/>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全套正式实验固定一种环境</w:t>
            </w:r>
          </w:p>
        </w:tc>
      </w:tr>
      <w:tr>
        <w:tblPrEx/>
        <w:trPr>
          <w:cantSplit/>
          <w:jc w:val="center"/>
        </w:trPr>
        <w:tc>
          <w:tcPr>
            <w:tcW w:w="1701" w:type="dxa"/>
            <w:tcBorders/>
            <w:shd w:val="nil" w:color="auto" w:fill="f3f6fa"/>
            <w:tcMar>
              <w:top w:w="90" w:type="dxa"/>
              <w:left w:w="100" w:type="dxa"/>
              <w:bottom w:w="90" w:type="dxa"/>
              <w:right w:w="100" w:type="dxa"/>
            </w:tcMar>
            <w:vAlign w:val="center"/>
          </w:tcPr>
          <w:p>
            <w:pPr>
              <w:pStyle w:val="style0"/>
              <w:spacing w:after="0" w:lineRule="auto" w:line="259"/>
              <w:jc w:val="center"/>
              <w:rPr/>
            </w:pPr>
            <w:r>
              <w:rPr>
                <w:rFonts w:ascii="Times New Roman" w:eastAsia="宋体" w:hAnsi="Times New Roman"/>
                <w:sz w:val="17"/>
              </w:rPr>
              <w:t>语言与解释器</w:t>
            </w:r>
          </w:p>
        </w:tc>
        <w:tc>
          <w:tcPr>
            <w:tcW w:w="3402" w:type="dxa"/>
            <w:tcBorders/>
            <w:shd w:val="nil" w:color="auto" w:fill="f3f6fa"/>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Python 3.10或3.11</w:t>
            </w:r>
          </w:p>
        </w:tc>
        <w:tc>
          <w:tcPr>
            <w:tcW w:w="3515" w:type="dxa"/>
            <w:tcBorders/>
            <w:shd w:val="nil" w:color="auto" w:fill="f3f6fa"/>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所有算法共用一个虚拟环境</w:t>
            </w:r>
          </w:p>
        </w:tc>
      </w:tr>
      <w:tr>
        <w:tblPrEx/>
        <w:trPr>
          <w:cantSplit/>
          <w:jc w:val="center"/>
        </w:trPr>
        <w:tc>
          <w:tcPr>
            <w:tcW w:w="1701" w:type="dxa"/>
            <w:tcBorders/>
            <w:tcMar>
              <w:top w:w="90" w:type="dxa"/>
              <w:left w:w="100" w:type="dxa"/>
              <w:bottom w:w="90" w:type="dxa"/>
              <w:right w:w="100" w:type="dxa"/>
            </w:tcMar>
            <w:vAlign w:val="center"/>
          </w:tcPr>
          <w:p>
            <w:pPr>
              <w:pStyle w:val="style0"/>
              <w:spacing w:after="0" w:lineRule="auto" w:line="259"/>
              <w:jc w:val="center"/>
              <w:rPr/>
            </w:pPr>
            <w:r>
              <w:rPr>
                <w:rFonts w:ascii="Times New Roman" w:eastAsia="宋体" w:hAnsi="Times New Roman"/>
                <w:sz w:val="17"/>
              </w:rPr>
              <w:t>优化框架</w:t>
            </w:r>
          </w:p>
        </w:tc>
        <w:tc>
          <w:tcPr>
            <w:tcW w:w="3402" w:type="dxa"/>
            <w:tcBorders/>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pymoo（主框架）；必要时仅借助DEAP复核算子</w:t>
            </w:r>
          </w:p>
        </w:tc>
        <w:tc>
          <w:tcPr>
            <w:tcW w:w="3515" w:type="dxa"/>
            <w:tcBorders/>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尽量避免不同框架导致基线差异</w:t>
            </w:r>
          </w:p>
        </w:tc>
      </w:tr>
      <w:tr>
        <w:tblPrEx/>
        <w:trPr>
          <w:cantSplit/>
          <w:jc w:val="center"/>
        </w:trPr>
        <w:tc>
          <w:tcPr>
            <w:tcW w:w="1701" w:type="dxa"/>
            <w:tcBorders/>
            <w:shd w:val="nil" w:color="auto" w:fill="f3f6fa"/>
            <w:tcMar>
              <w:top w:w="90" w:type="dxa"/>
              <w:left w:w="100" w:type="dxa"/>
              <w:bottom w:w="90" w:type="dxa"/>
              <w:right w:w="100" w:type="dxa"/>
            </w:tcMar>
            <w:vAlign w:val="center"/>
          </w:tcPr>
          <w:p>
            <w:pPr>
              <w:pStyle w:val="style0"/>
              <w:spacing w:after="0" w:lineRule="auto" w:line="259"/>
              <w:jc w:val="center"/>
              <w:rPr/>
            </w:pPr>
            <w:r>
              <w:rPr>
                <w:rFonts w:ascii="Times New Roman" w:eastAsia="宋体" w:hAnsi="Times New Roman"/>
                <w:sz w:val="17"/>
              </w:rPr>
              <w:t>数值与模型库</w:t>
            </w:r>
          </w:p>
        </w:tc>
        <w:tc>
          <w:tcPr>
            <w:tcW w:w="3402" w:type="dxa"/>
            <w:tcBorders/>
            <w:shd w:val="nil" w:color="auto" w:fill="f3f6fa"/>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NumPy、SciPy、scikit-learn、pandas、Matplotlib</w:t>
            </w:r>
          </w:p>
        </w:tc>
        <w:tc>
          <w:tcPr>
            <w:tcW w:w="3515" w:type="dxa"/>
            <w:tcBorders/>
            <w:shd w:val="nil" w:color="auto" w:fill="f3f6fa"/>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GMM基线需要scikit-learn</w:t>
            </w:r>
          </w:p>
        </w:tc>
      </w:tr>
      <w:tr>
        <w:tblPrEx/>
        <w:trPr>
          <w:cantSplit/>
          <w:jc w:val="center"/>
        </w:trPr>
        <w:tc>
          <w:tcPr>
            <w:tcW w:w="1701" w:type="dxa"/>
            <w:tcBorders/>
            <w:tcMar>
              <w:top w:w="90" w:type="dxa"/>
              <w:left w:w="100" w:type="dxa"/>
              <w:bottom w:w="90" w:type="dxa"/>
              <w:right w:w="100" w:type="dxa"/>
            </w:tcMar>
            <w:vAlign w:val="center"/>
          </w:tcPr>
          <w:p>
            <w:pPr>
              <w:pStyle w:val="style0"/>
              <w:spacing w:after="0" w:lineRule="auto" w:line="259"/>
              <w:jc w:val="center"/>
              <w:rPr/>
            </w:pPr>
            <w:r>
              <w:rPr>
                <w:rFonts w:ascii="Times New Roman" w:eastAsia="宋体" w:hAnsi="Times New Roman"/>
                <w:sz w:val="17"/>
              </w:rPr>
              <w:t>CPU</w:t>
            </w:r>
          </w:p>
        </w:tc>
        <w:tc>
          <w:tcPr>
            <w:tcW w:w="3402" w:type="dxa"/>
            <w:tcBorders/>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4核或以上的x86-64桌面/笔记本CPU</w:t>
            </w:r>
          </w:p>
        </w:tc>
        <w:tc>
          <w:tcPr>
            <w:tcW w:w="3515" w:type="dxa"/>
            <w:tcBorders/>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记录完整型号与频率，禁用GPU加速</w:t>
            </w:r>
          </w:p>
        </w:tc>
      </w:tr>
      <w:tr>
        <w:tblPrEx/>
        <w:trPr>
          <w:cantSplit/>
          <w:jc w:val="center"/>
        </w:trPr>
        <w:tc>
          <w:tcPr>
            <w:tcW w:w="1701" w:type="dxa"/>
            <w:tcBorders/>
            <w:shd w:val="nil" w:color="auto" w:fill="f3f6fa"/>
            <w:tcMar>
              <w:top w:w="90" w:type="dxa"/>
              <w:left w:w="100" w:type="dxa"/>
              <w:bottom w:w="90" w:type="dxa"/>
              <w:right w:w="100" w:type="dxa"/>
            </w:tcMar>
            <w:vAlign w:val="center"/>
          </w:tcPr>
          <w:p>
            <w:pPr>
              <w:pStyle w:val="style0"/>
              <w:spacing w:after="0" w:lineRule="auto" w:line="259"/>
              <w:jc w:val="center"/>
              <w:rPr/>
            </w:pPr>
            <w:r>
              <w:rPr>
                <w:rFonts w:ascii="Times New Roman" w:eastAsia="宋体" w:hAnsi="Times New Roman"/>
                <w:sz w:val="17"/>
              </w:rPr>
              <w:t>内存</w:t>
            </w:r>
          </w:p>
        </w:tc>
        <w:tc>
          <w:tcPr>
            <w:tcW w:w="3402" w:type="dxa"/>
            <w:tcBorders/>
            <w:shd w:val="nil" w:color="auto" w:fill="f3f6fa"/>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8 GB最低，建议16 GB</w:t>
            </w:r>
          </w:p>
        </w:tc>
        <w:tc>
          <w:tcPr>
            <w:tcW w:w="3515" w:type="dxa"/>
            <w:tcBorders/>
            <w:shd w:val="nil" w:color="auto" w:fill="f3f6fa"/>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FDA3及GMM实验使用足够内存</w:t>
            </w:r>
          </w:p>
        </w:tc>
      </w:tr>
      <w:tr>
        <w:tblPrEx/>
        <w:trPr>
          <w:cantSplit/>
          <w:jc w:val="center"/>
        </w:trPr>
        <w:tc>
          <w:tcPr>
            <w:tcW w:w="1701" w:type="dxa"/>
            <w:tcBorders/>
            <w:tcMar>
              <w:top w:w="90" w:type="dxa"/>
              <w:left w:w="100" w:type="dxa"/>
              <w:bottom w:w="90" w:type="dxa"/>
              <w:right w:w="100" w:type="dxa"/>
            </w:tcMar>
            <w:vAlign w:val="center"/>
          </w:tcPr>
          <w:p>
            <w:pPr>
              <w:pStyle w:val="style0"/>
              <w:spacing w:after="0" w:lineRule="auto" w:line="259"/>
              <w:jc w:val="center"/>
              <w:rPr/>
            </w:pPr>
            <w:r>
              <w:rPr>
                <w:rFonts w:ascii="Times New Roman" w:eastAsia="宋体" w:hAnsi="Times New Roman"/>
                <w:sz w:val="17"/>
              </w:rPr>
              <w:t>并行设置</w:t>
            </w:r>
          </w:p>
        </w:tc>
        <w:tc>
          <w:tcPr>
            <w:tcW w:w="3402" w:type="dxa"/>
            <w:tcBorders/>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正式计时阶段单进程；限制BLAS/OpenMP线程为1</w:t>
            </w:r>
          </w:p>
        </w:tc>
        <w:tc>
          <w:tcPr>
            <w:tcW w:w="3515" w:type="dxa"/>
            <w:tcBorders/>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避免线程数影响时间比较</w:t>
            </w:r>
          </w:p>
        </w:tc>
      </w:tr>
      <w:tr>
        <w:tblPrEx/>
        <w:trPr>
          <w:cantSplit/>
          <w:jc w:val="center"/>
        </w:trPr>
        <w:tc>
          <w:tcPr>
            <w:tcW w:w="1701" w:type="dxa"/>
            <w:tcBorders/>
            <w:shd w:val="nil" w:color="auto" w:fill="f3f6fa"/>
            <w:tcMar>
              <w:top w:w="90" w:type="dxa"/>
              <w:left w:w="100" w:type="dxa"/>
              <w:bottom w:w="90" w:type="dxa"/>
              <w:right w:w="100" w:type="dxa"/>
            </w:tcMar>
            <w:vAlign w:val="center"/>
          </w:tcPr>
          <w:p>
            <w:pPr>
              <w:pStyle w:val="style0"/>
              <w:spacing w:after="0" w:lineRule="auto" w:line="259"/>
              <w:jc w:val="center"/>
              <w:rPr/>
            </w:pPr>
            <w:r>
              <w:rPr>
                <w:rFonts w:ascii="Times New Roman" w:eastAsia="宋体" w:hAnsi="Times New Roman"/>
                <w:sz w:val="17"/>
              </w:rPr>
              <w:t>版本管理</w:t>
            </w:r>
          </w:p>
        </w:tc>
        <w:tc>
          <w:tcPr>
            <w:tcW w:w="3402" w:type="dxa"/>
            <w:tcBorders/>
            <w:shd w:val="nil" w:color="auto" w:fill="f3f6fa"/>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requirements.txt + Git提交号或代码压缩包版本号</w:t>
            </w:r>
          </w:p>
        </w:tc>
        <w:tc>
          <w:tcPr>
            <w:tcW w:w="3515" w:type="dxa"/>
            <w:tcBorders/>
            <w:shd w:val="nil" w:color="auto" w:fill="f3f6fa"/>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每次正式跑批记录代码哈希</w:t>
            </w:r>
          </w:p>
        </w:tc>
      </w:tr>
    </w:tbl>
    <w:p>
      <w:pPr>
        <w:pStyle w:val="style0"/>
        <w:spacing w:after="20"/>
        <w:rPr/>
      </w:pPr>
    </w:p>
    <w:p>
      <w:pPr>
        <w:pStyle w:val="style3"/>
        <w:rPr/>
      </w:pPr>
      <w:r>
        <w:t>5.5.2 推荐主参数</w:t>
      </w:r>
    </w:p>
    <w:tbl>
      <w:tblPr>
        <w:tblStyle w:val="style154"/>
        <w:tblW w:w="0" w:type="auto"/>
        <w:jc w:val="center"/>
        <w:tblLayout w:type="fixed"/>
        <w:tblLook w:val="04A0" w:firstRow="1" w:lastRow="0" w:firstColumn="1" w:lastColumn="0" w:noHBand="0" w:noVBand="1"/>
      </w:tblPr>
      <w:tblGrid>
        <w:gridCol w:w="1701"/>
        <w:gridCol w:w="1814"/>
        <w:gridCol w:w="5102"/>
      </w:tblGrid>
      <w:tr>
        <w:trPr>
          <w:cantSplit/>
          <w:tblHeader/>
          <w:jc w:val="center"/>
        </w:trPr>
        <w:tc>
          <w:tcPr>
            <w:tcW w:w="3097" w:type="dxa"/>
            <w:tcBorders/>
            <w:shd w:val="nil" w:color="auto" w:fill="1f4e79"/>
            <w:tcMar>
              <w:top w:w="90" w:type="dxa"/>
              <w:left w:w="100" w:type="dxa"/>
              <w:bottom w:w="90" w:type="dxa"/>
              <w:right w:w="100" w:type="dxa"/>
            </w:tcMar>
            <w:vAlign w:val="center"/>
          </w:tcPr>
          <w:p>
            <w:pPr>
              <w:pStyle w:val="style0"/>
              <w:spacing w:after="0" w:lineRule="auto" w:line="251"/>
              <w:jc w:val="center"/>
              <w:rPr/>
            </w:pPr>
            <w:r>
              <w:rPr>
                <w:rFonts w:ascii="Times New Roman" w:eastAsia="黑体" w:hAnsi="Times New Roman"/>
                <w:b/>
                <w:color w:val="ffffff"/>
                <w:sz w:val="17"/>
              </w:rPr>
              <w:t>参数</w:t>
            </w:r>
          </w:p>
        </w:tc>
        <w:tc>
          <w:tcPr>
            <w:tcW w:w="3097" w:type="dxa"/>
            <w:tcBorders/>
            <w:shd w:val="nil" w:color="auto" w:fill="1f4e79"/>
            <w:tcMar>
              <w:top w:w="90" w:type="dxa"/>
              <w:left w:w="100" w:type="dxa"/>
              <w:bottom w:w="90" w:type="dxa"/>
              <w:right w:w="100" w:type="dxa"/>
            </w:tcMar>
            <w:vAlign w:val="center"/>
          </w:tcPr>
          <w:p>
            <w:pPr>
              <w:pStyle w:val="style0"/>
              <w:spacing w:after="0" w:lineRule="auto" w:line="251"/>
              <w:jc w:val="center"/>
              <w:rPr/>
            </w:pPr>
            <w:r>
              <w:rPr>
                <w:rFonts w:ascii="Times New Roman" w:eastAsia="黑体" w:hAnsi="Times New Roman"/>
                <w:b/>
                <w:color w:val="ffffff"/>
                <w:sz w:val="17"/>
              </w:rPr>
              <w:t>默认值</w:t>
            </w:r>
          </w:p>
        </w:tc>
        <w:tc>
          <w:tcPr>
            <w:tcW w:w="3097" w:type="dxa"/>
            <w:tcBorders/>
            <w:shd w:val="nil" w:color="auto" w:fill="1f4e79"/>
            <w:tcMar>
              <w:top w:w="90" w:type="dxa"/>
              <w:left w:w="100" w:type="dxa"/>
              <w:bottom w:w="90" w:type="dxa"/>
              <w:right w:w="100" w:type="dxa"/>
            </w:tcMar>
            <w:vAlign w:val="center"/>
          </w:tcPr>
          <w:p>
            <w:pPr>
              <w:pStyle w:val="style0"/>
              <w:spacing w:after="0" w:lineRule="auto" w:line="251"/>
              <w:jc w:val="center"/>
              <w:rPr/>
            </w:pPr>
            <w:r>
              <w:rPr>
                <w:rFonts w:ascii="Times New Roman" w:eastAsia="黑体" w:hAnsi="Times New Roman"/>
                <w:b/>
                <w:color w:val="ffffff"/>
                <w:sz w:val="17"/>
              </w:rPr>
              <w:t>选择理由/注意事项</w:t>
            </w:r>
          </w:p>
        </w:tc>
      </w:tr>
      <w:tr>
        <w:tblPrEx/>
        <w:trPr>
          <w:cantSplit/>
          <w:jc w:val="center"/>
        </w:trPr>
        <w:tc>
          <w:tcPr>
            <w:tcW w:w="1701" w:type="dxa"/>
            <w:tcBorders/>
            <w:tcMar>
              <w:top w:w="90" w:type="dxa"/>
              <w:left w:w="100" w:type="dxa"/>
              <w:bottom w:w="90" w:type="dxa"/>
              <w:right w:w="100" w:type="dxa"/>
            </w:tcMar>
            <w:vAlign w:val="center"/>
          </w:tcPr>
          <w:p>
            <w:pPr>
              <w:pStyle w:val="style0"/>
              <w:spacing w:after="0" w:lineRule="auto" w:line="259"/>
              <w:jc w:val="center"/>
              <w:rPr/>
            </w:pPr>
            <w:r>
              <w:rPr>
                <w:rFonts w:ascii="Times New Roman" w:eastAsia="宋体" w:hAnsi="Times New Roman"/>
                <w:sz w:val="17"/>
              </w:rPr>
              <w:t>种群规模N</w:t>
            </w:r>
          </w:p>
        </w:tc>
        <w:tc>
          <w:tcPr>
            <w:tcW w:w="1814" w:type="dxa"/>
            <w:tcBorders/>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100</w:t>
            </w:r>
          </w:p>
        </w:tc>
        <w:tc>
          <w:tcPr>
            <w:tcW w:w="5102" w:type="dxa"/>
            <w:tcBorders/>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与经典动态多目标实验常用规模接近；敏感性实验扩展到50和150</w:t>
            </w:r>
          </w:p>
        </w:tc>
      </w:tr>
      <w:tr>
        <w:tblPrEx/>
        <w:trPr>
          <w:cantSplit/>
          <w:jc w:val="center"/>
        </w:trPr>
        <w:tc>
          <w:tcPr>
            <w:tcW w:w="1701" w:type="dxa"/>
            <w:tcBorders/>
            <w:shd w:val="nil" w:color="auto" w:fill="f3f6fa"/>
            <w:tcMar>
              <w:top w:w="90" w:type="dxa"/>
              <w:left w:w="100" w:type="dxa"/>
              <w:bottom w:w="90" w:type="dxa"/>
              <w:right w:w="100" w:type="dxa"/>
            </w:tcMar>
            <w:vAlign w:val="center"/>
          </w:tcPr>
          <w:p>
            <w:pPr>
              <w:pStyle w:val="style0"/>
              <w:spacing w:after="0" w:lineRule="auto" w:line="259"/>
              <w:jc w:val="center"/>
              <w:rPr/>
            </w:pPr>
            <w:r>
              <w:rPr>
                <w:rFonts w:ascii="Times New Roman" w:eastAsia="宋体" w:hAnsi="Times New Roman"/>
                <w:sz w:val="17"/>
              </w:rPr>
              <w:t>总进化代数</w:t>
            </w:r>
          </w:p>
        </w:tc>
        <w:tc>
          <w:tcPr>
            <w:tcW w:w="1814" w:type="dxa"/>
            <w:tcBorders/>
            <w:shd w:val="nil" w:color="auto" w:fill="f3f6fa"/>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300</w:t>
            </w:r>
          </w:p>
        </w:tc>
        <w:tc>
          <w:tcPr>
            <w:tcW w:w="5102" w:type="dxa"/>
            <w:tcBorders/>
            <w:shd w:val="nil" w:color="auto" w:fill="f3f6fa"/>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确保三种变化频率下有一致总代数预算</w:t>
            </w:r>
          </w:p>
        </w:tc>
      </w:tr>
      <w:tr>
        <w:tblPrEx/>
        <w:trPr>
          <w:cantSplit/>
          <w:jc w:val="center"/>
        </w:trPr>
        <w:tc>
          <w:tcPr>
            <w:tcW w:w="1701" w:type="dxa"/>
            <w:tcBorders/>
            <w:tcMar>
              <w:top w:w="90" w:type="dxa"/>
              <w:left w:w="100" w:type="dxa"/>
              <w:bottom w:w="90" w:type="dxa"/>
              <w:right w:w="100" w:type="dxa"/>
            </w:tcMar>
            <w:vAlign w:val="center"/>
          </w:tcPr>
          <w:p>
            <w:pPr>
              <w:pStyle w:val="style0"/>
              <w:spacing w:after="0" w:lineRule="auto" w:line="259"/>
              <w:jc w:val="center"/>
              <w:rPr/>
            </w:pPr>
            <w:r>
              <w:rPr>
                <w:rFonts w:ascii="Times New Roman" w:eastAsia="宋体" w:hAnsi="Times New Roman"/>
                <w:sz w:val="17"/>
              </w:rPr>
              <w:t>主测试变化幅度n_t</w:t>
            </w:r>
          </w:p>
        </w:tc>
        <w:tc>
          <w:tcPr>
            <w:tcW w:w="1814" w:type="dxa"/>
            <w:tcBorders/>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20</w:t>
            </w:r>
          </w:p>
        </w:tc>
        <w:tc>
          <w:tcPr>
            <w:tcW w:w="5102" w:type="dxa"/>
            <w:tcBorders/>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相邻时间参数采样的幅度适中；敏感性测试10、20、40</w:t>
            </w:r>
          </w:p>
        </w:tc>
      </w:tr>
      <w:tr>
        <w:tblPrEx/>
        <w:trPr>
          <w:cantSplit/>
          <w:jc w:val="center"/>
        </w:trPr>
        <w:tc>
          <w:tcPr>
            <w:tcW w:w="1701" w:type="dxa"/>
            <w:tcBorders/>
            <w:shd w:val="nil" w:color="auto" w:fill="f3f6fa"/>
            <w:tcMar>
              <w:top w:w="90" w:type="dxa"/>
              <w:left w:w="100" w:type="dxa"/>
              <w:bottom w:w="90" w:type="dxa"/>
              <w:right w:w="100" w:type="dxa"/>
            </w:tcMar>
            <w:vAlign w:val="center"/>
          </w:tcPr>
          <w:p>
            <w:pPr>
              <w:pStyle w:val="style0"/>
              <w:spacing w:after="0" w:lineRule="auto" w:line="259"/>
              <w:jc w:val="center"/>
              <w:rPr/>
            </w:pPr>
            <w:r>
              <w:rPr>
                <w:rFonts w:ascii="Times New Roman" w:eastAsia="宋体" w:hAnsi="Times New Roman"/>
                <w:sz w:val="17"/>
              </w:rPr>
              <w:t>变化频率τ_t</w:t>
            </w:r>
          </w:p>
        </w:tc>
        <w:tc>
          <w:tcPr>
            <w:tcW w:w="1814" w:type="dxa"/>
            <w:tcBorders/>
            <w:shd w:val="nil" w:color="auto" w:fill="f3f6fa"/>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10、25、50</w:t>
            </w:r>
          </w:p>
        </w:tc>
        <w:tc>
          <w:tcPr>
            <w:tcW w:w="5102" w:type="dxa"/>
            <w:tcBorders/>
            <w:shd w:val="nil" w:color="auto" w:fill="f3f6fa"/>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分别代表高频、中频、低频环境更新</w:t>
            </w:r>
          </w:p>
        </w:tc>
      </w:tr>
      <w:tr>
        <w:tblPrEx/>
        <w:trPr>
          <w:cantSplit/>
          <w:jc w:val="center"/>
        </w:trPr>
        <w:tc>
          <w:tcPr>
            <w:tcW w:w="1701" w:type="dxa"/>
            <w:tcBorders/>
            <w:tcMar>
              <w:top w:w="90" w:type="dxa"/>
              <w:left w:w="100" w:type="dxa"/>
              <w:bottom w:w="90" w:type="dxa"/>
              <w:right w:w="100" w:type="dxa"/>
            </w:tcMar>
            <w:vAlign w:val="center"/>
          </w:tcPr>
          <w:p>
            <w:pPr>
              <w:pStyle w:val="style0"/>
              <w:spacing w:after="0" w:lineRule="auto" w:line="259"/>
              <w:jc w:val="center"/>
              <w:rPr/>
            </w:pPr>
            <w:r>
              <w:rPr>
                <w:rFonts w:ascii="Times New Roman" w:eastAsia="宋体" w:hAnsi="Times New Roman"/>
                <w:sz w:val="17"/>
              </w:rPr>
              <w:t>SBX交叉概率</w:t>
            </w:r>
          </w:p>
        </w:tc>
        <w:tc>
          <w:tcPr>
            <w:tcW w:w="1814" w:type="dxa"/>
            <w:tcBorders/>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0.9</w:t>
            </w:r>
          </w:p>
        </w:tc>
        <w:tc>
          <w:tcPr>
            <w:tcW w:w="5102" w:type="dxa"/>
            <w:tcBorders/>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NSGA-II常用连续变量设置</w:t>
            </w:r>
          </w:p>
        </w:tc>
      </w:tr>
      <w:tr>
        <w:tblPrEx/>
        <w:trPr>
          <w:cantSplit/>
          <w:jc w:val="center"/>
        </w:trPr>
        <w:tc>
          <w:tcPr>
            <w:tcW w:w="1701" w:type="dxa"/>
            <w:tcBorders/>
            <w:shd w:val="nil" w:color="auto" w:fill="f3f6fa"/>
            <w:tcMar>
              <w:top w:w="90" w:type="dxa"/>
              <w:left w:w="100" w:type="dxa"/>
              <w:bottom w:w="90" w:type="dxa"/>
              <w:right w:w="100" w:type="dxa"/>
            </w:tcMar>
            <w:vAlign w:val="center"/>
          </w:tcPr>
          <w:p>
            <w:pPr>
              <w:pStyle w:val="style0"/>
              <w:spacing w:after="0" w:lineRule="auto" w:line="259"/>
              <w:jc w:val="center"/>
              <w:rPr/>
            </w:pPr>
            <w:r>
              <w:rPr>
                <w:rFonts w:ascii="Times New Roman" w:eastAsia="宋体" w:hAnsi="Times New Roman"/>
                <w:sz w:val="17"/>
              </w:rPr>
              <w:t>SBX分布指数η_c</w:t>
            </w:r>
          </w:p>
        </w:tc>
        <w:tc>
          <w:tcPr>
            <w:tcW w:w="1814" w:type="dxa"/>
            <w:tcBorders/>
            <w:shd w:val="nil" w:color="auto" w:fill="f3f6fa"/>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20</w:t>
            </w:r>
          </w:p>
        </w:tc>
        <w:tc>
          <w:tcPr>
            <w:tcW w:w="5102" w:type="dxa"/>
            <w:tcBorders/>
            <w:shd w:val="nil" w:color="auto" w:fill="f3f6fa"/>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所有算法一致</w:t>
            </w:r>
          </w:p>
        </w:tc>
      </w:tr>
      <w:tr>
        <w:tblPrEx/>
        <w:trPr>
          <w:cantSplit/>
          <w:jc w:val="center"/>
        </w:trPr>
        <w:tc>
          <w:tcPr>
            <w:tcW w:w="1701" w:type="dxa"/>
            <w:tcBorders/>
            <w:tcMar>
              <w:top w:w="90" w:type="dxa"/>
              <w:left w:w="100" w:type="dxa"/>
              <w:bottom w:w="90" w:type="dxa"/>
              <w:right w:w="100" w:type="dxa"/>
            </w:tcMar>
            <w:vAlign w:val="center"/>
          </w:tcPr>
          <w:p>
            <w:pPr>
              <w:pStyle w:val="style0"/>
              <w:spacing w:after="0" w:lineRule="auto" w:line="259"/>
              <w:jc w:val="center"/>
              <w:rPr/>
            </w:pPr>
            <w:r>
              <w:rPr>
                <w:rFonts w:ascii="Times New Roman" w:eastAsia="宋体" w:hAnsi="Times New Roman"/>
                <w:sz w:val="17"/>
              </w:rPr>
              <w:t>多项式变异指数η_m</w:t>
            </w:r>
          </w:p>
        </w:tc>
        <w:tc>
          <w:tcPr>
            <w:tcW w:w="1814" w:type="dxa"/>
            <w:tcBorders/>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20</w:t>
            </w:r>
          </w:p>
        </w:tc>
        <w:tc>
          <w:tcPr>
            <w:tcW w:w="5102" w:type="dxa"/>
            <w:tcBorders/>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所有算法一致</w:t>
            </w:r>
          </w:p>
        </w:tc>
      </w:tr>
      <w:tr>
        <w:tblPrEx/>
        <w:trPr>
          <w:cantSplit/>
          <w:jc w:val="center"/>
        </w:trPr>
        <w:tc>
          <w:tcPr>
            <w:tcW w:w="1701" w:type="dxa"/>
            <w:tcBorders/>
            <w:shd w:val="nil" w:color="auto" w:fill="f3f6fa"/>
            <w:tcMar>
              <w:top w:w="90" w:type="dxa"/>
              <w:left w:w="100" w:type="dxa"/>
              <w:bottom w:w="90" w:type="dxa"/>
              <w:right w:w="100" w:type="dxa"/>
            </w:tcMar>
            <w:vAlign w:val="center"/>
          </w:tcPr>
          <w:p>
            <w:pPr>
              <w:pStyle w:val="style0"/>
              <w:spacing w:after="0" w:lineRule="auto" w:line="259"/>
              <w:jc w:val="center"/>
              <w:rPr/>
            </w:pPr>
            <w:r>
              <w:rPr>
                <w:rFonts w:ascii="Times New Roman" w:eastAsia="宋体" w:hAnsi="Times New Roman"/>
                <w:sz w:val="17"/>
              </w:rPr>
              <w:t>变异概率</w:t>
            </w:r>
          </w:p>
        </w:tc>
        <w:tc>
          <w:tcPr>
            <w:tcW w:w="1814" w:type="dxa"/>
            <w:tcBorders/>
            <w:shd w:val="nil" w:color="auto" w:fill="f3f6fa"/>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1/D</w:t>
            </w:r>
          </w:p>
        </w:tc>
        <w:tc>
          <w:tcPr>
            <w:tcW w:w="5102" w:type="dxa"/>
            <w:tcBorders/>
            <w:shd w:val="nil" w:color="auto" w:fill="f3f6fa"/>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D为决策变量数</w:t>
            </w:r>
          </w:p>
        </w:tc>
      </w:tr>
      <w:tr>
        <w:tblPrEx/>
        <w:trPr>
          <w:cantSplit/>
          <w:jc w:val="center"/>
        </w:trPr>
        <w:tc>
          <w:tcPr>
            <w:tcW w:w="1701" w:type="dxa"/>
            <w:tcBorders/>
            <w:tcMar>
              <w:top w:w="90" w:type="dxa"/>
              <w:left w:w="100" w:type="dxa"/>
              <w:bottom w:w="90" w:type="dxa"/>
              <w:right w:w="100" w:type="dxa"/>
            </w:tcMar>
            <w:vAlign w:val="center"/>
          </w:tcPr>
          <w:p>
            <w:pPr>
              <w:pStyle w:val="style0"/>
              <w:spacing w:after="0" w:lineRule="auto" w:line="259"/>
              <w:jc w:val="center"/>
              <w:rPr/>
            </w:pPr>
            <w:r>
              <w:rPr>
                <w:rFonts w:ascii="Times New Roman" w:eastAsia="宋体" w:hAnsi="Times New Roman"/>
                <w:sz w:val="17"/>
              </w:rPr>
              <w:t>迁移个体占比</w:t>
            </w:r>
          </w:p>
        </w:tc>
        <w:tc>
          <w:tcPr>
            <w:tcW w:w="1814" w:type="dxa"/>
            <w:tcBorders/>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70%</w:t>
            </w:r>
          </w:p>
        </w:tc>
        <w:tc>
          <w:tcPr>
            <w:tcW w:w="5102" w:type="dxa"/>
            <w:tcBorders/>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预设值，正式实验前可小范围预实验后冻结</w:t>
            </w:r>
          </w:p>
        </w:tc>
      </w:tr>
      <w:tr>
        <w:tblPrEx/>
        <w:trPr>
          <w:cantSplit/>
          <w:jc w:val="center"/>
        </w:trPr>
        <w:tc>
          <w:tcPr>
            <w:tcW w:w="1701" w:type="dxa"/>
            <w:tcBorders/>
            <w:shd w:val="nil" w:color="auto" w:fill="f3f6fa"/>
            <w:tcMar>
              <w:top w:w="90" w:type="dxa"/>
              <w:left w:w="100" w:type="dxa"/>
              <w:bottom w:w="90" w:type="dxa"/>
              <w:right w:w="100" w:type="dxa"/>
            </w:tcMar>
            <w:vAlign w:val="center"/>
          </w:tcPr>
          <w:p>
            <w:pPr>
              <w:pStyle w:val="style0"/>
              <w:spacing w:after="0" w:lineRule="auto" w:line="259"/>
              <w:jc w:val="center"/>
              <w:rPr/>
            </w:pPr>
            <w:r>
              <w:rPr>
                <w:rFonts w:ascii="Times New Roman" w:eastAsia="宋体" w:hAnsi="Times New Roman"/>
                <w:sz w:val="17"/>
              </w:rPr>
              <w:t>局部变异占比</w:t>
            </w:r>
          </w:p>
        </w:tc>
        <w:tc>
          <w:tcPr>
            <w:tcW w:w="1814" w:type="dxa"/>
            <w:tcBorders/>
            <w:shd w:val="nil" w:color="auto" w:fill="f3f6fa"/>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20%</w:t>
            </w:r>
          </w:p>
        </w:tc>
        <w:tc>
          <w:tcPr>
            <w:tcW w:w="5102" w:type="dxa"/>
            <w:tcBorders/>
            <w:shd w:val="nil" w:color="auto" w:fill="f3f6fa"/>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围绕迁移个体增加局部探索</w:t>
            </w:r>
          </w:p>
        </w:tc>
      </w:tr>
      <w:tr>
        <w:tblPrEx/>
        <w:trPr>
          <w:cantSplit/>
          <w:jc w:val="center"/>
        </w:trPr>
        <w:tc>
          <w:tcPr>
            <w:tcW w:w="1701" w:type="dxa"/>
            <w:tcBorders/>
            <w:tcMar>
              <w:top w:w="90" w:type="dxa"/>
              <w:left w:w="100" w:type="dxa"/>
              <w:bottom w:w="90" w:type="dxa"/>
              <w:right w:w="100" w:type="dxa"/>
            </w:tcMar>
            <w:vAlign w:val="center"/>
          </w:tcPr>
          <w:p>
            <w:pPr>
              <w:pStyle w:val="style0"/>
              <w:spacing w:after="0" w:lineRule="auto" w:line="259"/>
              <w:jc w:val="center"/>
              <w:rPr/>
            </w:pPr>
            <w:r>
              <w:rPr>
                <w:rFonts w:ascii="Times New Roman" w:eastAsia="宋体" w:hAnsi="Times New Roman"/>
                <w:sz w:val="17"/>
              </w:rPr>
              <w:t>随机移民占比</w:t>
            </w:r>
          </w:p>
        </w:tc>
        <w:tc>
          <w:tcPr>
            <w:tcW w:w="1814" w:type="dxa"/>
            <w:tcBorders/>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10%</w:t>
            </w:r>
          </w:p>
        </w:tc>
        <w:tc>
          <w:tcPr>
            <w:tcW w:w="5102" w:type="dxa"/>
            <w:tcBorders/>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防止迁移坍缩与负迁移</w:t>
            </w:r>
          </w:p>
        </w:tc>
      </w:tr>
      <w:tr>
        <w:tblPrEx/>
        <w:trPr>
          <w:cantSplit/>
          <w:jc w:val="center"/>
        </w:trPr>
        <w:tc>
          <w:tcPr>
            <w:tcW w:w="1701" w:type="dxa"/>
            <w:tcBorders/>
            <w:shd w:val="nil" w:color="auto" w:fill="f3f6fa"/>
            <w:tcMar>
              <w:top w:w="90" w:type="dxa"/>
              <w:left w:w="100" w:type="dxa"/>
              <w:bottom w:w="90" w:type="dxa"/>
              <w:right w:w="100" w:type="dxa"/>
            </w:tcMar>
            <w:vAlign w:val="center"/>
          </w:tcPr>
          <w:p>
            <w:pPr>
              <w:pStyle w:val="style0"/>
              <w:spacing w:after="0" w:lineRule="auto" w:line="259"/>
              <w:jc w:val="center"/>
              <w:rPr/>
            </w:pPr>
            <w:r>
              <w:rPr>
                <w:rFonts w:ascii="Times New Roman" w:eastAsia="宋体" w:hAnsi="Times New Roman"/>
                <w:sz w:val="17"/>
              </w:rPr>
              <w:t>探针数K</w:t>
            </w:r>
          </w:p>
        </w:tc>
        <w:tc>
          <w:tcPr>
            <w:tcW w:w="1814" w:type="dxa"/>
            <w:tcBorders/>
            <w:shd w:val="nil" w:color="auto" w:fill="f3f6fa"/>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5—10个固定探针</w:t>
            </w:r>
          </w:p>
        </w:tc>
        <w:tc>
          <w:tcPr>
            <w:tcW w:w="5102" w:type="dxa"/>
            <w:tcBorders/>
            <w:shd w:val="nil" w:color="auto" w:fill="f3f6fa"/>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探针只用于环境检测，且所有基线共享</w:t>
            </w:r>
          </w:p>
        </w:tc>
      </w:tr>
      <w:tr>
        <w:tblPrEx/>
        <w:trPr>
          <w:cantSplit/>
          <w:jc w:val="center"/>
        </w:trPr>
        <w:tc>
          <w:tcPr>
            <w:tcW w:w="1701" w:type="dxa"/>
            <w:tcBorders/>
            <w:tcMar>
              <w:top w:w="90" w:type="dxa"/>
              <w:left w:w="100" w:type="dxa"/>
              <w:bottom w:w="90" w:type="dxa"/>
              <w:right w:w="100" w:type="dxa"/>
            </w:tcMar>
            <w:vAlign w:val="center"/>
          </w:tcPr>
          <w:p>
            <w:pPr>
              <w:pStyle w:val="style0"/>
              <w:spacing w:after="0" w:lineRule="auto" w:line="259"/>
              <w:jc w:val="center"/>
              <w:rPr/>
            </w:pPr>
            <w:r>
              <w:rPr>
                <w:rFonts w:ascii="Times New Roman" w:eastAsia="宋体" w:hAnsi="Times New Roman"/>
                <w:sz w:val="17"/>
              </w:rPr>
              <w:t>独立重复数</w:t>
            </w:r>
          </w:p>
        </w:tc>
        <w:tc>
          <w:tcPr>
            <w:tcW w:w="1814" w:type="dxa"/>
            <w:tcBorders/>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30</w:t>
            </w:r>
          </w:p>
        </w:tc>
        <w:tc>
          <w:tcPr>
            <w:tcW w:w="5102" w:type="dxa"/>
            <w:tcBorders/>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每组报告均值、标准差及统计检验</w:t>
            </w:r>
          </w:p>
        </w:tc>
      </w:tr>
    </w:tbl>
    <w:p>
      <w:pPr>
        <w:pStyle w:val="style0"/>
        <w:spacing w:after="20"/>
        <w:rPr/>
      </w:pPr>
    </w:p>
    <w:p>
      <w:pPr>
        <w:pStyle w:val="style3"/>
        <w:rPr/>
      </w:pPr>
      <w:r>
        <w:t>5.5.3 可执行的跑批流程</w:t>
      </w:r>
    </w:p>
    <w:p>
      <w:pPr>
        <w:pStyle w:val="style49"/>
        <w:spacing w:after="40" w:lineRule="auto" w:line="324"/>
        <w:ind w:left="425" w:hanging="198"/>
        <w:rPr/>
      </w:pPr>
      <w:r>
        <w:rPr>
          <w:rFonts w:ascii="Times New Roman" w:eastAsia="宋体" w:hAnsi="Times New Roman"/>
          <w:sz w:val="20"/>
        </w:rPr>
        <w:t>先对FDA1、FDA3、FDA4分别运行单元测试：变量边界、目标维度、真实PF采样、时间参数变化及已知参考点的函数值均应通过检查。保存每个问题的函数版本与参数配置。</w:t>
      </w:r>
    </w:p>
    <w:p>
      <w:pPr>
        <w:pStyle w:val="style49"/>
        <w:spacing w:after="40" w:lineRule="auto" w:line="324"/>
        <w:ind w:left="425" w:hanging="198"/>
        <w:rPr/>
      </w:pPr>
      <w:r>
        <w:rPr>
          <w:rFonts w:ascii="Times New Roman" w:eastAsia="宋体" w:hAnsi="Times New Roman"/>
          <w:sz w:val="20"/>
        </w:rPr>
        <w:t>对每个动态问题完成一个短预实验（5次重复、总代数不超过50），检查IGD是否可计算、HV参考点是否固定、环境变化是否按τ_t触发、运行时间日志是否包含迁移模块。预实验数据不并入正式统计。</w:t>
      </w:r>
    </w:p>
    <w:p>
      <w:pPr>
        <w:pStyle w:val="style49"/>
        <w:spacing w:after="40" w:lineRule="auto" w:line="324"/>
        <w:ind w:left="425" w:hanging="198"/>
        <w:rPr/>
      </w:pPr>
      <w:r>
        <w:rPr>
          <w:rFonts w:ascii="Times New Roman" w:eastAsia="宋体" w:hAnsi="Times New Roman"/>
          <w:sz w:val="20"/>
        </w:rPr>
        <w:t>正式对比实验采用3个FDA问题×3个τ_t设置×4个算法×30次独立运行。主实验固定n_t=20、种群规模100、总代数300及相同遗传算子，保存每个环境点的指标和全程时间。</w:t>
      </w:r>
    </w:p>
    <w:p>
      <w:pPr>
        <w:pStyle w:val="style49"/>
        <w:spacing w:after="40" w:lineRule="auto" w:line="324"/>
        <w:ind w:left="425" w:hanging="198"/>
        <w:rPr/>
      </w:pPr>
      <w:r>
        <w:rPr>
          <w:rFonts w:ascii="Times New Roman" w:eastAsia="宋体" w:hAnsi="Times New Roman"/>
          <w:sz w:val="20"/>
        </w:rPr>
        <w:t>消融实验至少在FDA1、FDA3、FDA4的中频设置（τ_t=25）运行30次，比较完整算法、移除“特征简化”版本、移除“迁移函数”版本。为明确消融定义，移除“特征简化”时改用GMM/协方差分布描述替代均值-尺度特征；移除“迁移函数”时保留特征提取但不做中心/尺度映射，直接采用上一环境种群与标准响应初始化。</w:t>
      </w:r>
    </w:p>
    <w:p>
      <w:pPr>
        <w:pStyle w:val="style49"/>
        <w:spacing w:after="40" w:lineRule="auto" w:line="324"/>
        <w:ind w:left="425" w:hanging="198"/>
        <w:rPr/>
      </w:pPr>
      <w:r>
        <w:rPr>
          <w:rFonts w:ascii="Times New Roman" w:eastAsia="宋体" w:hAnsi="Times New Roman"/>
          <w:sz w:val="20"/>
        </w:rPr>
        <w:t>参数敏感性实验先在FDA3上单独测试种群规模N∈{50,100,150}，固定n_t=20、τ_t=25；再测试变化幅度n_t∈{10,20,40}，固定N=100、τ_t=25。每个组合30次。若资源不足，可先将参数敏感性实验缩减至20次，但需在报告中说明，正式主对比仍应保持30次。</w:t>
      </w:r>
    </w:p>
    <w:p>
      <w:pPr>
        <w:pStyle w:val="style49"/>
        <w:spacing w:after="40" w:lineRule="auto" w:line="324"/>
        <w:ind w:left="425" w:hanging="198"/>
        <w:rPr/>
      </w:pPr>
      <w:r>
        <w:rPr>
          <w:rFonts w:ascii="Times New Roman" w:eastAsia="宋体" w:hAnsi="Times New Roman"/>
          <w:sz w:val="20"/>
        </w:rPr>
        <w:t>增加dMOP1和dMOP2补充实验，每个问题至少采用τ_t=25、n_t=20、N=100、总代数300，比较所有算法或至少比较LDMT与三个主基线，用于检查泛化性。</w:t>
      </w:r>
    </w:p>
    <w:p>
      <w:pPr>
        <w:pStyle w:val="style49"/>
        <w:spacing w:after="40" w:lineRule="auto" w:line="324"/>
        <w:ind w:left="425" w:hanging="198"/>
        <w:rPr/>
      </w:pPr>
      <w:r>
        <w:rPr>
          <w:rFonts w:ascii="Times New Roman" w:eastAsia="宋体" w:hAnsi="Times New Roman"/>
          <w:sz w:val="20"/>
        </w:rPr>
        <w:t>每批结束后执行自动数据校验：运行数应为预定次数；IGD/HV不得出现NaN或无穷值；所有输出具有算法、测试问题、n_t、τ_t、N、随机种子、代数、时间戳和代码版本字段。</w:t>
      </w:r>
    </w:p>
    <w:p>
      <w:pPr>
        <w:pStyle w:val="style2"/>
        <w:rPr/>
      </w:pPr>
      <w:r>
        <w:t>5.6 数据记录、可视化与结果分析规则</w:t>
      </w:r>
    </w:p>
    <w:p>
      <w:pPr>
        <w:pStyle w:val="style0"/>
        <w:spacing w:before="0" w:after="80" w:lineRule="auto" w:line="355"/>
        <w:ind w:firstLine="420"/>
        <w:rPr/>
      </w:pPr>
      <w:r>
        <w:rPr>
          <w:rFonts w:ascii="Times New Roman" w:eastAsia="宋体" w:hAnsi="Times New Roman"/>
          <w:sz w:val="21"/>
        </w:rPr>
        <w:t>原始数据建议采用长表CSV格式，每一行对应“算法—测试问题—环境设置—随机种子—环境采样点”的一次观测。至少保存以下字段：algorithm、problem、seed、population_size、total_generations、n_t、tau_t、environment_index、generation、IGD、HV、generation_runtime_s、migration_runtime_s、n_evaluations、code_version。另保存每次运行的汇总CSV，方便生成论文统计表。</w:t>
      </w:r>
    </w:p>
    <w:tbl>
      <w:tblPr>
        <w:tblStyle w:val="style154"/>
        <w:tblW w:w="0" w:type="auto"/>
        <w:jc w:val="center"/>
        <w:tblLayout w:type="fixed"/>
        <w:tblLook w:val="04A0" w:firstRow="1" w:lastRow="0" w:firstColumn="1" w:lastColumn="0" w:noHBand="0" w:noVBand="1"/>
      </w:tblPr>
      <w:tblGrid>
        <w:gridCol w:w="1587"/>
        <w:gridCol w:w="3118"/>
        <w:gridCol w:w="3969"/>
      </w:tblGrid>
      <w:tr>
        <w:trPr>
          <w:cantSplit/>
          <w:tblHeader/>
          <w:jc w:val="center"/>
        </w:trPr>
        <w:tc>
          <w:tcPr>
            <w:tcW w:w="3097" w:type="dxa"/>
            <w:tcBorders/>
            <w:shd w:val="nil" w:color="auto" w:fill="1f4e79"/>
            <w:tcMar>
              <w:top w:w="90" w:type="dxa"/>
              <w:left w:w="100" w:type="dxa"/>
              <w:bottom w:w="90" w:type="dxa"/>
              <w:right w:w="100" w:type="dxa"/>
            </w:tcMar>
            <w:vAlign w:val="center"/>
          </w:tcPr>
          <w:p>
            <w:pPr>
              <w:pStyle w:val="style0"/>
              <w:spacing w:after="0" w:lineRule="auto" w:line="251"/>
              <w:jc w:val="center"/>
              <w:rPr/>
            </w:pPr>
            <w:r>
              <w:rPr>
                <w:rFonts w:ascii="Times New Roman" w:eastAsia="黑体" w:hAnsi="Times New Roman"/>
                <w:b/>
                <w:color w:val="ffffff"/>
                <w:sz w:val="17"/>
              </w:rPr>
              <w:t>结果类型</w:t>
            </w:r>
          </w:p>
        </w:tc>
        <w:tc>
          <w:tcPr>
            <w:tcW w:w="3097" w:type="dxa"/>
            <w:tcBorders/>
            <w:shd w:val="nil" w:color="auto" w:fill="1f4e79"/>
            <w:tcMar>
              <w:top w:w="90" w:type="dxa"/>
              <w:left w:w="100" w:type="dxa"/>
              <w:bottom w:w="90" w:type="dxa"/>
              <w:right w:w="100" w:type="dxa"/>
            </w:tcMar>
            <w:vAlign w:val="center"/>
          </w:tcPr>
          <w:p>
            <w:pPr>
              <w:pStyle w:val="style0"/>
              <w:spacing w:after="0" w:lineRule="auto" w:line="251"/>
              <w:jc w:val="center"/>
              <w:rPr/>
            </w:pPr>
            <w:r>
              <w:rPr>
                <w:rFonts w:ascii="Times New Roman" w:eastAsia="黑体" w:hAnsi="Times New Roman"/>
                <w:b/>
                <w:color w:val="ffffff"/>
                <w:sz w:val="17"/>
              </w:rPr>
              <w:t>建议图表</w:t>
            </w:r>
          </w:p>
        </w:tc>
        <w:tc>
          <w:tcPr>
            <w:tcW w:w="3097" w:type="dxa"/>
            <w:tcBorders/>
            <w:shd w:val="nil" w:color="auto" w:fill="1f4e79"/>
            <w:tcMar>
              <w:top w:w="90" w:type="dxa"/>
              <w:left w:w="100" w:type="dxa"/>
              <w:bottom w:w="90" w:type="dxa"/>
              <w:right w:w="100" w:type="dxa"/>
            </w:tcMar>
            <w:vAlign w:val="center"/>
          </w:tcPr>
          <w:p>
            <w:pPr>
              <w:pStyle w:val="style0"/>
              <w:spacing w:after="0" w:lineRule="auto" w:line="251"/>
              <w:jc w:val="center"/>
              <w:rPr/>
            </w:pPr>
            <w:r>
              <w:rPr>
                <w:rFonts w:ascii="Times New Roman" w:eastAsia="黑体" w:hAnsi="Times New Roman"/>
                <w:b/>
                <w:color w:val="ffffff"/>
                <w:sz w:val="17"/>
              </w:rPr>
              <w:t>分析重点</w:t>
            </w:r>
          </w:p>
        </w:tc>
      </w:tr>
      <w:tr>
        <w:tblPrEx/>
        <w:trPr>
          <w:cantSplit/>
          <w:jc w:val="center"/>
        </w:trPr>
        <w:tc>
          <w:tcPr>
            <w:tcW w:w="1587" w:type="dxa"/>
            <w:tcBorders/>
            <w:tcMar>
              <w:top w:w="90" w:type="dxa"/>
              <w:left w:w="100" w:type="dxa"/>
              <w:bottom w:w="90" w:type="dxa"/>
              <w:right w:w="100" w:type="dxa"/>
            </w:tcMar>
            <w:vAlign w:val="center"/>
          </w:tcPr>
          <w:p>
            <w:pPr>
              <w:pStyle w:val="style0"/>
              <w:spacing w:after="0" w:lineRule="auto" w:line="259"/>
              <w:jc w:val="center"/>
              <w:rPr/>
            </w:pPr>
            <w:r>
              <w:rPr>
                <w:rFonts w:ascii="Times New Roman" w:eastAsia="宋体" w:hAnsi="Times New Roman"/>
                <w:sz w:val="17"/>
              </w:rPr>
              <w:t>总体收敛质量</w:t>
            </w:r>
          </w:p>
        </w:tc>
        <w:tc>
          <w:tcPr>
            <w:tcW w:w="3118" w:type="dxa"/>
            <w:tcBorders/>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各测试问题MIGD均值±标准差表；IGD箱线图</w:t>
            </w:r>
          </w:p>
        </w:tc>
        <w:tc>
          <w:tcPr>
            <w:tcW w:w="3969" w:type="dxa"/>
            <w:tcBorders/>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是否显著优于/接近DNSGA-II与AR预测基线</w:t>
            </w:r>
          </w:p>
        </w:tc>
      </w:tr>
      <w:tr>
        <w:tblPrEx/>
        <w:trPr>
          <w:cantSplit/>
          <w:jc w:val="center"/>
        </w:trPr>
        <w:tc>
          <w:tcPr>
            <w:tcW w:w="1587" w:type="dxa"/>
            <w:tcBorders/>
            <w:shd w:val="nil" w:color="auto" w:fill="f3f6fa"/>
            <w:tcMar>
              <w:top w:w="90" w:type="dxa"/>
              <w:left w:w="100" w:type="dxa"/>
              <w:bottom w:w="90" w:type="dxa"/>
              <w:right w:w="100" w:type="dxa"/>
            </w:tcMar>
            <w:vAlign w:val="center"/>
          </w:tcPr>
          <w:p>
            <w:pPr>
              <w:pStyle w:val="style0"/>
              <w:spacing w:after="0" w:lineRule="auto" w:line="259"/>
              <w:jc w:val="center"/>
              <w:rPr/>
            </w:pPr>
            <w:r>
              <w:rPr>
                <w:rFonts w:ascii="Times New Roman" w:eastAsia="宋体" w:hAnsi="Times New Roman"/>
                <w:sz w:val="17"/>
              </w:rPr>
              <w:t>覆盖能力</w:t>
            </w:r>
          </w:p>
        </w:tc>
        <w:tc>
          <w:tcPr>
            <w:tcW w:w="3118" w:type="dxa"/>
            <w:tcBorders/>
            <w:shd w:val="nil" w:color="auto" w:fill="f3f6fa"/>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MHV表与HV箱线图</w:t>
            </w:r>
          </w:p>
        </w:tc>
        <w:tc>
          <w:tcPr>
            <w:tcW w:w="3969" w:type="dxa"/>
            <w:tcBorders/>
            <w:shd w:val="nil" w:color="auto" w:fill="f3f6fa"/>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变化后覆盖是否收缩；三目标FDA4是否稳定</w:t>
            </w:r>
          </w:p>
        </w:tc>
      </w:tr>
      <w:tr>
        <w:tblPrEx/>
        <w:trPr>
          <w:cantSplit/>
          <w:jc w:val="center"/>
        </w:trPr>
        <w:tc>
          <w:tcPr>
            <w:tcW w:w="1587" w:type="dxa"/>
            <w:tcBorders/>
            <w:tcMar>
              <w:top w:w="90" w:type="dxa"/>
              <w:left w:w="100" w:type="dxa"/>
              <w:bottom w:w="90" w:type="dxa"/>
              <w:right w:w="100" w:type="dxa"/>
            </w:tcMar>
            <w:vAlign w:val="center"/>
          </w:tcPr>
          <w:p>
            <w:pPr>
              <w:pStyle w:val="style0"/>
              <w:spacing w:after="0" w:lineRule="auto" w:line="259"/>
              <w:jc w:val="center"/>
              <w:rPr/>
            </w:pPr>
            <w:r>
              <w:rPr>
                <w:rFonts w:ascii="Times New Roman" w:eastAsia="宋体" w:hAnsi="Times New Roman"/>
                <w:sz w:val="17"/>
              </w:rPr>
              <w:t>动态响应</w:t>
            </w:r>
          </w:p>
        </w:tc>
        <w:tc>
          <w:tcPr>
            <w:tcW w:w="3118" w:type="dxa"/>
            <w:tcBorders/>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环境变化后IGD曲线</w:t>
            </w:r>
          </w:p>
        </w:tc>
        <w:tc>
          <w:tcPr>
            <w:tcW w:w="3969" w:type="dxa"/>
            <w:tcBorders/>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前1—5代恢复速度、是否存在预测过冲</w:t>
            </w:r>
          </w:p>
        </w:tc>
      </w:tr>
      <w:tr>
        <w:tblPrEx/>
        <w:trPr>
          <w:cantSplit/>
          <w:jc w:val="center"/>
        </w:trPr>
        <w:tc>
          <w:tcPr>
            <w:tcW w:w="1587" w:type="dxa"/>
            <w:tcBorders/>
            <w:shd w:val="nil" w:color="auto" w:fill="f3f6fa"/>
            <w:tcMar>
              <w:top w:w="90" w:type="dxa"/>
              <w:left w:w="100" w:type="dxa"/>
              <w:bottom w:w="90" w:type="dxa"/>
              <w:right w:w="100" w:type="dxa"/>
            </w:tcMar>
            <w:vAlign w:val="center"/>
          </w:tcPr>
          <w:p>
            <w:pPr>
              <w:pStyle w:val="style0"/>
              <w:spacing w:after="0" w:lineRule="auto" w:line="259"/>
              <w:jc w:val="center"/>
              <w:rPr/>
            </w:pPr>
            <w:r>
              <w:rPr>
                <w:rFonts w:ascii="Times New Roman" w:eastAsia="宋体" w:hAnsi="Times New Roman"/>
                <w:sz w:val="17"/>
              </w:rPr>
              <w:t>计算开销</w:t>
            </w:r>
          </w:p>
        </w:tc>
        <w:tc>
          <w:tcPr>
            <w:tcW w:w="3118" w:type="dxa"/>
            <w:tcBorders/>
            <w:shd w:val="nil" w:color="auto" w:fill="f3f6fa"/>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单代时间柱状图；迁移模块耗时分解图</w:t>
            </w:r>
          </w:p>
        </w:tc>
        <w:tc>
          <w:tcPr>
            <w:tcW w:w="3969" w:type="dxa"/>
            <w:tcBorders/>
            <w:shd w:val="nil" w:color="auto" w:fill="f3f6fa"/>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简化特征是否降低模型处理耗时</w:t>
            </w:r>
          </w:p>
        </w:tc>
      </w:tr>
      <w:tr>
        <w:tblPrEx/>
        <w:trPr>
          <w:cantSplit/>
          <w:jc w:val="center"/>
        </w:trPr>
        <w:tc>
          <w:tcPr>
            <w:tcW w:w="1587" w:type="dxa"/>
            <w:tcBorders/>
            <w:tcMar>
              <w:top w:w="90" w:type="dxa"/>
              <w:left w:w="100" w:type="dxa"/>
              <w:bottom w:w="90" w:type="dxa"/>
              <w:right w:w="100" w:type="dxa"/>
            </w:tcMar>
            <w:vAlign w:val="center"/>
          </w:tcPr>
          <w:p>
            <w:pPr>
              <w:pStyle w:val="style0"/>
              <w:spacing w:after="0" w:lineRule="auto" w:line="259"/>
              <w:jc w:val="center"/>
              <w:rPr/>
            </w:pPr>
            <w:r>
              <w:rPr>
                <w:rFonts w:ascii="Times New Roman" w:eastAsia="宋体" w:hAnsi="Times New Roman"/>
                <w:sz w:val="17"/>
              </w:rPr>
              <w:t>模块贡献</w:t>
            </w:r>
          </w:p>
        </w:tc>
        <w:tc>
          <w:tcPr>
            <w:tcW w:w="3118" w:type="dxa"/>
            <w:tcBorders/>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完整算法与两种消融版本对比图</w:t>
            </w:r>
          </w:p>
        </w:tc>
        <w:tc>
          <w:tcPr>
            <w:tcW w:w="3969" w:type="dxa"/>
            <w:tcBorders/>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特征简化与迁移函数是否分别贡献效果</w:t>
            </w:r>
          </w:p>
        </w:tc>
      </w:tr>
      <w:tr>
        <w:tblPrEx/>
        <w:trPr>
          <w:cantSplit/>
          <w:jc w:val="center"/>
        </w:trPr>
        <w:tc>
          <w:tcPr>
            <w:tcW w:w="1587" w:type="dxa"/>
            <w:tcBorders/>
            <w:shd w:val="nil" w:color="auto" w:fill="f3f6fa"/>
            <w:tcMar>
              <w:top w:w="90" w:type="dxa"/>
              <w:left w:w="100" w:type="dxa"/>
              <w:bottom w:w="90" w:type="dxa"/>
              <w:right w:w="100" w:type="dxa"/>
            </w:tcMar>
            <w:vAlign w:val="center"/>
          </w:tcPr>
          <w:p>
            <w:pPr>
              <w:pStyle w:val="style0"/>
              <w:spacing w:after="0" w:lineRule="auto" w:line="259"/>
              <w:jc w:val="center"/>
              <w:rPr/>
            </w:pPr>
            <w:r>
              <w:rPr>
                <w:rFonts w:ascii="Times New Roman" w:eastAsia="宋体" w:hAnsi="Times New Roman"/>
                <w:sz w:val="17"/>
              </w:rPr>
              <w:t>参数敏感性</w:t>
            </w:r>
          </w:p>
        </w:tc>
        <w:tc>
          <w:tcPr>
            <w:tcW w:w="3118" w:type="dxa"/>
            <w:tcBorders/>
            <w:shd w:val="nil" w:color="auto" w:fill="f3f6fa"/>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不同N、n_t、τ_t折线图</w:t>
            </w:r>
          </w:p>
        </w:tc>
        <w:tc>
          <w:tcPr>
            <w:tcW w:w="3969" w:type="dxa"/>
            <w:tcBorders/>
            <w:shd w:val="nil" w:color="auto" w:fill="f3f6fa"/>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适用边界、过度迁移风险、变化频率影响</w:t>
            </w:r>
          </w:p>
        </w:tc>
      </w:tr>
    </w:tbl>
    <w:p>
      <w:pPr>
        <w:pStyle w:val="style0"/>
        <w:spacing w:after="20"/>
        <w:rPr/>
      </w:pPr>
    </w:p>
    <w:p>
      <w:pPr>
        <w:pStyle w:val="style0"/>
        <w:spacing w:before="0" w:after="80" w:lineRule="auto" w:line="355"/>
        <w:ind w:firstLine="420"/>
        <w:rPr/>
      </w:pPr>
      <w:r>
        <w:rPr>
          <w:rFonts w:ascii="Times New Roman" w:eastAsia="宋体" w:hAnsi="Times New Roman"/>
          <w:sz w:val="21"/>
        </w:rPr>
        <w:t>分析时应区分三种情况：一是IGD改善且运行时间降低，说明质量和效率均有收益；二是IGD/HV相近而迁移时间减少，说明算法主要体现轻量化价值；三是运行时间降低但IGD恶化，则应讨论迁移特征信息不足或随机移民比例不合理。若不同测试问题出现相反结论，应按问题动态类型解释，而不是用单一平均数掩盖差异。</w:t>
      </w:r>
    </w:p>
    <w:p>
      <w:pPr>
        <w:pStyle w:val="style2"/>
        <w:rPr/>
      </w:pPr>
      <w:r>
        <w:t>5.7 风险与备选方案</w:t>
      </w:r>
    </w:p>
    <w:p>
      <w:pPr>
        <w:pStyle w:val="style48"/>
        <w:spacing w:after="40" w:lineRule="auto" w:line="324"/>
        <w:ind w:left="425" w:hanging="198"/>
        <w:rPr/>
      </w:pPr>
      <w:r>
        <w:rPr>
          <w:rFonts w:ascii="Times New Roman" w:eastAsia="宋体" w:hAnsi="Times New Roman"/>
          <w:sz w:val="20"/>
        </w:rPr>
        <w:t>若pymoo现有动态问题接口无法直接管理逐环境更新，则在同一套NSGA-II算子上实现自定义动态循环，并用静态问题与简单二目标问题验证非支配排序和环境选择。</w:t>
      </w:r>
    </w:p>
    <w:p>
      <w:pPr>
        <w:pStyle w:val="style48"/>
        <w:spacing w:after="40" w:lineRule="auto" w:line="324"/>
        <w:ind w:left="425" w:hanging="198"/>
        <w:rPr/>
      </w:pPr>
      <w:r>
        <w:rPr>
          <w:rFonts w:ascii="Times New Roman" w:eastAsia="宋体" w:hAnsi="Times New Roman"/>
          <w:sz w:val="20"/>
        </w:rPr>
        <w:t>若GMM在FDA3高维变量上拟合不稳定，使用固定成分数、协方差正则化或对决策变量降维，并在报告中记录选择理由；不可只因其表现较差而事后修改基线参数。</w:t>
      </w:r>
    </w:p>
    <w:p>
      <w:pPr>
        <w:pStyle w:val="style48"/>
        <w:spacing w:after="40" w:lineRule="auto" w:line="324"/>
        <w:ind w:left="425" w:hanging="198"/>
        <w:rPr/>
      </w:pPr>
      <w:r>
        <w:rPr>
          <w:rFonts w:ascii="Times New Roman" w:eastAsia="宋体" w:hAnsi="Times New Roman"/>
          <w:sz w:val="20"/>
        </w:rPr>
        <w:t>若迁移后大量个体落在边界，记录裁剪比例并降低迁移强度；将边界裁剪率作为诊断指标，必要时加入随机移民比例敏感性实验。</w:t>
      </w:r>
    </w:p>
    <w:p>
      <w:pPr>
        <w:pStyle w:val="style48"/>
        <w:spacing w:after="40" w:lineRule="auto" w:line="324"/>
        <w:ind w:left="425" w:hanging="198"/>
        <w:rPr/>
      </w:pPr>
      <w:r>
        <w:rPr>
          <w:rFonts w:ascii="Times New Roman" w:eastAsia="宋体" w:hAnsi="Times New Roman"/>
          <w:sz w:val="20"/>
        </w:rPr>
        <w:t>若总体IGD改善但HV下降，说明算法可能更强调收敛而牺牲覆盖；通过更多随机移民、保留边界解或调整迁移比例进行有记录的补充实验。</w:t>
      </w:r>
    </w:p>
    <w:p>
      <w:pPr>
        <w:pStyle w:val="style48"/>
        <w:spacing w:after="40" w:lineRule="auto" w:line="324"/>
        <w:ind w:left="425" w:hanging="198"/>
        <w:rPr/>
      </w:pPr>
      <w:r>
        <w:rPr>
          <w:rFonts w:ascii="Times New Roman" w:eastAsia="宋体" w:hAnsi="Times New Roman"/>
          <w:sz w:val="20"/>
        </w:rPr>
        <w:t>若运行时间波动较大，应固定CPU线程、关闭后台重负载、先预热并按多次测量报告均值与标准差；不得只选择最快的一次运行作为结果。</w:t>
      </w:r>
    </w:p>
    <w:p>
      <w:pPr>
        <w:pStyle w:val="style1"/>
        <w:rPr/>
      </w:pPr>
      <w:r>
        <w:t>六、预期成果</w:t>
      </w:r>
    </w:p>
    <w:p>
      <w:pPr>
        <w:pStyle w:val="style49"/>
        <w:spacing w:after="40" w:lineRule="auto" w:line="324"/>
        <w:ind w:left="425" w:hanging="198"/>
        <w:rPr/>
      </w:pPr>
      <w:r>
        <w:rPr>
          <w:rFonts w:ascii="Times New Roman" w:eastAsia="宋体" w:hAnsi="Times New Roman"/>
          <w:sz w:val="20"/>
        </w:rPr>
        <w:t>一套可运行、可配置、带文档说明的轻量级动态多目标优化算法代码，包括环境管理、NSGA-II内核、分布特征提取、迁移函数、日志记录和绘图脚本。</w:t>
      </w:r>
    </w:p>
    <w:p>
      <w:pPr>
        <w:pStyle w:val="style49"/>
        <w:spacing w:after="40" w:lineRule="auto" w:line="324"/>
        <w:ind w:left="425" w:hanging="198"/>
        <w:rPr/>
      </w:pPr>
      <w:r>
        <w:rPr>
          <w:rFonts w:ascii="Times New Roman" w:eastAsia="宋体" w:hAnsi="Times New Roman"/>
          <w:sz w:val="20"/>
        </w:rPr>
        <w:t>一套标准化动态基准与基线算法实验代码，覆盖FDA1、FDA3、FDA4及部分dMOP实例，并记录各算法实现版本和参数。</w:t>
      </w:r>
    </w:p>
    <w:p>
      <w:pPr>
        <w:pStyle w:val="style49"/>
        <w:spacing w:after="40" w:lineRule="auto" w:line="324"/>
        <w:ind w:left="425" w:hanging="198"/>
        <w:rPr/>
      </w:pPr>
      <w:r>
        <w:rPr>
          <w:rFonts w:ascii="Times New Roman" w:eastAsia="宋体" w:hAnsi="Times New Roman"/>
          <w:sz w:val="20"/>
        </w:rPr>
        <w:t>一份完整的实验数据和性能分析报告，包含对比实验、消融实验、参数敏感性实验、统计检验、图表及异常结果说明。</w:t>
      </w:r>
    </w:p>
    <w:p>
      <w:pPr>
        <w:pStyle w:val="style49"/>
        <w:spacing w:after="40" w:lineRule="auto" w:line="324"/>
        <w:ind w:left="425" w:hanging="198"/>
        <w:rPr/>
      </w:pPr>
      <w:r>
        <w:rPr>
          <w:rFonts w:ascii="Times New Roman" w:eastAsia="宋体" w:hAnsi="Times New Roman"/>
          <w:sz w:val="20"/>
        </w:rPr>
        <w:t>一篇符合计算机科学与技术专业本科毕业设计要求的论文，论述研究背景、相关工作、算法设计、实验方法、结果分析、局限性及未来工作。</w:t>
      </w:r>
    </w:p>
    <w:p>
      <w:pPr>
        <w:pStyle w:val="style0"/>
        <w:spacing w:before="0" w:after="80" w:lineRule="auto" w:line="355"/>
        <w:ind w:firstLine="420"/>
        <w:rPr/>
      </w:pPr>
      <w:r>
        <w:rPr>
          <w:rFonts w:ascii="Times New Roman" w:eastAsia="宋体" w:hAnsi="Times New Roman"/>
          <w:sz w:val="21"/>
        </w:rPr>
        <w:t>预期成果不预设具体准确率或性能提升百分比。算法效果需以完成的实验结果为依据；若未能在所有测试问题上实现优势，应明确限定有效范围并如实呈现负面结果。</w:t>
      </w:r>
    </w:p>
    <w:p>
      <w:pPr>
        <w:pStyle w:val="style1"/>
        <w:rPr/>
      </w:pPr>
      <w:r>
        <w:t>七、进度安排</w:t>
      </w:r>
    </w:p>
    <w:tbl>
      <w:tblPr>
        <w:tblStyle w:val="style154"/>
        <w:tblW w:w="0" w:type="auto"/>
        <w:jc w:val="center"/>
        <w:tblLayout w:type="fixed"/>
        <w:tblLook w:val="04A0" w:firstRow="1" w:lastRow="0" w:firstColumn="1" w:lastColumn="0" w:noHBand="0" w:noVBand="1"/>
      </w:tblPr>
      <w:tblGrid>
        <w:gridCol w:w="1134"/>
        <w:gridCol w:w="4252"/>
        <w:gridCol w:w="3402"/>
      </w:tblGrid>
      <w:tr>
        <w:trPr>
          <w:cantSplit/>
          <w:tblHeader/>
          <w:jc w:val="center"/>
        </w:trPr>
        <w:tc>
          <w:tcPr>
            <w:tcW w:w="3097" w:type="dxa"/>
            <w:tcBorders/>
            <w:shd w:val="nil" w:color="auto" w:fill="1f4e79"/>
            <w:tcMar>
              <w:top w:w="90" w:type="dxa"/>
              <w:left w:w="100" w:type="dxa"/>
              <w:bottom w:w="90" w:type="dxa"/>
              <w:right w:w="100" w:type="dxa"/>
            </w:tcMar>
            <w:vAlign w:val="center"/>
          </w:tcPr>
          <w:p>
            <w:pPr>
              <w:pStyle w:val="style0"/>
              <w:spacing w:after="0" w:lineRule="auto" w:line="251"/>
              <w:jc w:val="center"/>
              <w:rPr/>
            </w:pPr>
            <w:r>
              <w:rPr>
                <w:rFonts w:ascii="Times New Roman" w:eastAsia="黑体" w:hAnsi="Times New Roman"/>
                <w:b/>
                <w:color w:val="ffffff"/>
                <w:sz w:val="17"/>
              </w:rPr>
              <w:t>周次</w:t>
            </w:r>
          </w:p>
        </w:tc>
        <w:tc>
          <w:tcPr>
            <w:tcW w:w="3097" w:type="dxa"/>
            <w:tcBorders/>
            <w:shd w:val="nil" w:color="auto" w:fill="1f4e79"/>
            <w:tcMar>
              <w:top w:w="90" w:type="dxa"/>
              <w:left w:w="100" w:type="dxa"/>
              <w:bottom w:w="90" w:type="dxa"/>
              <w:right w:w="100" w:type="dxa"/>
            </w:tcMar>
            <w:vAlign w:val="center"/>
          </w:tcPr>
          <w:p>
            <w:pPr>
              <w:pStyle w:val="style0"/>
              <w:spacing w:after="0" w:lineRule="auto" w:line="251"/>
              <w:jc w:val="center"/>
              <w:rPr/>
            </w:pPr>
            <w:r>
              <w:rPr>
                <w:rFonts w:ascii="Times New Roman" w:eastAsia="黑体" w:hAnsi="Times New Roman"/>
                <w:b/>
                <w:color w:val="ffffff"/>
                <w:sz w:val="17"/>
              </w:rPr>
              <w:t>工作任务</w:t>
            </w:r>
          </w:p>
        </w:tc>
        <w:tc>
          <w:tcPr>
            <w:tcW w:w="3097" w:type="dxa"/>
            <w:tcBorders/>
            <w:shd w:val="nil" w:color="auto" w:fill="1f4e79"/>
            <w:tcMar>
              <w:top w:w="90" w:type="dxa"/>
              <w:left w:w="100" w:type="dxa"/>
              <w:bottom w:w="90" w:type="dxa"/>
              <w:right w:w="100" w:type="dxa"/>
            </w:tcMar>
            <w:vAlign w:val="center"/>
          </w:tcPr>
          <w:p>
            <w:pPr>
              <w:pStyle w:val="style0"/>
              <w:spacing w:after="0" w:lineRule="auto" w:line="251"/>
              <w:jc w:val="center"/>
              <w:rPr/>
            </w:pPr>
            <w:r>
              <w:rPr>
                <w:rFonts w:ascii="Times New Roman" w:eastAsia="黑体" w:hAnsi="Times New Roman"/>
                <w:b/>
                <w:color w:val="ffffff"/>
                <w:sz w:val="17"/>
              </w:rPr>
              <w:t>阶段性成果/验收条件</w:t>
            </w:r>
          </w:p>
        </w:tc>
      </w:tr>
      <w:tr>
        <w:tblPrEx/>
        <w:trPr>
          <w:cantSplit/>
          <w:jc w:val="center"/>
        </w:trPr>
        <w:tc>
          <w:tcPr>
            <w:tcW w:w="1134" w:type="dxa"/>
            <w:tcBorders/>
            <w:tcMar>
              <w:top w:w="90" w:type="dxa"/>
              <w:left w:w="100" w:type="dxa"/>
              <w:bottom w:w="90" w:type="dxa"/>
              <w:right w:w="100" w:type="dxa"/>
            </w:tcMar>
            <w:vAlign w:val="center"/>
          </w:tcPr>
          <w:p>
            <w:pPr>
              <w:pStyle w:val="style0"/>
              <w:spacing w:after="0" w:lineRule="auto" w:line="259"/>
              <w:jc w:val="center"/>
              <w:rPr/>
            </w:pPr>
            <w:r>
              <w:rPr>
                <w:rFonts w:ascii="Times New Roman" w:eastAsia="宋体" w:hAnsi="Times New Roman"/>
                <w:sz w:val="17"/>
              </w:rPr>
              <w:t>第1—2周</w:t>
            </w:r>
          </w:p>
        </w:tc>
        <w:tc>
          <w:tcPr>
            <w:tcW w:w="4252" w:type="dxa"/>
            <w:tcBorders/>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搭建Python环境；阅读NSGA-II、FDA与IGD/HV资料；实现静态NSGA-II</w:t>
            </w:r>
          </w:p>
        </w:tc>
        <w:tc>
          <w:tcPr>
            <w:tcW w:w="3402" w:type="dxa"/>
            <w:tcBorders/>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可以运行一个静态测试问题，单元测试通过</w:t>
            </w:r>
          </w:p>
        </w:tc>
      </w:tr>
      <w:tr>
        <w:tblPrEx/>
        <w:trPr>
          <w:cantSplit/>
          <w:jc w:val="center"/>
        </w:trPr>
        <w:tc>
          <w:tcPr>
            <w:tcW w:w="1134" w:type="dxa"/>
            <w:tcBorders/>
            <w:shd w:val="nil" w:color="auto" w:fill="f3f6fa"/>
            <w:tcMar>
              <w:top w:w="90" w:type="dxa"/>
              <w:left w:w="100" w:type="dxa"/>
              <w:bottom w:w="90" w:type="dxa"/>
              <w:right w:w="100" w:type="dxa"/>
            </w:tcMar>
            <w:vAlign w:val="center"/>
          </w:tcPr>
          <w:p>
            <w:pPr>
              <w:pStyle w:val="style0"/>
              <w:spacing w:after="0" w:lineRule="auto" w:line="259"/>
              <w:jc w:val="center"/>
              <w:rPr/>
            </w:pPr>
            <w:r>
              <w:rPr>
                <w:rFonts w:ascii="Times New Roman" w:eastAsia="宋体" w:hAnsi="Times New Roman"/>
                <w:sz w:val="17"/>
              </w:rPr>
              <w:t>第3—4周</w:t>
            </w:r>
          </w:p>
        </w:tc>
        <w:tc>
          <w:tcPr>
            <w:tcW w:w="4252" w:type="dxa"/>
            <w:tcBorders/>
            <w:shd w:val="nil" w:color="auto" w:fill="f3f6fa"/>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梳理动态多目标优化和迁移研究；实现FDA环境更新；实现DNSGA-II及预测基线；完善开题报告</w:t>
            </w:r>
          </w:p>
        </w:tc>
        <w:tc>
          <w:tcPr>
            <w:tcW w:w="3402" w:type="dxa"/>
            <w:tcBorders/>
            <w:shd w:val="nil" w:color="auto" w:fill="f3f6fa"/>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基线能在至少两个动态测试问题运行，时间参数无误</w:t>
            </w:r>
          </w:p>
        </w:tc>
      </w:tr>
      <w:tr>
        <w:tblPrEx/>
        <w:trPr>
          <w:cantSplit/>
          <w:jc w:val="center"/>
        </w:trPr>
        <w:tc>
          <w:tcPr>
            <w:tcW w:w="1134" w:type="dxa"/>
            <w:tcBorders/>
            <w:tcMar>
              <w:top w:w="90" w:type="dxa"/>
              <w:left w:w="100" w:type="dxa"/>
              <w:bottom w:w="90" w:type="dxa"/>
              <w:right w:w="100" w:type="dxa"/>
            </w:tcMar>
            <w:vAlign w:val="center"/>
          </w:tcPr>
          <w:p>
            <w:pPr>
              <w:pStyle w:val="style0"/>
              <w:spacing w:after="0" w:lineRule="auto" w:line="259"/>
              <w:jc w:val="center"/>
              <w:rPr/>
            </w:pPr>
            <w:r>
              <w:rPr>
                <w:rFonts w:ascii="Times New Roman" w:eastAsia="宋体" w:hAnsi="Times New Roman"/>
                <w:sz w:val="17"/>
              </w:rPr>
              <w:t>第5周</w:t>
            </w:r>
          </w:p>
        </w:tc>
        <w:tc>
          <w:tcPr>
            <w:tcW w:w="4252" w:type="dxa"/>
            <w:tcBorders/>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实现环境变化检测、探针集与历史种群归档</w:t>
            </w:r>
          </w:p>
        </w:tc>
        <w:tc>
          <w:tcPr>
            <w:tcW w:w="3402" w:type="dxa"/>
            <w:tcBorders/>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变化事件检测正确，能够重评估种群目标值</w:t>
            </w:r>
          </w:p>
        </w:tc>
      </w:tr>
      <w:tr>
        <w:tblPrEx/>
        <w:trPr>
          <w:cantSplit/>
          <w:jc w:val="center"/>
        </w:trPr>
        <w:tc>
          <w:tcPr>
            <w:tcW w:w="1134" w:type="dxa"/>
            <w:tcBorders/>
            <w:shd w:val="nil" w:color="auto" w:fill="f3f6fa"/>
            <w:tcMar>
              <w:top w:w="90" w:type="dxa"/>
              <w:left w:w="100" w:type="dxa"/>
              <w:bottom w:w="90" w:type="dxa"/>
              <w:right w:w="100" w:type="dxa"/>
            </w:tcMar>
            <w:vAlign w:val="center"/>
          </w:tcPr>
          <w:p>
            <w:pPr>
              <w:pStyle w:val="style0"/>
              <w:spacing w:after="0" w:lineRule="auto" w:line="259"/>
              <w:jc w:val="center"/>
              <w:rPr/>
            </w:pPr>
            <w:r>
              <w:rPr>
                <w:rFonts w:ascii="Times New Roman" w:eastAsia="宋体" w:hAnsi="Times New Roman"/>
                <w:sz w:val="17"/>
              </w:rPr>
              <w:t>第6—7周</w:t>
            </w:r>
          </w:p>
        </w:tc>
        <w:tc>
          <w:tcPr>
            <w:tcW w:w="4252" w:type="dxa"/>
            <w:tcBorders/>
            <w:shd w:val="nil" w:color="auto" w:fill="f3f6fa"/>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设计并实现均值/尺度特征、迁移函数和混合初始化；完成小规模调试</w:t>
            </w:r>
          </w:p>
        </w:tc>
        <w:tc>
          <w:tcPr>
            <w:tcW w:w="3402" w:type="dxa"/>
            <w:tcBorders/>
            <w:shd w:val="nil" w:color="auto" w:fill="f3f6fa"/>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LDMT-NSGA-II从初始化到完整动态运行正常</w:t>
            </w:r>
          </w:p>
        </w:tc>
      </w:tr>
      <w:tr>
        <w:tblPrEx/>
        <w:trPr>
          <w:cantSplit/>
          <w:jc w:val="center"/>
        </w:trPr>
        <w:tc>
          <w:tcPr>
            <w:tcW w:w="1134" w:type="dxa"/>
            <w:tcBorders/>
            <w:tcMar>
              <w:top w:w="90" w:type="dxa"/>
              <w:left w:w="100" w:type="dxa"/>
              <w:bottom w:w="90" w:type="dxa"/>
              <w:right w:w="100" w:type="dxa"/>
            </w:tcMar>
            <w:vAlign w:val="center"/>
          </w:tcPr>
          <w:p>
            <w:pPr>
              <w:pStyle w:val="style0"/>
              <w:spacing w:after="0" w:lineRule="auto" w:line="259"/>
              <w:jc w:val="center"/>
              <w:rPr/>
            </w:pPr>
            <w:r>
              <w:rPr>
                <w:rFonts w:ascii="Times New Roman" w:eastAsia="宋体" w:hAnsi="Times New Roman"/>
                <w:sz w:val="17"/>
              </w:rPr>
              <w:t>第8周</w:t>
            </w:r>
          </w:p>
        </w:tc>
        <w:tc>
          <w:tcPr>
            <w:tcW w:w="4252" w:type="dxa"/>
            <w:tcBorders/>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冻结代码版本和参数；完成主实验第一批跑批与数据校验</w:t>
            </w:r>
          </w:p>
        </w:tc>
        <w:tc>
          <w:tcPr>
            <w:tcW w:w="3402" w:type="dxa"/>
            <w:tcBorders/>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无缺失指标、NaN或未记录随机种子的结果</w:t>
            </w:r>
          </w:p>
        </w:tc>
      </w:tr>
      <w:tr>
        <w:tblPrEx/>
        <w:trPr>
          <w:cantSplit/>
          <w:jc w:val="center"/>
        </w:trPr>
        <w:tc>
          <w:tcPr>
            <w:tcW w:w="1134" w:type="dxa"/>
            <w:tcBorders/>
            <w:shd w:val="nil" w:color="auto" w:fill="f3f6fa"/>
            <w:tcMar>
              <w:top w:w="90" w:type="dxa"/>
              <w:left w:w="100" w:type="dxa"/>
              <w:bottom w:w="90" w:type="dxa"/>
              <w:right w:w="100" w:type="dxa"/>
            </w:tcMar>
            <w:vAlign w:val="center"/>
          </w:tcPr>
          <w:p>
            <w:pPr>
              <w:pStyle w:val="style0"/>
              <w:spacing w:after="0" w:lineRule="auto" w:line="259"/>
              <w:jc w:val="center"/>
              <w:rPr/>
            </w:pPr>
            <w:r>
              <w:rPr>
                <w:rFonts w:ascii="Times New Roman" w:eastAsia="宋体" w:hAnsi="Times New Roman"/>
                <w:sz w:val="17"/>
              </w:rPr>
              <w:t>第9—10周</w:t>
            </w:r>
          </w:p>
        </w:tc>
        <w:tc>
          <w:tcPr>
            <w:tcW w:w="4252" w:type="dxa"/>
            <w:tcBorders/>
            <w:shd w:val="nil" w:color="auto" w:fill="f3f6fa"/>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完成主对比、消融、参数敏感性及补充测试；开展统计检验</w:t>
            </w:r>
          </w:p>
        </w:tc>
        <w:tc>
          <w:tcPr>
            <w:tcW w:w="3402" w:type="dxa"/>
            <w:tcBorders/>
            <w:shd w:val="nil" w:color="auto" w:fill="f3f6fa"/>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输出统计表、箱线图、IGD响应曲线和分析备注</w:t>
            </w:r>
          </w:p>
        </w:tc>
      </w:tr>
      <w:tr>
        <w:tblPrEx/>
        <w:trPr>
          <w:cantSplit/>
          <w:jc w:val="center"/>
        </w:trPr>
        <w:tc>
          <w:tcPr>
            <w:tcW w:w="1134" w:type="dxa"/>
            <w:tcBorders/>
            <w:tcMar>
              <w:top w:w="90" w:type="dxa"/>
              <w:left w:w="100" w:type="dxa"/>
              <w:bottom w:w="90" w:type="dxa"/>
              <w:right w:w="100" w:type="dxa"/>
            </w:tcMar>
            <w:vAlign w:val="center"/>
          </w:tcPr>
          <w:p>
            <w:pPr>
              <w:pStyle w:val="style0"/>
              <w:spacing w:after="0" w:lineRule="auto" w:line="259"/>
              <w:jc w:val="center"/>
              <w:rPr/>
            </w:pPr>
            <w:r>
              <w:rPr>
                <w:rFonts w:ascii="Times New Roman" w:eastAsia="宋体" w:hAnsi="Times New Roman"/>
                <w:sz w:val="17"/>
              </w:rPr>
              <w:t>第11—12周</w:t>
            </w:r>
          </w:p>
        </w:tc>
        <w:tc>
          <w:tcPr>
            <w:tcW w:w="4252" w:type="dxa"/>
            <w:tcBorders/>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撰写论文初稿，整理算法流程图、伪代码、实验图表与参考文献</w:t>
            </w:r>
          </w:p>
        </w:tc>
        <w:tc>
          <w:tcPr>
            <w:tcW w:w="3402" w:type="dxa"/>
            <w:tcBorders/>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形成结构完整的论文初稿</w:t>
            </w:r>
          </w:p>
        </w:tc>
      </w:tr>
      <w:tr>
        <w:tblPrEx/>
        <w:trPr>
          <w:cantSplit/>
          <w:jc w:val="center"/>
        </w:trPr>
        <w:tc>
          <w:tcPr>
            <w:tcW w:w="1134" w:type="dxa"/>
            <w:tcBorders/>
            <w:shd w:val="nil" w:color="auto" w:fill="f3f6fa"/>
            <w:tcMar>
              <w:top w:w="90" w:type="dxa"/>
              <w:left w:w="100" w:type="dxa"/>
              <w:bottom w:w="90" w:type="dxa"/>
              <w:right w:w="100" w:type="dxa"/>
            </w:tcMar>
            <w:vAlign w:val="center"/>
          </w:tcPr>
          <w:p>
            <w:pPr>
              <w:pStyle w:val="style0"/>
              <w:spacing w:after="0" w:lineRule="auto" w:line="259"/>
              <w:jc w:val="center"/>
              <w:rPr/>
            </w:pPr>
            <w:r>
              <w:rPr>
                <w:rFonts w:ascii="Times New Roman" w:eastAsia="宋体" w:hAnsi="Times New Roman"/>
                <w:sz w:val="17"/>
              </w:rPr>
              <w:t>第13周</w:t>
            </w:r>
          </w:p>
        </w:tc>
        <w:tc>
          <w:tcPr>
            <w:tcW w:w="4252" w:type="dxa"/>
            <w:tcBorders/>
            <w:shd w:val="nil" w:color="auto" w:fill="f3f6fa"/>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根据指导意见修改；补充缺失实验、复核参考文献和代码可复现性</w:t>
            </w:r>
          </w:p>
        </w:tc>
        <w:tc>
          <w:tcPr>
            <w:tcW w:w="3402" w:type="dxa"/>
            <w:tcBorders/>
            <w:shd w:val="nil" w:color="auto" w:fill="f3f6fa"/>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论文第二稿、代码使用说明</w:t>
            </w:r>
          </w:p>
        </w:tc>
      </w:tr>
      <w:tr>
        <w:tblPrEx/>
        <w:trPr>
          <w:cantSplit/>
          <w:jc w:val="center"/>
        </w:trPr>
        <w:tc>
          <w:tcPr>
            <w:tcW w:w="1134" w:type="dxa"/>
            <w:tcBorders/>
            <w:tcMar>
              <w:top w:w="90" w:type="dxa"/>
              <w:left w:w="100" w:type="dxa"/>
              <w:bottom w:w="90" w:type="dxa"/>
              <w:right w:w="100" w:type="dxa"/>
            </w:tcMar>
            <w:vAlign w:val="center"/>
          </w:tcPr>
          <w:p>
            <w:pPr>
              <w:pStyle w:val="style0"/>
              <w:spacing w:after="0" w:lineRule="auto" w:line="259"/>
              <w:jc w:val="center"/>
              <w:rPr/>
            </w:pPr>
            <w:r>
              <w:rPr>
                <w:rFonts w:ascii="Times New Roman" w:eastAsia="宋体" w:hAnsi="Times New Roman"/>
                <w:sz w:val="17"/>
              </w:rPr>
              <w:t>第14周</w:t>
            </w:r>
          </w:p>
        </w:tc>
        <w:tc>
          <w:tcPr>
            <w:tcW w:w="4252" w:type="dxa"/>
            <w:tcBorders/>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定稿、整理答辩PPT、准备算法演示和问题答辩</w:t>
            </w:r>
          </w:p>
        </w:tc>
        <w:tc>
          <w:tcPr>
            <w:tcW w:w="3402" w:type="dxa"/>
            <w:tcBorders/>
            <w:tcMar>
              <w:top w:w="90" w:type="dxa"/>
              <w:left w:w="100" w:type="dxa"/>
              <w:bottom w:w="90" w:type="dxa"/>
              <w:right w:w="100" w:type="dxa"/>
            </w:tcMar>
            <w:vAlign w:val="center"/>
          </w:tcPr>
          <w:p>
            <w:pPr>
              <w:pStyle w:val="style0"/>
              <w:spacing w:after="0" w:lineRule="auto" w:line="259"/>
              <w:rPr/>
            </w:pPr>
            <w:r>
              <w:rPr>
                <w:rFonts w:ascii="Times New Roman" w:eastAsia="宋体" w:hAnsi="Times New Roman"/>
                <w:sz w:val="17"/>
              </w:rPr>
              <w:t>提交论文、代码和答辩材料</w:t>
            </w:r>
          </w:p>
        </w:tc>
      </w:tr>
    </w:tbl>
    <w:p>
      <w:pPr>
        <w:pStyle w:val="style0"/>
        <w:spacing w:after="20"/>
        <w:rPr/>
      </w:pPr>
    </w:p>
    <w:p>
      <w:pPr>
        <w:pStyle w:val="style1"/>
        <w:rPr/>
      </w:pPr>
      <w:r>
        <w:t>八、参考文献</w:t>
      </w:r>
    </w:p>
    <w:p>
      <w:pPr>
        <w:pStyle w:val="style0"/>
        <w:spacing w:before="0" w:after="80" w:lineRule="auto" w:line="355"/>
        <w:ind w:firstLine="0"/>
        <w:rPr/>
      </w:pPr>
      <w:r>
        <w:rPr>
          <w:rFonts w:ascii="Times New Roman" w:eastAsia="宋体" w:hAnsi="Times New Roman"/>
          <w:sz w:val="21"/>
        </w:rPr>
        <w:t>参考文献按GB/T 7714顺序编码制列示。动态优化领域的公开研究成果中，近五年文献以2022—2026年发表的论文为主；经典算法与原始基准文献保留用于定义算法来源。建议在论文定稿前再次通过学校数据库或出版社页面核对卷期、页码及出版信息。</w:t>
      </w:r>
    </w:p>
    <w:p>
      <w:pPr>
        <w:pStyle w:val="style4116"/>
        <w:rPr/>
      </w:pPr>
      <w:r>
        <w:rPr>
          <w:rFonts w:ascii="Times New Roman" w:eastAsia="宋体" w:hAnsi="Times New Roman"/>
          <w:sz w:val="17"/>
        </w:rPr>
        <w:t>[1] DEB K, PRATAP A, AGARWAL S, et al. A fast and elitist multiobjective genetic algorithm: NSGA-II[J]. IEEE Transactions on Evolutionary Computation, 2002, 6(2): 182-197. DOI:10.1109/4235.996017.</w:t>
      </w:r>
    </w:p>
    <w:p>
      <w:pPr>
        <w:pStyle w:val="style4116"/>
        <w:rPr/>
      </w:pPr>
      <w:r>
        <w:rPr>
          <w:rFonts w:ascii="Times New Roman" w:eastAsia="宋体" w:hAnsi="Times New Roman"/>
          <w:sz w:val="17"/>
        </w:rPr>
        <w:t>[2] FARINA M, DEB K, AMATO P. Dynamic multiobjective optimization problems: test cases, approximations, and applications[J]. IEEE Transactions on Evolutionary Computation, 2004, 8(5): 425-442. DOI:10.1109/TEVC.2004.831456.</w:t>
      </w:r>
    </w:p>
    <w:p>
      <w:pPr>
        <w:pStyle w:val="style4116"/>
        <w:rPr/>
      </w:pPr>
      <w:r>
        <w:rPr>
          <w:rFonts w:ascii="Times New Roman" w:eastAsia="宋体" w:hAnsi="Times New Roman"/>
          <w:sz w:val="17"/>
        </w:rPr>
        <w:t>[3] DEB K, KARTHIK S. Dynamic multi-objective optimization and decision-making using modified NSGA-II: a case study on hydro-thermal power scheduling[C]//Evolutionary Multi-Criterion Optimization. Berlin: Springer, 2007: 803-817.</w:t>
      </w:r>
    </w:p>
    <w:p>
      <w:pPr>
        <w:pStyle w:val="style4116"/>
        <w:rPr/>
      </w:pPr>
      <w:r>
        <w:rPr>
          <w:rFonts w:ascii="Times New Roman" w:eastAsia="宋体" w:hAnsi="Times New Roman"/>
          <w:sz w:val="17"/>
        </w:rPr>
        <w:t>[4] HATZAKIS I, WALLACE D. Dynamic multi-objective optimization with evolutionary algorithms: a forward-looking approach[C]//Proceedings of the 8th Annual Conference on Genetic and Evolutionary Computation. New York: ACM, 2006: 1201-1208. DOI:10.1145/1143997.1144187.</w:t>
      </w:r>
    </w:p>
    <w:p>
      <w:pPr>
        <w:pStyle w:val="style4116"/>
        <w:rPr/>
      </w:pPr>
      <w:r>
        <w:rPr>
          <w:rFonts w:ascii="Times New Roman" w:eastAsia="宋体" w:hAnsi="Times New Roman"/>
          <w:sz w:val="17"/>
        </w:rPr>
        <w:t>[5] JIANG S, YANG S. Evolutionary dynamic multiobjective optimization: benchmarks and algorithm comparisons[J]. IEEE Transactions on Cybernetics, 2017, 47(1): 198-211. DOI:10.1109/TCYB.2016.2517552.</w:t>
      </w:r>
    </w:p>
    <w:p>
      <w:pPr>
        <w:pStyle w:val="style4116"/>
        <w:rPr/>
      </w:pPr>
      <w:r>
        <w:rPr>
          <w:rFonts w:ascii="Times New Roman" w:eastAsia="宋体" w:hAnsi="Times New Roman"/>
          <w:sz w:val="17"/>
        </w:rPr>
        <w:t>[6] TIAN Y, CHENG R, ZHANG X, et al. PlatEMO: A MATLAB platform for evolutionary multi-objective optimization[J]. IEEE Computational Intelligence Magazine, 2017, 12(4): 73-87.</w:t>
      </w:r>
    </w:p>
    <w:p>
      <w:pPr>
        <w:pStyle w:val="style4116"/>
        <w:rPr/>
      </w:pPr>
      <w:r>
        <w:rPr>
          <w:rFonts w:ascii="Times New Roman" w:eastAsia="宋体" w:hAnsi="Times New Roman"/>
          <w:sz w:val="17"/>
        </w:rPr>
        <w:t>[7] JIANG S, ZOU J, YANG S, et al. Evolutionary dynamic multi-objective optimisation: a survey[J]. ACM Computing Surveys, 2023, 55(4): Article 76. DOI:10.1145/3524495.</w:t>
      </w:r>
    </w:p>
    <w:p>
      <w:pPr>
        <w:pStyle w:val="style4116"/>
        <w:rPr/>
      </w:pPr>
      <w:r>
        <w:rPr>
          <w:rFonts w:ascii="Times New Roman" w:eastAsia="宋体" w:hAnsi="Times New Roman"/>
          <w:sz w:val="17"/>
        </w:rPr>
        <w:t>[8] ZHENG J, WU Q, ZOU J, et al. A dynamic multi-objective evolutionary algorithm using adaptive reference vector and linear prediction[J]. Swarm and Evolutionary Computation, 2023, 78: 101281. DOI:10.1016/j.swevo.2023.101281.</w:t>
      </w:r>
    </w:p>
    <w:p>
      <w:pPr>
        <w:pStyle w:val="style4116"/>
        <w:rPr/>
      </w:pPr>
      <w:r>
        <w:rPr>
          <w:rFonts w:ascii="Times New Roman" w:eastAsia="宋体" w:hAnsi="Times New Roman"/>
          <w:sz w:val="17"/>
        </w:rPr>
        <w:t>[9] ZHANG X, YU G, JIN Y, et al. Elitism-based transfer learning and diversity maintenance for dynamic multi-objective optimization[J]. Information Sciences, 2023, 636: 118927. DOI:10.1016/j.ins.2023.04.006.</w:t>
      </w:r>
    </w:p>
    <w:p>
      <w:pPr>
        <w:pStyle w:val="style4116"/>
        <w:rPr/>
      </w:pPr>
      <w:r>
        <w:rPr>
          <w:rFonts w:ascii="Times New Roman" w:eastAsia="宋体" w:hAnsi="Times New Roman"/>
          <w:sz w:val="17"/>
        </w:rPr>
        <w:t>[10] WU L, WU D, ZHAO T, et al. Dynamic multi-objective evolutionary algorithm based on knowledge transfer[J]. Information Sciences, 2023, 636: 118886. DOI:10.1016/j.ins.2023.03.111.</w:t>
      </w:r>
    </w:p>
    <w:p>
      <w:pPr>
        <w:pStyle w:val="style4116"/>
        <w:rPr/>
      </w:pPr>
      <w:r>
        <w:rPr>
          <w:rFonts w:ascii="Times New Roman" w:eastAsia="宋体" w:hAnsi="Times New Roman"/>
          <w:sz w:val="17"/>
        </w:rPr>
        <w:t>[11] WU F, CHEN J, WANG W. A dynamic multi-objective evolutionary algorithm based on prediction[J]. Journal of Computational Design and Engineering, 2023, 10(1): 1-15. DOI:10.1093/jcde/qwac124.</w:t>
      </w:r>
    </w:p>
    <w:p>
      <w:pPr>
        <w:pStyle w:val="style4116"/>
        <w:rPr/>
      </w:pPr>
      <w:r>
        <w:rPr>
          <w:rFonts w:ascii="Times New Roman" w:eastAsia="宋体" w:hAnsi="Times New Roman"/>
          <w:sz w:val="17"/>
        </w:rPr>
        <w:t>[12] YANG J, ZOU J, YANG S, et al. A particle swarm algorithm based on the dual search strategy for dynamic multi-objective optimization[J]. Swarm and Evolutionary Computation, 2023, 83: 101385. DOI:10.1016/j.swevo.2023.101385.</w:t>
      </w:r>
    </w:p>
    <w:p>
      <w:pPr>
        <w:pStyle w:val="style4116"/>
        <w:rPr/>
      </w:pPr>
      <w:r>
        <w:rPr>
          <w:rFonts w:ascii="Times New Roman" w:eastAsia="宋体" w:hAnsi="Times New Roman"/>
          <w:sz w:val="17"/>
        </w:rPr>
        <w:t>[13] WANG M, LI B, DAI G, et al. A dynamic multi-objective optimization algorithm with a dual mechanism based on prediction and archive[J]. Swarm and Evolutionary Computation, 2024, 90: 101693. DOI:10.1016/j.swevo.2024.101693.</w:t>
      </w:r>
    </w:p>
    <w:p>
      <w:pPr>
        <w:pStyle w:val="style4116"/>
        <w:rPr/>
      </w:pPr>
      <w:r>
        <w:rPr>
          <w:rFonts w:ascii="Times New Roman" w:eastAsia="宋体" w:hAnsi="Times New Roman"/>
          <w:sz w:val="17"/>
        </w:rPr>
        <w:t>[14] SUN B, ZHANG C, ZHAO H, et al. Scalable benchmarks and performance measures for dynamic multi-objective optimization[J]. Applied Soft Computing, 2024, 159: 111600. DOI:10.1016/j.asoc.2024.111600.</w:t>
      </w:r>
    </w:p>
    <w:p>
      <w:pPr>
        <w:pStyle w:val="style4116"/>
        <w:rPr/>
      </w:pPr>
      <w:r>
        <w:rPr>
          <w:rFonts w:ascii="Times New Roman" w:eastAsia="宋体" w:hAnsi="Times New Roman"/>
          <w:sz w:val="17"/>
        </w:rPr>
        <w:t>[15] LI H, WANG Z, ZENG N, et al. Promoting objective knowledge transfer: a cascaded fuzzy system for solving dynamic multiobjective optimization problems[J]. IEEE Transactions on Fuzzy Systems, 2024, 32(11): 6199-6213. DOI:10.1109/TFUZZ.2024.3443207.</w:t>
      </w:r>
    </w:p>
    <w:p>
      <w:pPr>
        <w:pStyle w:val="style4116"/>
        <w:rPr/>
      </w:pPr>
      <w:r>
        <w:rPr>
          <w:rFonts w:ascii="Times New Roman" w:eastAsia="宋体" w:hAnsi="Times New Roman"/>
          <w:sz w:val="17"/>
        </w:rPr>
        <w:t>[16] ZOU J, HOU Z, JIANG S, et al. Knowledge transfer with mixture model in dynamic multiobjective optimization[J]. IEEE Transactions on Evolutionary Computation, 2025, 29(5): 1517-1530. DOI:10.1109/TEVC.2025.3566481.</w:t>
      </w:r>
    </w:p>
    <w:p>
      <w:pPr>
        <w:pStyle w:val="style4116"/>
        <w:rPr/>
      </w:pPr>
      <w:r>
        <w:rPr>
          <w:rFonts w:ascii="Times New Roman" w:eastAsia="宋体" w:hAnsi="Times New Roman"/>
          <w:sz w:val="17"/>
        </w:rPr>
        <w:t>[17] GONG Q, XIA Y, ZOU J, et al. Enhancing dynamic constrained multiobjective optimization with multicenters-based prediction[J]. IEEE Transactions on Evolutionary Computation, 2025, 29(5): 1604-1618. DOI:10.1109/TEVC.2025.3551399.</w:t>
      </w:r>
    </w:p>
    <w:p>
      <w:pPr>
        <w:pStyle w:val="style4116"/>
        <w:rPr/>
      </w:pPr>
      <w:r>
        <w:rPr>
          <w:rFonts w:ascii="Times New Roman" w:eastAsia="宋体" w:hAnsi="Times New Roman"/>
          <w:sz w:val="17"/>
        </w:rPr>
        <w:t>[18] GAO K, JIANG W, XU L. Evolutionary dynamic multiobjective optimization using a Bayesian vector autoregression prediction model[J]. Engineering Applications of Artificial Intelligence, 2025, 159: 111696. DOI:10.1016/j.engappai.2025.111696.</w:t>
      </w:r>
    </w:p>
    <w:p>
      <w:pPr>
        <w:pStyle w:val="style4116"/>
        <w:rPr/>
      </w:pPr>
      <w:r>
        <w:rPr>
          <w:rFonts w:ascii="Times New Roman" w:eastAsia="宋体" w:hAnsi="Times New Roman"/>
          <w:sz w:val="17"/>
        </w:rPr>
        <w:t>[19] RUAN G, TONG H, LIU J, et al. Computational studies on dynamic multi-objective optimization with feature representation transfer[J]. IEEE Transactions on Evolutionary Computation, 2026. DOI:10.1109/TEVC.2026.3676021.</w:t>
      </w:r>
    </w:p>
    <w:p>
      <w:pPr>
        <w:pStyle w:val="style4116"/>
        <w:rPr/>
      </w:pPr>
      <w:r>
        <w:rPr>
          <w:rFonts w:ascii="Times New Roman" w:eastAsia="宋体" w:hAnsi="Times New Roman"/>
          <w:sz w:val="17"/>
        </w:rPr>
        <w:t>[20] 郭一楠, 汤万宝, 陈国玉, 等. 动态多目标进化优化研究进展[J]. 信息与控制, 2021, 50(2): 162-173. DOI:10.13976/j.cnki.xk.2021.0556.</w:t>
      </w:r>
    </w:p>
    <w:p>
      <w:pPr>
        <w:pStyle w:val="style4116"/>
        <w:rPr/>
      </w:pPr>
      <w:r>
        <w:rPr>
          <w:rFonts w:ascii="Times New Roman" w:eastAsia="宋体" w:hAnsi="Times New Roman"/>
          <w:sz w:val="17"/>
        </w:rPr>
        <w:t>[21] RUAN G, YU G, ZHENG J, et al. The effect of diversity maintenance on prediction in dynamic multi-objective optimization[J]. Applied Soft Computing, 2017, 58: 631-647. DOI:10.1016/j.asoc.2017.05.008.</w:t>
      </w:r>
    </w:p>
    <w:p>
      <w:pPr>
        <w:pStyle w:val="style1"/>
        <w:rPr/>
      </w:pPr>
      <w:r>
        <w:t>附录A：正式实验前检查清单</w:t>
      </w:r>
    </w:p>
    <w:p>
      <w:pPr>
        <w:pStyle w:val="style0"/>
        <w:spacing w:after="80"/>
        <w:ind w:left="340" w:hanging="227"/>
        <w:rPr/>
      </w:pPr>
      <w:r>
        <w:rPr>
          <w:rFonts w:ascii="Times New Roman" w:eastAsia="宋体" w:hAnsi="Times New Roman"/>
          <w:sz w:val="20"/>
        </w:rPr>
        <w:t>□ 已保存各FDA/dMOP函数的来源、版本、变量维度、目标维度、边界、时间参数公式及真实PF采样方式。</w:t>
      </w:r>
    </w:p>
    <w:p>
      <w:pPr>
        <w:pStyle w:val="style0"/>
        <w:spacing w:after="80"/>
        <w:ind w:left="340" w:hanging="227"/>
        <w:rPr/>
      </w:pPr>
      <w:r>
        <w:rPr>
          <w:rFonts w:ascii="Times New Roman" w:eastAsia="宋体" w:hAnsi="Times New Roman"/>
          <w:sz w:val="20"/>
        </w:rPr>
        <w:t>□ 静态NSGA-II在静态测试问题上通过基本正确性检查；非支配排序、拥挤距离、交叉和变异行为无明显实现错误。</w:t>
      </w:r>
    </w:p>
    <w:p>
      <w:pPr>
        <w:pStyle w:val="style0"/>
        <w:spacing w:after="80"/>
        <w:ind w:left="340" w:hanging="227"/>
        <w:rPr/>
      </w:pPr>
      <w:r>
        <w:rPr>
          <w:rFonts w:ascii="Times New Roman" w:eastAsia="宋体" w:hAnsi="Times New Roman"/>
          <w:sz w:val="20"/>
        </w:rPr>
        <w:t>□ 环境变化发生时已重新评估所有现存种群个体，指标参考集已切换为当前环境对应的参考PF。</w:t>
      </w:r>
    </w:p>
    <w:p>
      <w:pPr>
        <w:pStyle w:val="style0"/>
        <w:spacing w:after="80"/>
        <w:ind w:left="340" w:hanging="227"/>
        <w:rPr/>
      </w:pPr>
      <w:r>
        <w:rPr>
          <w:rFonts w:ascii="Times New Roman" w:eastAsia="宋体" w:hAnsi="Times New Roman"/>
          <w:sz w:val="20"/>
        </w:rPr>
        <w:t>□ 各算法使用同一总进化代数、种群规模、环境变化时刻、探针集、随机种子编号和遗传算子参数。</w:t>
      </w:r>
    </w:p>
    <w:p>
      <w:pPr>
        <w:pStyle w:val="style0"/>
        <w:spacing w:after="80"/>
        <w:ind w:left="340" w:hanging="227"/>
        <w:rPr/>
      </w:pPr>
      <w:r>
        <w:rPr>
          <w:rFonts w:ascii="Times New Roman" w:eastAsia="宋体" w:hAnsi="Times New Roman"/>
          <w:sz w:val="20"/>
        </w:rPr>
        <w:t>□ GMM迁移、AR预测和所提LDMT算法均记录额外操作时间；GMM基线明确标记为项目对照实现，而非原文复现。</w:t>
      </w:r>
    </w:p>
    <w:p>
      <w:pPr>
        <w:pStyle w:val="style0"/>
        <w:spacing w:after="80"/>
        <w:ind w:left="340" w:hanging="227"/>
        <w:rPr/>
      </w:pPr>
      <w:r>
        <w:rPr>
          <w:rFonts w:ascii="Times New Roman" w:eastAsia="宋体" w:hAnsi="Times New Roman"/>
          <w:sz w:val="20"/>
        </w:rPr>
        <w:t>□ IGD参考集、HV目标归一化尺度和HV参考点已固定，且对全部算法一致。</w:t>
      </w:r>
    </w:p>
    <w:p>
      <w:pPr>
        <w:pStyle w:val="style0"/>
        <w:spacing w:after="80"/>
        <w:ind w:left="340" w:hanging="227"/>
        <w:rPr/>
      </w:pPr>
      <w:r>
        <w:rPr>
          <w:rFonts w:ascii="Times New Roman" w:eastAsia="宋体" w:hAnsi="Times New Roman"/>
          <w:sz w:val="20"/>
        </w:rPr>
        <w:t>□ 正式实验每组30次运行，缺失值、异常终止、边界裁剪率和模型拟合失败均有记录。</w:t>
      </w:r>
    </w:p>
    <w:p>
      <w:pPr>
        <w:pStyle w:val="style0"/>
        <w:spacing w:after="80"/>
        <w:ind w:left="340" w:hanging="227"/>
        <w:rPr/>
      </w:pPr>
      <w:r>
        <w:rPr>
          <w:rFonts w:ascii="Times New Roman" w:eastAsia="宋体" w:hAnsi="Times New Roman"/>
          <w:sz w:val="20"/>
        </w:rPr>
        <w:t>□ 运行日志包含版本号、种子、参数、耗时、函数评估次数和环境采样点；图表全部由原始CSV生成。</w:t>
      </w:r>
    </w:p>
    <w:p>
      <w:pPr>
        <w:pStyle w:val="style0"/>
        <w:spacing w:after="80"/>
        <w:ind w:left="340" w:hanging="227"/>
        <w:rPr/>
      </w:pPr>
      <w:r>
        <w:rPr>
          <w:rFonts w:ascii="Times New Roman" w:eastAsia="宋体" w:hAnsi="Times New Roman"/>
          <w:sz w:val="20"/>
        </w:rPr>
        <w:t>□ 文中对“渐变环境”“算法创新”“显著提升”等表述均与实际定义、文献来源或真实实验结果一致。</w:t>
      </w:r>
    </w:p>
    <w:p>
      <w:pPr>
        <w:pStyle w:val="style0"/>
        <w:rPr/>
      </w:pPr>
      <w:r>
        <w:br w:type="page"/>
      </w:r>
    </w:p>
    <w:p>
      <w:pPr>
        <w:pStyle w:val="style1"/>
        <w:rPr/>
      </w:pPr>
      <w:r>
        <w:t>附录B：建议的代码目录与结果归档结构</w:t>
      </w:r>
    </w:p>
    <w:p>
      <w:pPr>
        <w:pStyle w:val="style0"/>
        <w:spacing w:after="100" w:lineRule="auto" w:line="269"/>
        <w:ind w:left="340"/>
        <w:rPr/>
      </w:pPr>
      <w:r>
        <w:rPr>
          <w:rFonts w:ascii="Times New Roman" w:eastAsia="Consolas" w:hAnsi="Times New Roman"/>
          <w:color w:val="283746"/>
          <w:sz w:val="17"/>
        </w:rPr>
        <w:t>ldmt_dmoea/</w:t>
      </w:r>
      <w:r>
        <w:rPr>
          <w:rFonts w:ascii="Times New Roman" w:eastAsia="Consolas" w:hAnsi="Times New Roman"/>
          <w:color w:val="283746"/>
          <w:sz w:val="17"/>
        </w:rPr>
        <w:br/>
      </w:r>
      <w:r>
        <w:rPr>
          <w:rFonts w:ascii="Times New Roman" w:eastAsia="Consolas" w:hAnsi="Times New Roman"/>
          <w:color w:val="283746"/>
          <w:sz w:val="17"/>
        </w:rPr>
        <w:t xml:space="preserve">  configs/</w:t>
      </w:r>
      <w:r>
        <w:rPr>
          <w:rFonts w:ascii="Times New Roman" w:eastAsia="Consolas" w:hAnsi="Times New Roman"/>
          <w:color w:val="283746"/>
          <w:sz w:val="17"/>
        </w:rPr>
        <w:br/>
      </w:r>
      <w:r>
        <w:rPr>
          <w:rFonts w:ascii="Times New Roman" w:eastAsia="Consolas" w:hAnsi="Times New Roman"/>
          <w:color w:val="283746"/>
          <w:sz w:val="17"/>
        </w:rPr>
        <w:t xml:space="preserve">    main_experiment.yaml</w:t>
      </w:r>
      <w:r>
        <w:rPr>
          <w:rFonts w:ascii="Times New Roman" w:eastAsia="Consolas" w:hAnsi="Times New Roman"/>
          <w:color w:val="283746"/>
          <w:sz w:val="17"/>
        </w:rPr>
        <w:br/>
      </w:r>
      <w:r>
        <w:rPr>
          <w:rFonts w:ascii="Times New Roman" w:eastAsia="Consolas" w:hAnsi="Times New Roman"/>
          <w:color w:val="283746"/>
          <w:sz w:val="17"/>
        </w:rPr>
        <w:t xml:space="preserve">    ablation.yaml</w:t>
      </w:r>
      <w:r>
        <w:rPr>
          <w:rFonts w:ascii="Times New Roman" w:eastAsia="Consolas" w:hAnsi="Times New Roman"/>
          <w:color w:val="283746"/>
          <w:sz w:val="17"/>
        </w:rPr>
        <w:br/>
      </w:r>
      <w:r>
        <w:rPr>
          <w:rFonts w:ascii="Times New Roman" w:eastAsia="Consolas" w:hAnsi="Times New Roman"/>
          <w:color w:val="283746"/>
          <w:sz w:val="17"/>
        </w:rPr>
        <w:t xml:space="preserve">    sensitivity.yaml</w:t>
      </w:r>
      <w:r>
        <w:rPr>
          <w:rFonts w:ascii="Times New Roman" w:eastAsia="Consolas" w:hAnsi="Times New Roman"/>
          <w:color w:val="283746"/>
          <w:sz w:val="17"/>
        </w:rPr>
        <w:br/>
      </w:r>
      <w:r>
        <w:rPr>
          <w:rFonts w:ascii="Times New Roman" w:eastAsia="Consolas" w:hAnsi="Times New Roman"/>
          <w:color w:val="283746"/>
          <w:sz w:val="17"/>
        </w:rPr>
        <w:t xml:space="preserve">  problems/</w:t>
      </w:r>
      <w:r>
        <w:rPr>
          <w:rFonts w:ascii="Times New Roman" w:eastAsia="Consolas" w:hAnsi="Times New Roman"/>
          <w:color w:val="283746"/>
          <w:sz w:val="17"/>
        </w:rPr>
        <w:br/>
      </w:r>
      <w:r>
        <w:rPr>
          <w:rFonts w:ascii="Times New Roman" w:eastAsia="Consolas" w:hAnsi="Times New Roman"/>
          <w:color w:val="283746"/>
          <w:sz w:val="17"/>
        </w:rPr>
        <w:t xml:space="preserve">    fda1.py</w:t>
      </w:r>
      <w:r>
        <w:rPr>
          <w:rFonts w:ascii="Times New Roman" w:eastAsia="Consolas" w:hAnsi="Times New Roman"/>
          <w:color w:val="283746"/>
          <w:sz w:val="17"/>
        </w:rPr>
        <w:br/>
      </w:r>
      <w:r>
        <w:rPr>
          <w:rFonts w:ascii="Times New Roman" w:eastAsia="Consolas" w:hAnsi="Times New Roman"/>
          <w:color w:val="283746"/>
          <w:sz w:val="17"/>
        </w:rPr>
        <w:t xml:space="preserve">    fda3.py</w:t>
      </w:r>
      <w:r>
        <w:rPr>
          <w:rFonts w:ascii="Times New Roman" w:eastAsia="Consolas" w:hAnsi="Times New Roman"/>
          <w:color w:val="283746"/>
          <w:sz w:val="17"/>
        </w:rPr>
        <w:br/>
      </w:r>
      <w:r>
        <w:rPr>
          <w:rFonts w:ascii="Times New Roman" w:eastAsia="Consolas" w:hAnsi="Times New Roman"/>
          <w:color w:val="283746"/>
          <w:sz w:val="17"/>
        </w:rPr>
        <w:t xml:space="preserve">    fda4.py</w:t>
      </w:r>
      <w:r>
        <w:rPr>
          <w:rFonts w:ascii="Times New Roman" w:eastAsia="Consolas" w:hAnsi="Times New Roman"/>
          <w:color w:val="283746"/>
          <w:sz w:val="17"/>
        </w:rPr>
        <w:br/>
      </w:r>
      <w:r>
        <w:rPr>
          <w:rFonts w:ascii="Times New Roman" w:eastAsia="Consolas" w:hAnsi="Times New Roman"/>
          <w:color w:val="283746"/>
          <w:sz w:val="17"/>
        </w:rPr>
        <w:t xml:space="preserve">    dmop1.py</w:t>
      </w:r>
      <w:r>
        <w:rPr>
          <w:rFonts w:ascii="Times New Roman" w:eastAsia="Consolas" w:hAnsi="Times New Roman"/>
          <w:color w:val="283746"/>
          <w:sz w:val="17"/>
        </w:rPr>
        <w:br/>
      </w:r>
      <w:r>
        <w:rPr>
          <w:rFonts w:ascii="Times New Roman" w:eastAsia="Consolas" w:hAnsi="Times New Roman"/>
          <w:color w:val="283746"/>
          <w:sz w:val="17"/>
        </w:rPr>
        <w:t xml:space="preserve">    dmop2.py</w:t>
      </w:r>
      <w:r>
        <w:rPr>
          <w:rFonts w:ascii="Times New Roman" w:eastAsia="Consolas" w:hAnsi="Times New Roman"/>
          <w:color w:val="283746"/>
          <w:sz w:val="17"/>
        </w:rPr>
        <w:br/>
      </w:r>
      <w:r>
        <w:rPr>
          <w:rFonts w:ascii="Times New Roman" w:eastAsia="Consolas" w:hAnsi="Times New Roman"/>
          <w:color w:val="283746"/>
          <w:sz w:val="17"/>
        </w:rPr>
        <w:t xml:space="preserve">  algorithms/</w:t>
      </w:r>
      <w:r>
        <w:rPr>
          <w:rFonts w:ascii="Times New Roman" w:eastAsia="Consolas" w:hAnsi="Times New Roman"/>
          <w:color w:val="283746"/>
          <w:sz w:val="17"/>
        </w:rPr>
        <w:br/>
      </w:r>
      <w:r>
        <w:rPr>
          <w:rFonts w:ascii="Times New Roman" w:eastAsia="Consolas" w:hAnsi="Times New Roman"/>
          <w:color w:val="283746"/>
          <w:sz w:val="17"/>
        </w:rPr>
        <w:t xml:space="preserve">    nsga2_core.py</w:t>
      </w:r>
      <w:r>
        <w:rPr>
          <w:rFonts w:ascii="Times New Roman" w:eastAsia="Consolas" w:hAnsi="Times New Roman"/>
          <w:color w:val="283746"/>
          <w:sz w:val="17"/>
        </w:rPr>
        <w:br/>
      </w:r>
      <w:r>
        <w:rPr>
          <w:rFonts w:ascii="Times New Roman" w:eastAsia="Consolas" w:hAnsi="Times New Roman"/>
          <w:color w:val="283746"/>
          <w:sz w:val="17"/>
        </w:rPr>
        <w:t xml:space="preserve">    dnsga2_response.py</w:t>
      </w:r>
      <w:r>
        <w:rPr>
          <w:rFonts w:ascii="Times New Roman" w:eastAsia="Consolas" w:hAnsi="Times New Roman"/>
          <w:color w:val="283746"/>
          <w:sz w:val="17"/>
        </w:rPr>
        <w:br/>
      </w:r>
      <w:r>
        <w:rPr>
          <w:rFonts w:ascii="Times New Roman" w:eastAsia="Consolas" w:hAnsi="Times New Roman"/>
          <w:color w:val="283746"/>
          <w:sz w:val="17"/>
        </w:rPr>
        <w:t xml:space="preserve">    ar_nsga2.py</w:t>
      </w:r>
      <w:r>
        <w:rPr>
          <w:rFonts w:ascii="Times New Roman" w:eastAsia="Consolas" w:hAnsi="Times New Roman"/>
          <w:color w:val="283746"/>
          <w:sz w:val="17"/>
        </w:rPr>
        <w:br/>
      </w:r>
      <w:r>
        <w:rPr>
          <w:rFonts w:ascii="Times New Roman" w:eastAsia="Consolas" w:hAnsi="Times New Roman"/>
          <w:color w:val="283746"/>
          <w:sz w:val="17"/>
        </w:rPr>
        <w:t xml:space="preserve">    gmm_transfer_nsga2.py</w:t>
      </w:r>
      <w:r>
        <w:rPr>
          <w:rFonts w:ascii="Times New Roman" w:eastAsia="Consolas" w:hAnsi="Times New Roman"/>
          <w:color w:val="283746"/>
          <w:sz w:val="17"/>
        </w:rPr>
        <w:br/>
      </w:r>
      <w:r>
        <w:rPr>
          <w:rFonts w:ascii="Times New Roman" w:eastAsia="Consolas" w:hAnsi="Times New Roman"/>
          <w:color w:val="283746"/>
          <w:sz w:val="17"/>
        </w:rPr>
        <w:t xml:space="preserve">    ldmt_nsga2.py</w:t>
      </w:r>
      <w:r>
        <w:rPr>
          <w:rFonts w:ascii="Times New Roman" w:eastAsia="Consolas" w:hAnsi="Times New Roman"/>
          <w:color w:val="283746"/>
          <w:sz w:val="17"/>
        </w:rPr>
        <w:br/>
      </w:r>
      <w:r>
        <w:rPr>
          <w:rFonts w:ascii="Times New Roman" w:eastAsia="Consolas" w:hAnsi="Times New Roman"/>
          <w:color w:val="283746"/>
          <w:sz w:val="17"/>
        </w:rPr>
        <w:t xml:space="preserve">    distribution_features.py</w:t>
      </w:r>
      <w:r>
        <w:rPr>
          <w:rFonts w:ascii="Times New Roman" w:eastAsia="Consolas" w:hAnsi="Times New Roman"/>
          <w:color w:val="283746"/>
          <w:sz w:val="17"/>
        </w:rPr>
        <w:br/>
      </w:r>
      <w:r>
        <w:rPr>
          <w:rFonts w:ascii="Times New Roman" w:eastAsia="Consolas" w:hAnsi="Times New Roman"/>
          <w:color w:val="283746"/>
          <w:sz w:val="17"/>
        </w:rPr>
        <w:t xml:space="preserve">  evaluation/</w:t>
      </w:r>
      <w:r>
        <w:rPr>
          <w:rFonts w:ascii="Times New Roman" w:eastAsia="Consolas" w:hAnsi="Times New Roman"/>
          <w:color w:val="283746"/>
          <w:sz w:val="17"/>
        </w:rPr>
        <w:br/>
      </w:r>
      <w:r>
        <w:rPr>
          <w:rFonts w:ascii="Times New Roman" w:eastAsia="Consolas" w:hAnsi="Times New Roman"/>
          <w:color w:val="283746"/>
          <w:sz w:val="17"/>
        </w:rPr>
        <w:t xml:space="preserve">    igd.py</w:t>
      </w:r>
      <w:r>
        <w:rPr>
          <w:rFonts w:ascii="Times New Roman" w:eastAsia="Consolas" w:hAnsi="Times New Roman"/>
          <w:color w:val="283746"/>
          <w:sz w:val="17"/>
        </w:rPr>
        <w:br/>
      </w:r>
      <w:r>
        <w:rPr>
          <w:rFonts w:ascii="Times New Roman" w:eastAsia="Consolas" w:hAnsi="Times New Roman"/>
          <w:color w:val="283746"/>
          <w:sz w:val="17"/>
        </w:rPr>
        <w:t xml:space="preserve">    hv.py</w:t>
      </w:r>
      <w:r>
        <w:rPr>
          <w:rFonts w:ascii="Times New Roman" w:eastAsia="Consolas" w:hAnsi="Times New Roman"/>
          <w:color w:val="283746"/>
          <w:sz w:val="17"/>
        </w:rPr>
        <w:br/>
      </w:r>
      <w:r>
        <w:rPr>
          <w:rFonts w:ascii="Times New Roman" w:eastAsia="Consolas" w:hAnsi="Times New Roman"/>
          <w:color w:val="283746"/>
          <w:sz w:val="17"/>
        </w:rPr>
        <w:t xml:space="preserve">    reference_front.py</w:t>
      </w:r>
      <w:r>
        <w:rPr>
          <w:rFonts w:ascii="Times New Roman" w:eastAsia="Consolas" w:hAnsi="Times New Roman"/>
          <w:color w:val="283746"/>
          <w:sz w:val="17"/>
        </w:rPr>
        <w:br/>
      </w:r>
      <w:r>
        <w:rPr>
          <w:rFonts w:ascii="Times New Roman" w:eastAsia="Consolas" w:hAnsi="Times New Roman"/>
          <w:color w:val="283746"/>
          <w:sz w:val="17"/>
        </w:rPr>
        <w:t xml:space="preserve">    statistics.py</w:t>
      </w:r>
      <w:r>
        <w:rPr>
          <w:rFonts w:ascii="Times New Roman" w:eastAsia="Consolas" w:hAnsi="Times New Roman"/>
          <w:color w:val="283746"/>
          <w:sz w:val="17"/>
        </w:rPr>
        <w:br/>
      </w:r>
      <w:r>
        <w:rPr>
          <w:rFonts w:ascii="Times New Roman" w:eastAsia="Consolas" w:hAnsi="Times New Roman"/>
          <w:color w:val="283746"/>
          <w:sz w:val="17"/>
        </w:rPr>
        <w:t xml:space="preserve">  experiments/</w:t>
      </w:r>
      <w:r>
        <w:rPr>
          <w:rFonts w:ascii="Times New Roman" w:eastAsia="Consolas" w:hAnsi="Times New Roman"/>
          <w:color w:val="283746"/>
          <w:sz w:val="17"/>
        </w:rPr>
        <w:br/>
      </w:r>
      <w:r>
        <w:rPr>
          <w:rFonts w:ascii="Times New Roman" w:eastAsia="Consolas" w:hAnsi="Times New Roman"/>
          <w:color w:val="283746"/>
          <w:sz w:val="17"/>
        </w:rPr>
        <w:t xml:space="preserve">    run_comparison.py</w:t>
      </w:r>
      <w:r>
        <w:rPr>
          <w:rFonts w:ascii="Times New Roman" w:eastAsia="Consolas" w:hAnsi="Times New Roman"/>
          <w:color w:val="283746"/>
          <w:sz w:val="17"/>
        </w:rPr>
        <w:br/>
      </w:r>
      <w:r>
        <w:rPr>
          <w:rFonts w:ascii="Times New Roman" w:eastAsia="Consolas" w:hAnsi="Times New Roman"/>
          <w:color w:val="283746"/>
          <w:sz w:val="17"/>
        </w:rPr>
        <w:t xml:space="preserve">    run_ablation.py</w:t>
      </w:r>
      <w:r>
        <w:rPr>
          <w:rFonts w:ascii="Times New Roman" w:eastAsia="Consolas" w:hAnsi="Times New Roman"/>
          <w:color w:val="283746"/>
          <w:sz w:val="17"/>
        </w:rPr>
        <w:br/>
      </w:r>
      <w:r>
        <w:rPr>
          <w:rFonts w:ascii="Times New Roman" w:eastAsia="Consolas" w:hAnsi="Times New Roman"/>
          <w:color w:val="283746"/>
          <w:sz w:val="17"/>
        </w:rPr>
        <w:t xml:space="preserve">    run_sensitivity.py</w:t>
      </w:r>
      <w:r>
        <w:rPr>
          <w:rFonts w:ascii="Times New Roman" w:eastAsia="Consolas" w:hAnsi="Times New Roman"/>
          <w:color w:val="283746"/>
          <w:sz w:val="17"/>
        </w:rPr>
        <w:br/>
      </w:r>
      <w:r>
        <w:rPr>
          <w:rFonts w:ascii="Times New Roman" w:eastAsia="Consolas" w:hAnsi="Times New Roman"/>
          <w:color w:val="283746"/>
          <w:sz w:val="17"/>
        </w:rPr>
        <w:t xml:space="preserve">  results/</w:t>
      </w:r>
      <w:r>
        <w:rPr>
          <w:rFonts w:ascii="Times New Roman" w:eastAsia="Consolas" w:hAnsi="Times New Roman"/>
          <w:color w:val="283746"/>
          <w:sz w:val="17"/>
        </w:rPr>
        <w:br/>
      </w:r>
      <w:r>
        <w:rPr>
          <w:rFonts w:ascii="Times New Roman" w:eastAsia="Consolas" w:hAnsi="Times New Roman"/>
          <w:color w:val="283746"/>
          <w:sz w:val="17"/>
        </w:rPr>
        <w:t xml:space="preserve">    raw/</w:t>
      </w:r>
      <w:r>
        <w:rPr>
          <w:rFonts w:ascii="Times New Roman" w:eastAsia="Consolas" w:hAnsi="Times New Roman"/>
          <w:color w:val="283746"/>
          <w:sz w:val="17"/>
        </w:rPr>
        <w:br/>
      </w:r>
      <w:r>
        <w:rPr>
          <w:rFonts w:ascii="Times New Roman" w:eastAsia="Consolas" w:hAnsi="Times New Roman"/>
          <w:color w:val="283746"/>
          <w:sz w:val="17"/>
        </w:rPr>
        <w:t xml:space="preserve">    summary/</w:t>
      </w:r>
      <w:r>
        <w:rPr>
          <w:rFonts w:ascii="Times New Roman" w:eastAsia="Consolas" w:hAnsi="Times New Roman"/>
          <w:color w:val="283746"/>
          <w:sz w:val="17"/>
        </w:rPr>
        <w:br/>
      </w:r>
      <w:r>
        <w:rPr>
          <w:rFonts w:ascii="Times New Roman" w:eastAsia="Consolas" w:hAnsi="Times New Roman"/>
          <w:color w:val="283746"/>
          <w:sz w:val="17"/>
        </w:rPr>
        <w:t xml:space="preserve">    figures/</w:t>
      </w:r>
      <w:r>
        <w:rPr>
          <w:rFonts w:ascii="Times New Roman" w:eastAsia="Consolas" w:hAnsi="Times New Roman"/>
          <w:color w:val="283746"/>
          <w:sz w:val="17"/>
        </w:rPr>
        <w:br/>
      </w:r>
      <w:r>
        <w:rPr>
          <w:rFonts w:ascii="Times New Roman" w:eastAsia="Consolas" w:hAnsi="Times New Roman"/>
          <w:color w:val="283746"/>
          <w:sz w:val="17"/>
        </w:rPr>
        <w:t xml:space="preserve">  tests/</w:t>
      </w:r>
      <w:r>
        <w:rPr>
          <w:rFonts w:ascii="Times New Roman" w:eastAsia="Consolas" w:hAnsi="Times New Roman"/>
          <w:color w:val="283746"/>
          <w:sz w:val="17"/>
        </w:rPr>
        <w:br/>
      </w:r>
      <w:r>
        <w:rPr>
          <w:rFonts w:ascii="Times New Roman" w:eastAsia="Consolas" w:hAnsi="Times New Roman"/>
          <w:color w:val="283746"/>
          <w:sz w:val="17"/>
        </w:rPr>
        <w:t xml:space="preserve">    test_problem_dimensions.py</w:t>
      </w:r>
      <w:r>
        <w:rPr>
          <w:rFonts w:ascii="Times New Roman" w:eastAsia="Consolas" w:hAnsi="Times New Roman"/>
          <w:color w:val="283746"/>
          <w:sz w:val="17"/>
        </w:rPr>
        <w:br/>
      </w:r>
      <w:r>
        <w:rPr>
          <w:rFonts w:ascii="Times New Roman" w:eastAsia="Consolas" w:hAnsi="Times New Roman"/>
          <w:color w:val="283746"/>
          <w:sz w:val="17"/>
        </w:rPr>
        <w:t xml:space="preserve">    test_environment_change.py</w:t>
      </w:r>
      <w:r>
        <w:rPr>
          <w:rFonts w:ascii="Times New Roman" w:eastAsia="Consolas" w:hAnsi="Times New Roman"/>
          <w:color w:val="283746"/>
          <w:sz w:val="17"/>
        </w:rPr>
        <w:br/>
      </w:r>
      <w:r>
        <w:rPr>
          <w:rFonts w:ascii="Times New Roman" w:eastAsia="Consolas" w:hAnsi="Times New Roman"/>
          <w:color w:val="283746"/>
          <w:sz w:val="17"/>
        </w:rPr>
        <w:t xml:space="preserve">    test_indicators.py</w:t>
      </w:r>
      <w:r>
        <w:rPr>
          <w:rFonts w:ascii="Times New Roman" w:eastAsia="Consolas" w:hAnsi="Times New Roman"/>
          <w:color w:val="283746"/>
          <w:sz w:val="17"/>
        </w:rPr>
        <w:br/>
      </w:r>
      <w:r>
        <w:rPr>
          <w:rFonts w:ascii="Times New Roman" w:eastAsia="Consolas" w:hAnsi="Times New Roman"/>
          <w:color w:val="283746"/>
          <w:sz w:val="17"/>
        </w:rPr>
        <w:t xml:space="preserve">  requirements.txt</w:t>
      </w:r>
      <w:r>
        <w:rPr>
          <w:rFonts w:ascii="Times New Roman" w:eastAsia="Consolas" w:hAnsi="Times New Roman"/>
          <w:color w:val="283746"/>
          <w:sz w:val="17"/>
        </w:rPr>
        <w:br/>
      </w:r>
      <w:r>
        <w:rPr>
          <w:rFonts w:ascii="Times New Roman" w:eastAsia="Consolas" w:hAnsi="Times New Roman"/>
          <w:color w:val="283746"/>
          <w:sz w:val="17"/>
        </w:rPr>
        <w:t xml:space="preserve">  README.md</w:t>
      </w:r>
    </w:p>
    <w:sectPr>
      <w:headerReference w:type="default" r:id="rId2"/>
      <w:footerReference w:type="default" r:id="rId3"/>
      <w:headerReference w:type="first" r:id="rId4"/>
      <w:pgSz w:w="12240" w:h="15840" w:orient="portrait"/>
      <w:pgMar w:top="1417" w:right="1417" w:bottom="1361" w:left="1531"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center"/>
      <w:rPr/>
    </w:pPr>
    <w:r>
      <w:rPr>
        <w:rFonts w:ascii="Times New Roman" w:eastAsia="宋体" w:hAnsi="Times New Roman"/>
        <w:color w:val="646464"/>
        <w:sz w:val="18"/>
      </w:rPr>
      <w:t xml:space="preserve">— </w:t>
    </w:r>
    <w:r>
      <w:rPr/>
      <w:fldChar w:fldCharType="begin"/>
    </w:r>
    <w:r>
      <w:instrText>PAGE</w:instrText>
    </w:r>
    <w:r>
      <w:rPr/>
      <w:fldChar w:fldCharType="separate"/>
    </w:r>
    <w:r>
      <w:rPr/>
      <w:fldChar w:fldCharType="end"/>
    </w:r>
    <w:r>
      <w:rPr>
        <w:rFonts w:ascii="Times New Roman" w:eastAsia="宋体" w:hAnsi="Times New Roman"/>
        <w:color w:val="646464"/>
        <w:sz w:val="18"/>
      </w:rPr>
      <w:t xml:space="preserve"> —</w:t>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pBdr>
        <w:bottom w:val="single" w:sz="4" w:space="3" w:color="b4c7e7"/>
      </w:pBdr>
      <w:jc w:val="center"/>
      <w:rPr/>
    </w:pPr>
    <w:r>
      <w:rPr>
        <w:rFonts w:ascii="Times New Roman" w:eastAsia="宋体" w:hAnsi="Times New Roman"/>
        <w:color w:val="646464"/>
        <w:sz w:val="17"/>
      </w:rPr>
      <w:t>本科毕业设计（论文）开题报告｜渐变环境下基于分布迁移的轻量级动态多目标优化算法</w:t>
    </w:r>
  </w:p>
</w:hdr>
</file>

<file path=word/header3.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pacing w:after="80" w:lineRule="auto" w:line="360"/>
    </w:pPr>
    <w:rPr>
      <w:rFonts w:ascii="宋体" w:eastAsia="宋体" w:hAnsi="宋体"/>
      <w:sz w:val="21"/>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6d08f228-d7db-4d4f-8a06-eb8149b764fb"/>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790072d6-579a-4981-92f1-ba80444d6545"/>
    <w:basedOn w:val="style65"/>
    <w:next w:val="style4098"/>
    <w:link w:val="style32"/>
    <w:uiPriority w:val="99"/>
  </w:style>
  <w:style w:type="paragraph" w:styleId="style1">
    <w:name w:val="heading 1"/>
    <w:basedOn w:val="style0"/>
    <w:next w:val="style0"/>
    <w:link w:val="style4099"/>
    <w:qFormat/>
    <w:uiPriority w:val="9"/>
    <w:pPr>
      <w:keepNext/>
      <w:keepLines/>
      <w:spacing w:before="240" w:after="120" w:lineRule="auto" w:line="300"/>
      <w:outlineLvl w:val="0"/>
    </w:pPr>
    <w:rPr>
      <w:rFonts w:ascii="Calibri" w:cs="宋体" w:eastAsia="ＭＳ ゴシック" w:hAnsi="Calibri"/>
      <w:b/>
      <w:bCs/>
      <w:color w:val="1f4e79"/>
      <w:sz w:val="32"/>
      <w:szCs w:val="28"/>
    </w:rPr>
  </w:style>
  <w:style w:type="paragraph" w:styleId="style2">
    <w:name w:val="heading 2"/>
    <w:basedOn w:val="style0"/>
    <w:next w:val="style0"/>
    <w:link w:val="style4100"/>
    <w:qFormat/>
    <w:uiPriority w:val="9"/>
    <w:pPr>
      <w:keepNext/>
      <w:keepLines/>
      <w:spacing w:before="240" w:after="120" w:lineRule="auto" w:line="300"/>
      <w:outlineLvl w:val="1"/>
    </w:pPr>
    <w:rPr>
      <w:rFonts w:ascii="Calibri" w:cs="宋体" w:eastAsia="ＭＳ ゴシック" w:hAnsi="Calibri"/>
      <w:b/>
      <w:bCs/>
      <w:color w:val="1f4e79"/>
      <w:sz w:val="26"/>
      <w:szCs w:val="26"/>
    </w:rPr>
  </w:style>
  <w:style w:type="paragraph" w:styleId="style3">
    <w:name w:val="heading 3"/>
    <w:basedOn w:val="style0"/>
    <w:next w:val="style0"/>
    <w:link w:val="style4101"/>
    <w:qFormat/>
    <w:uiPriority w:val="9"/>
    <w:pPr>
      <w:keepNext/>
      <w:keepLines/>
      <w:spacing w:before="240" w:after="120" w:lineRule="auto" w:line="300"/>
      <w:outlineLvl w:val="2"/>
    </w:pPr>
    <w:rPr>
      <w:rFonts w:ascii="Calibri" w:cs="宋体" w:eastAsia="ＭＳ ゴシック" w:hAnsi="Calibri"/>
      <w:b/>
      <w:bCs/>
      <w:color w:val="404040"/>
      <w:sz w:val="22"/>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66f8b59a-b94d-4514-8153-64169e611634"/>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7807b1db-d73e-455d-9307-a7cd0bfff0f8"/>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b662780b-6cdb-4cb0-a3c0-118d54951ec0"/>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keepNext/>
      <w:pBdr>
        <w:bottom w:val="single" w:sz="8" w:space="4" w:color="4f81bd"/>
      </w:pBdr>
      <w:spacing w:before="0" w:after="120" w:lineRule="auto" w:line="300"/>
      <w:contextualSpacing/>
    </w:pPr>
    <w:rPr>
      <w:rFonts w:ascii="Calibri" w:cs="宋体" w:eastAsia="ＭＳ ゴシック" w:hAnsi="Calibri"/>
      <w:b/>
      <w:color w:val="1f4e79"/>
      <w:spacing w:val="5"/>
      <w:kern w:val="28"/>
      <w:sz w:val="48"/>
      <w:szCs w:val="52"/>
    </w:rPr>
  </w:style>
  <w:style w:type="character" w:customStyle="1" w:styleId="style4102">
    <w:name w:val="Title Char_e6b4aea6-c691-4fbb-9ea0-5b66347bfe39"/>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8494d132-e7e4-47f6-a602-4c912b088031"/>
    <w:basedOn w:val="style65"/>
    <w:next w:val="style4108"/>
    <w:link w:val="style180"/>
    <w:uiPriority w:val="29"/>
    <w:rPr>
      <w:i/>
      <w:iCs/>
      <w:color w:val="000000"/>
    </w:rPr>
  </w:style>
  <w:style w:type="character" w:customStyle="1" w:styleId="style4109">
    <w:name w:val="Heading 4 Char_a674963c-f6ae-4dd3-98e9-cea5273ab44e"/>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ca0d366a-dc99-4ab4-bce5-13b02cab9cbd"/>
    <w:basedOn w:val="style65"/>
    <w:next w:val="style4110"/>
    <w:link w:val="style5"/>
    <w:uiPriority w:val="9"/>
    <w:rPr>
      <w:rFonts w:ascii="Calibri" w:cs="宋体" w:eastAsia="ＭＳ ゴシック" w:hAnsi="Calibri"/>
      <w:color w:val="243f60"/>
    </w:rPr>
  </w:style>
  <w:style w:type="character" w:customStyle="1" w:styleId="style4111">
    <w:name w:val="Heading 6 Char_f6951bb9-91f2-409c-abd0-42f8363930b4"/>
    <w:basedOn w:val="style65"/>
    <w:next w:val="style4111"/>
    <w:link w:val="style6"/>
    <w:uiPriority w:val="9"/>
    <w:rPr>
      <w:rFonts w:ascii="Calibri" w:cs="宋体" w:eastAsia="ＭＳ ゴシック" w:hAnsi="Calibri"/>
      <w:i/>
      <w:iCs/>
      <w:color w:val="243f60"/>
    </w:rPr>
  </w:style>
  <w:style w:type="character" w:customStyle="1" w:styleId="style4112">
    <w:name w:val="Heading 7 Char_cc616ca2-135c-4147-aafe-5af7aec7c9ee"/>
    <w:basedOn w:val="style65"/>
    <w:next w:val="style4112"/>
    <w:link w:val="style7"/>
    <w:uiPriority w:val="9"/>
    <w:rPr>
      <w:rFonts w:ascii="Calibri" w:cs="宋体" w:eastAsia="ＭＳ ゴシック" w:hAnsi="Calibri"/>
      <w:i/>
      <w:iCs/>
      <w:color w:val="404040"/>
    </w:rPr>
  </w:style>
  <w:style w:type="character" w:customStyle="1" w:styleId="style4113">
    <w:name w:val="Heading 8 Char_15f4e6ac-2ac8-41eb-b581-a04321481286"/>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1be014c1-3281-4ea8-81b8-7cdc9eaa1fbc"/>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266493c9-87c8-4044-b852-9b018904a86c"/>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 w:type="paragraph" w:customStyle="1" w:styleId="style4116">
    <w:name w:val="Reference"/>
    <w:next w:val="style4116"/>
    <w:pPr>
      <w:spacing w:after="60" w:lineRule="auto" w:line="276"/>
      <w:ind w:left="420" w:hanging="420"/>
    </w:pPr>
    <w:rPr>
      <w:rFonts w:ascii="宋体" w:eastAsia="宋体" w:hAnsi="宋体"/>
      <w:sz w:val="18"/>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header" Target="header3.xml"/><Relationship Id="rId9" Type="http://schemas.openxmlformats.org/officeDocument/2006/relationships/customXml" Target="../customXml/item1.xml"/><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14347</Words>
  <Pages>1</Pages>
  <Characters>20185</Characters>
  <Application>WPS Office</Application>
  <DocSecurity>0</DocSecurity>
  <Paragraphs>488</Paragraphs>
  <ScaleCrop>false</ScaleCrop>
  <LinksUpToDate>false</LinksUpToDate>
  <CharactersWithSpaces>21010</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WPS Office</dc:creator>
  <dc:description>generated by python-docx</dc:description>
  <keywords>动态多目标优化; 分布迁移; NSGA-II; FDA; IGD; HV</keywords>
  <lastModifiedBy>PHK110</lastModifiedBy>
  <dcterms:modified xsi:type="dcterms:W3CDTF">2026-10-10T11:17:03Z</dcterms:modified>
  <revision>1</revision>
  <dc:subject>计算机科学与技术本科毕业设计开题报告</dc:subject>
  <dc:title>渐变环境下基于分布迁移的轻量级动态多目标优化算法——开题报告与实验设计</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1cbf44d4c01447b48c47716279ba8413</vt:lpwstr>
  </property>
</Properties>
</file>