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黑体" w:hAnsi="黑体" w:eastAsia="黑体"/>
          <w:b/>
          <w:color w:val="17365D"/>
          <w:sz w:val="48"/>
        </w:rPr>
        <w:t>LDT-NSGA-II 项目优化与修复方案</w:t>
      </w:r>
    </w:p>
    <w:p>
      <w:pPr>
        <w:spacing w:before="280"/>
        <w:jc w:val="center"/>
      </w:pPr>
      <w:r>
        <w:rPr>
          <w:color w:val="505050"/>
          <w:sz w:val="30"/>
        </w:rPr>
        <w:t>源码审查报告 · 修复规格 · 验收清单</w:t>
      </w:r>
    </w:p>
    <w:p>
      <w:pPr>
        <w:spacing w:before="560"/>
        <w:jc w:val="center"/>
      </w:pPr>
      <w:r>
        <w:t>项目仓库：https://github.com/Peter-code258/LDT-NSGA-II</w:t>
        <w:br/>
      </w:r>
      <w:r>
        <w:t>审查依据：可访问的 GitHub main 分支源码与文件清单</w:t>
        <w:br/>
      </w:r>
      <w:r>
        <w:t>审查日期：2026 年 10 月 11 日</w:t>
      </w:r>
    </w:p>
    <w:p>
      <w:r>
        <w:br w:type="page"/>
      </w:r>
    </w:p>
    <w:p>
      <w:pPr>
        <w:pStyle w:val="Heading1"/>
      </w:pPr>
      <w:r>
        <w:t>文档用途与审查边界</w:t>
      </w:r>
    </w:p>
    <w:p>
      <w:r>
        <w:t>本文件把对公开仓库 LDT-NSGA-II 的静态源码审查转化为一份可直接交给开发者或代码生成 AI 执行的整改规格。优先级针对“先保证项目能导入、算法实现可信、实验结论可复现”，而非追求功能数量。</w:t>
      </w:r>
    </w:p>
    <w:p>
      <w:r>
        <w:t>审查范围包括 README、算法实现、测试问题、指标计算、统计分析、实验运行器和测试目录。当前审查依据为 GitHub main 分支可访问的文件内容与目录清单；本次没有在目标机器上克隆仓库并实际执行完整 pytest/实验。因此，涉及运行时的结论标记为“待运行确认”，不虚构测试结果。</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Pr>
                <w:b/>
                <w:color w:val="FFFFFF"/>
              </w:rPr>
              <w:t>标识</w:t>
            </w:r>
          </w:p>
        </w:tc>
        <w:tc>
          <w:tcPr>
            <w:tcW w:type="dxa" w:w="4997"/>
            <w:vAlign w:val="center"/>
            <w:shd w:fill="1F4E79"/>
          </w:tcPr>
          <w:p>
            <w:r>
              <w:rPr>
                <w:b/>
                <w:color w:val="FFFFFF"/>
              </w:rPr>
              <w:t>含义</w:t>
            </w:r>
          </w:p>
        </w:tc>
      </w:tr>
      <w:tr>
        <w:tc>
          <w:tcPr>
            <w:tcW w:type="dxa" w:w="4997"/>
            <w:vAlign w:val="center"/>
          </w:tcPr>
          <w:p>
            <w:r>
              <w:t>已从源码/文件清单确认</w:t>
            </w:r>
          </w:p>
        </w:tc>
        <w:tc>
          <w:tcPr>
            <w:tcW w:type="dxa" w:w="4997"/>
            <w:vAlign w:val="center"/>
          </w:tcPr>
          <w:p>
            <w:r>
              <w:t>代码内容或目录清单直接支持该判断。</w:t>
            </w:r>
          </w:p>
        </w:tc>
      </w:tr>
      <w:tr>
        <w:tc>
          <w:tcPr>
            <w:tcW w:type="dxa" w:w="4997"/>
            <w:vAlign w:val="center"/>
          </w:tcPr>
          <w:p>
            <w:r>
              <w:t>高风险，需运行确认</w:t>
            </w:r>
          </w:p>
        </w:tc>
        <w:tc>
          <w:tcPr>
            <w:tcW w:type="dxa" w:w="4997"/>
            <w:vAlign w:val="center"/>
          </w:tcPr>
          <w:p>
            <w:r>
              <w:t>静态代码显示可能出错，但需本地运行确定具体异常或数值影响。</w:t>
            </w:r>
          </w:p>
        </w:tc>
      </w:tr>
      <w:tr>
        <w:tc>
          <w:tcPr>
            <w:tcW w:type="dxa" w:w="4997"/>
            <w:vAlign w:val="center"/>
          </w:tcPr>
          <w:p>
            <w:r>
              <w:t>建议优化</w:t>
            </w:r>
          </w:p>
        </w:tc>
        <w:tc>
          <w:tcPr>
            <w:tcW w:type="dxa" w:w="4997"/>
            <w:vAlign w:val="center"/>
          </w:tcPr>
          <w:p>
            <w:r>
              <w:t>不是已确认的程序错误，而是提升公平性、可追溯性或效率的设计建议。</w:t>
            </w:r>
          </w:p>
        </w:tc>
      </w:tr>
    </w:tbl>
    <w:p/>
    <w:p>
      <w:pPr>
        <w:pStyle w:val="Heading1"/>
      </w:pPr>
      <w:r>
        <w:t>总体结论</w:t>
      </w:r>
    </w:p>
    <w:p>
      <w:r>
        <w:t>项目的模块划分已经具备研究型代码的基本形态：动态问题、统一 NSGA-II 内核、多个响应/预测/分布迁移算法、指标、实验脚本与报告生成脚本均已组织起来。但当前版本有几项需要优先处理的高风险问题：模块导入与目录清单不一致、LDT 特征的归一化坐标系混用、FDA4 距离变量切片与 PlatEMO 定义存在偏差风险、静态 NSGA-II 与响应式基线映射重复，以及统计/预算/版本记录的可靠性问题。</w:t>
      </w:r>
    </w:p>
    <w:p>
      <w:r>
        <w:t>建议按 P0 → P1 → P2 推进。P0 完成前，不开展大规模论文实验；P1 完成前，不将现有结果用于证明算法优越性；P2 作为基础版本可信后再逐项试验的新算法扩展。</w:t>
      </w:r>
    </w:p>
    <w:p>
      <w:pPr>
        <w:pStyle w:val="Heading1"/>
      </w:pPr>
      <w:r>
        <w:t>一、优先级总表</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Pr>
                <w:b/>
                <w:color w:val="FFFFFF"/>
              </w:rPr>
              <w:t>优先级</w:t>
            </w:r>
          </w:p>
        </w:tc>
        <w:tc>
          <w:tcPr>
            <w:tcW w:type="dxa" w:w="2498"/>
            <w:vAlign w:val="center"/>
            <w:shd w:fill="1F4E79"/>
          </w:tcPr>
          <w:p>
            <w:r>
              <w:rPr>
                <w:b/>
                <w:color w:val="FFFFFF"/>
              </w:rPr>
              <w:t>模块/位置</w:t>
            </w:r>
          </w:p>
        </w:tc>
        <w:tc>
          <w:tcPr>
            <w:tcW w:type="dxa" w:w="2498"/>
            <w:vAlign w:val="center"/>
            <w:shd w:fill="1F4E79"/>
          </w:tcPr>
          <w:p>
            <w:r>
              <w:rPr>
                <w:b/>
                <w:color w:val="FFFFFF"/>
              </w:rPr>
              <w:t>问题摘要</w:t>
            </w:r>
          </w:p>
        </w:tc>
        <w:tc>
          <w:tcPr>
            <w:tcW w:type="dxa" w:w="2498"/>
            <w:vAlign w:val="center"/>
            <w:shd w:fill="1F4E79"/>
          </w:tcPr>
          <w:p>
            <w:r>
              <w:rPr>
                <w:b/>
                <w:color w:val="FFFFFF"/>
              </w:rPr>
              <w:t>必须达到的结果</w:t>
            </w:r>
          </w:p>
        </w:tc>
      </w:tr>
      <w:tr>
        <w:tc>
          <w:tcPr>
            <w:tcW w:type="dxa" w:w="2498"/>
            <w:vAlign w:val="center"/>
          </w:tcPr>
          <w:p>
            <w:r>
              <w:t>P0</w:t>
            </w:r>
          </w:p>
        </w:tc>
        <w:tc>
          <w:tcPr>
            <w:tcW w:type="dxa" w:w="2498"/>
            <w:vAlign w:val="center"/>
          </w:tcPr>
          <w:p>
            <w:r>
              <w:t>模块导入：algorithms/__init__.py、problems/__init__.py、evaluation/__init__.py</w:t>
            </w:r>
          </w:p>
        </w:tc>
        <w:tc>
          <w:tcPr>
            <w:tcW w:type="dxa" w:w="2498"/>
            <w:vAlign w:val="center"/>
          </w:tcPr>
          <w:p>
            <w:r>
              <w:t>初始化文件导入了当前目录清单中未出现的模块</w:t>
            </w:r>
          </w:p>
        </w:tc>
        <w:tc>
          <w:tcPr>
            <w:tcW w:type="dxa" w:w="2498"/>
            <w:vAlign w:val="center"/>
          </w:tcPr>
          <w:p>
            <w:r>
              <w:t>核心包全部可导入，缺失功能补齐或干净移除</w:t>
            </w:r>
          </w:p>
        </w:tc>
      </w:tr>
      <w:tr>
        <w:tc>
          <w:tcPr>
            <w:tcW w:type="dxa" w:w="2498"/>
            <w:vAlign w:val="center"/>
          </w:tcPr>
          <w:p>
            <w:r>
              <w:t>P0</w:t>
            </w:r>
          </w:p>
        </w:tc>
        <w:tc>
          <w:tcPr>
            <w:tcW w:type="dxa" w:w="2498"/>
            <w:vAlign w:val="center"/>
          </w:tcPr>
          <w:p>
            <w:r>
              <w:t>algorithms/ldmt_nsga2.py + distribution_features.py</w:t>
            </w:r>
          </w:p>
        </w:tc>
        <w:tc>
          <w:tcPr>
            <w:tcW w:type="dxa" w:w="2498"/>
            <w:vAlign w:val="center"/>
          </w:tcPr>
          <w:p>
            <w:r>
              <w:t>归一化特征与原始变量边界混用</w:t>
            </w:r>
          </w:p>
        </w:tc>
        <w:tc>
          <w:tcPr>
            <w:tcW w:type="dxa" w:w="2498"/>
            <w:vAlign w:val="center"/>
          </w:tcPr>
          <w:p>
            <w:r>
              <w:t>迁移中心、标准差、裁剪在同一坐标系中计算</w:t>
            </w:r>
          </w:p>
        </w:tc>
      </w:tr>
      <w:tr>
        <w:tc>
          <w:tcPr>
            <w:tcW w:type="dxa" w:w="2498"/>
            <w:vAlign w:val="center"/>
          </w:tcPr>
          <w:p>
            <w:r>
              <w:t>P0</w:t>
            </w:r>
          </w:p>
        </w:tc>
        <w:tc>
          <w:tcPr>
            <w:tcW w:type="dxa" w:w="2498"/>
            <w:vAlign w:val="center"/>
          </w:tcPr>
          <w:p>
            <w:r>
              <w:t>problems/fda4.py</w:t>
            </w:r>
          </w:p>
        </w:tc>
        <w:tc>
          <w:tcPr>
            <w:tcW w:type="dxa" w:w="2498"/>
            <w:vAlign w:val="center"/>
          </w:tcPr>
          <w:p>
            <w:r>
              <w:t>FDA4 的距离变量切片与 PlatEMO 参照实现有一位索引偏差风险</w:t>
            </w:r>
          </w:p>
        </w:tc>
        <w:tc>
          <w:tcPr>
            <w:tcW w:type="dxa" w:w="2498"/>
            <w:vAlign w:val="center"/>
          </w:tcPr>
          <w:p>
            <w:r>
              <w:t>逐点公式对照一致，最优决策变量测试通过</w:t>
            </w:r>
          </w:p>
        </w:tc>
      </w:tr>
      <w:tr>
        <w:tc>
          <w:tcPr>
            <w:tcW w:type="dxa" w:w="2498"/>
            <w:vAlign w:val="center"/>
          </w:tcPr>
          <w:p>
            <w:r>
              <w:t>P0</w:t>
            </w:r>
          </w:p>
        </w:tc>
        <w:tc>
          <w:tcPr>
            <w:tcW w:type="dxa" w:w="2498"/>
            <w:vAlign w:val="center"/>
          </w:tcPr>
          <w:p>
            <w:r>
              <w:t>experiments/common.py + algorithms/dnsga2_response.py</w:t>
            </w:r>
          </w:p>
        </w:tc>
        <w:tc>
          <w:tcPr>
            <w:tcW w:type="dxa" w:w="2498"/>
            <w:vAlign w:val="center"/>
          </w:tcPr>
          <w:p>
            <w:r>
              <w:t>NSGA-II 与 DNSGA-II-inspired 注册到相同实现</w:t>
            </w:r>
          </w:p>
        </w:tc>
        <w:tc>
          <w:tcPr>
            <w:tcW w:type="dxa" w:w="2498"/>
            <w:vAlign w:val="center"/>
          </w:tcPr>
          <w:p>
            <w:r>
              <w:t>静态基线与响应式基线具备不同、可解释的行为</w:t>
            </w:r>
          </w:p>
        </w:tc>
      </w:tr>
      <w:tr>
        <w:tc>
          <w:tcPr>
            <w:tcW w:type="dxa" w:w="2498"/>
            <w:vAlign w:val="center"/>
          </w:tcPr>
          <w:p>
            <w:r>
              <w:t>P1</w:t>
            </w:r>
          </w:p>
        </w:tc>
        <w:tc>
          <w:tcPr>
            <w:tcW w:type="dxa" w:w="2498"/>
            <w:vAlign w:val="center"/>
          </w:tcPr>
          <w:p>
            <w:r>
              <w:t>算法标识与 analyze.py</w:t>
            </w:r>
          </w:p>
        </w:tc>
        <w:tc>
          <w:tcPr>
            <w:tcW w:type="dxa" w:w="2498"/>
            <w:vAlign w:val="center"/>
          </w:tcPr>
          <w:p>
            <w:r>
              <w:t>兼容别名、类名、统计脚本中的参考名不一致</w:t>
            </w:r>
          </w:p>
        </w:tc>
        <w:tc>
          <w:tcPr>
            <w:tcW w:type="dxa" w:w="2498"/>
            <w:vAlign w:val="center"/>
          </w:tcPr>
          <w:p>
            <w:r>
              <w:t>日志标签统一、算法不重复计数、统计参考组存在</w:t>
            </w:r>
          </w:p>
        </w:tc>
      </w:tr>
      <w:tr>
        <w:tc>
          <w:tcPr>
            <w:tcW w:type="dxa" w:w="2498"/>
            <w:vAlign w:val="center"/>
          </w:tcPr>
          <w:p>
            <w:r>
              <w:t>P1</w:t>
            </w:r>
          </w:p>
        </w:tc>
        <w:tc>
          <w:tcPr>
            <w:tcW w:type="dxa" w:w="2498"/>
            <w:vAlign w:val="center"/>
          </w:tcPr>
          <w:p>
            <w:r>
              <w:t>evaluation/statistics.py + analyze.py</w:t>
            </w:r>
          </w:p>
        </w:tc>
        <w:tc>
          <w:tcPr>
            <w:tcW w:type="dxa" w:w="2498"/>
            <w:vAlign w:val="center"/>
          </w:tcPr>
          <w:p>
            <w:r>
              <w:t>独立样本/配对检验、Holm 修正实现需统一核查</w:t>
            </w:r>
          </w:p>
        </w:tc>
        <w:tc>
          <w:tcPr>
            <w:tcW w:type="dxa" w:w="2498"/>
            <w:vAlign w:val="center"/>
          </w:tcPr>
          <w:p>
            <w:r>
              <w:t>检验与实验配对设计一致，校正实现通过测试</w:t>
            </w:r>
          </w:p>
        </w:tc>
      </w:tr>
      <w:tr>
        <w:tc>
          <w:tcPr>
            <w:tcW w:type="dxa" w:w="2498"/>
            <w:vAlign w:val="center"/>
          </w:tcPr>
          <w:p>
            <w:r>
              <w:t>P1</w:t>
            </w:r>
          </w:p>
        </w:tc>
        <w:tc>
          <w:tcPr>
            <w:tcW w:type="dxa" w:w="2498"/>
            <w:vAlign w:val="center"/>
          </w:tcPr>
          <w:p>
            <w:r>
              <w:t>evaluation/hv.py + problems/true_fronts.py</w:t>
            </w:r>
          </w:p>
        </w:tc>
        <w:tc>
          <w:tcPr>
            <w:tcW w:type="dxa" w:w="2498"/>
            <w:vAlign w:val="center"/>
          </w:tcPr>
          <w:p>
            <w:r>
              <w:t>高维 HV 备用算法效率风险；FDA4 参考前沿采样不均衡风险</w:t>
            </w:r>
          </w:p>
        </w:tc>
        <w:tc>
          <w:tcPr>
            <w:tcW w:type="dxa" w:w="2498"/>
            <w:vAlign w:val="center"/>
          </w:tcPr>
          <w:p>
            <w:r>
              <w:t>指标失败可诊断，参考点固定且采样方法可追溯</w:t>
            </w:r>
          </w:p>
        </w:tc>
      </w:tr>
      <w:tr>
        <w:tc>
          <w:tcPr>
            <w:tcW w:type="dxa" w:w="2498"/>
            <w:vAlign w:val="center"/>
          </w:tcPr>
          <w:p>
            <w:r>
              <w:t>P1</w:t>
            </w:r>
          </w:p>
        </w:tc>
        <w:tc>
          <w:tcPr>
            <w:tcW w:type="dxa" w:w="2498"/>
            <w:vAlign w:val="center"/>
          </w:tcPr>
          <w:p>
            <w:r>
              <w:t>experiments/common.py + nsga2_core.py</w:t>
            </w:r>
          </w:p>
        </w:tc>
        <w:tc>
          <w:tcPr>
            <w:tcW w:type="dxa" w:w="2498"/>
            <w:vAlign w:val="center"/>
          </w:tcPr>
          <w:p>
            <w:r>
              <w:t>评估预算字段、累计函数评估数、代码版本记录不完全可信</w:t>
            </w:r>
          </w:p>
        </w:tc>
        <w:tc>
          <w:tcPr>
            <w:tcW w:type="dxa" w:w="2498"/>
            <w:vAlign w:val="center"/>
          </w:tcPr>
          <w:p>
            <w:r>
              <w:t>真实预算可控，每次运行可重建</w:t>
            </w:r>
          </w:p>
        </w:tc>
      </w:tr>
      <w:tr>
        <w:tc>
          <w:tcPr>
            <w:tcW w:type="dxa" w:w="2498"/>
            <w:vAlign w:val="center"/>
          </w:tcPr>
          <w:p>
            <w:r>
              <w:t>P1</w:t>
            </w:r>
          </w:p>
        </w:tc>
        <w:tc>
          <w:tcPr>
            <w:tcW w:type="dxa" w:w="2498"/>
            <w:vAlign w:val="center"/>
          </w:tcPr>
          <w:p>
            <w:r>
              <w:t>environment_manager.py + LDT/AR/GMM probe</w:t>
            </w:r>
          </w:p>
        </w:tc>
        <w:tc>
          <w:tcPr>
            <w:tcW w:type="dxa" w:w="2498"/>
            <w:vAlign w:val="center"/>
          </w:tcPr>
          <w:p>
            <w:r>
              <w:t>探针范围、首次比较和跨算法一致性需加强</w:t>
            </w:r>
          </w:p>
        </w:tc>
        <w:tc>
          <w:tcPr>
            <w:tcW w:type="dxa" w:w="2498"/>
            <w:vAlign w:val="center"/>
          </w:tcPr>
          <w:p>
            <w:r>
              <w:t>统一固定探针，变化值计算可复现</w:t>
            </w:r>
          </w:p>
        </w:tc>
      </w:tr>
      <w:tr>
        <w:tc>
          <w:tcPr>
            <w:tcW w:type="dxa" w:w="2498"/>
            <w:vAlign w:val="center"/>
          </w:tcPr>
          <w:p>
            <w:r>
              <w:t>P2</w:t>
            </w:r>
          </w:p>
        </w:tc>
        <w:tc>
          <w:tcPr>
            <w:tcW w:type="dxa" w:w="2498"/>
            <w:vAlign w:val="center"/>
          </w:tcPr>
          <w:p>
            <w:r>
              <w:t>GMM、自适应迁移、多源融合</w:t>
            </w:r>
          </w:p>
        </w:tc>
        <w:tc>
          <w:tcPr>
            <w:tcW w:type="dxa" w:w="2498"/>
            <w:vAlign w:val="center"/>
          </w:tcPr>
          <w:p>
            <w:r>
              <w:t>随机种子与负迁移/方差融合风险</w:t>
            </w:r>
          </w:p>
        </w:tc>
        <w:tc>
          <w:tcPr>
            <w:tcW w:type="dxa" w:w="2498"/>
            <w:vAlign w:val="center"/>
          </w:tcPr>
          <w:p>
            <w:r>
              <w:t>逐项实验、逐项消融，保留安全回退</w:t>
            </w:r>
          </w:p>
        </w:tc>
      </w:tr>
    </w:tbl>
    <w:p/>
    <w:p>
      <w:pPr>
        <w:pStyle w:val="Heading1"/>
      </w:pPr>
      <w:r>
        <w:t>二、P0：必须先修复的问题</w:t>
      </w:r>
    </w:p>
    <w:p>
      <w:pPr>
        <w:pStyle w:val="Heading2"/>
      </w:pPr>
      <w:r>
        <w:t>2.1 导入依赖与缺失模块</w:t>
      </w:r>
    </w:p>
    <w:p>
      <w:r>
        <w:t>文件清单审查发现，README 与初始化文件声明了一些扩展功能，但相应文件在当前 main 分支目录清单中没有出现。具体包括：</w:t>
      </w:r>
    </w:p>
    <w:p>
      <w:pPr>
        <w:pStyle w:val="ListBullet"/>
      </w:pPr>
      <w:r>
        <w:t>algorithms/__init__.py 导入 algorithms/pps_nsga2.py、algorithms/transfer_strategy.py；当前 algorithms 目录清单未显示这两个文件。</w:t>
      </w:r>
    </w:p>
    <w:p>
      <w:pPr>
        <w:pStyle w:val="ListBullet"/>
      </w:pPr>
      <w:r>
        <w:t>problems/__init__.py 导入 problems/dmop3.py；当前 problems 目录清单未显示该文件。</w:t>
      </w:r>
    </w:p>
    <w:p>
      <w:pPr>
        <w:pStyle w:val="ListBullet"/>
      </w:pPr>
      <w:r>
        <w:t>evaluation/__init__.py 导入 evaluation/friedman_test.py；当前 evaluation 目录清单未显示该文件。</w:t>
      </w:r>
    </w:p>
    <w:p>
      <w:r>
        <w:t>这至少说明仓库文件、初始化入口和 README 声明需要同步。按当前导入结构，存在导入阶段直接失败的高风险。最终是否能在目标环境完整运行，仍需要本地执行确认。</w:t>
      </w:r>
    </w:p>
    <w:p>
      <w:r>
        <w:t>修改要求：</w:t>
      </w:r>
    </w:p>
    <w:p>
      <w:pPr>
        <w:pStyle w:val="ListNumber"/>
      </w:pPr>
      <w:r>
        <w:t>对确定需要保留的功能补齐完整模块和测试。</w:t>
      </w:r>
    </w:p>
    <w:p>
      <w:pPr>
        <w:pStyle w:val="ListNumber"/>
      </w:pPr>
      <w:r>
        <w:t>尚未实现或暂时不需要的功能，从 __init__.py、算法注册表、CLI 默认列表、分析脚本和 README 中一并移除对应导入/声明。不得用空文件或无实现的占位符假装功能已经可用。</w:t>
      </w:r>
    </w:p>
    <w:p>
      <w:pPr>
        <w:pStyle w:val="ListNumber"/>
      </w:pPr>
      <w:r>
        <w:t>增加 tests/test_imports.py，测试 import algorithms、import problems、import evaluation、import experiments.common。</w:t>
      </w:r>
    </w:p>
    <w:p>
      <w:pPr>
        <w:spacing w:before="60" w:after="120"/>
        <w:ind w:left="259" w:right="173"/>
        <w:shd w:fill="F2F4F7"/>
      </w:pPr>
      <w:r>
        <w:rPr>
          <w:rFonts w:ascii="Consolas" w:hAnsi="Consolas" w:eastAsia="等线"/>
          <w:sz w:val="18"/>
        </w:rPr>
        <w:t>python -c "import algorithms, problems, evaluation; from experiments import common; print('imports OK')"</w:t>
      </w:r>
      <w:r>
        <w:br/>
      </w:r>
      <w:r>
        <w:rPr>
          <w:rFonts w:ascii="Consolas" w:hAnsi="Consolas" w:eastAsia="等线"/>
          <w:sz w:val="18"/>
        </w:rPr>
        <w:t>pytest -q</w:t>
      </w:r>
    </w:p>
    <w:p>
      <w:r>
        <w:t>验收：上面导入命令成功；pytest 能进入测试阶段；README 声明的每个算法/问题都能被注册、构造并运行冒烟测试。</w:t>
      </w:r>
    </w:p>
    <w:p>
      <w:r>
        <w:t>出处：</w:t>
        <w:br/>
        <w:t>https://github.com/Peter-code258/LDT-NSGA-II/blob/main/algorithms/__init__.py</w:t>
        <w:br/>
        <w:t>https://github.com/Peter-code258/LDT-NSGA-II/blob/main/problems/__init__.py</w:t>
        <w:br/>
        <w:t>https://github.com/Peter-code258/LDT-NSGA-II/blob/main/evaluation/__init__.py</w:t>
      </w:r>
    </w:p>
    <w:p>
      <w:pPr>
        <w:pStyle w:val="Heading2"/>
      </w:pPr>
      <w:r>
        <w:t>2.2 LDT 的归一化坐标系混用</w:t>
      </w:r>
    </w:p>
    <w:p>
      <w:r>
        <w:t>源码中 extract_features() 返回归一化空间 [0,1]^D 的均值与标准差；LDTNSGA2.respond() 随后却将归一化均值与原始问题边界 xl/xu 一起用于趋势中心裁剪，并再次调用 normalize()。此处坐标体系不一致，可能使部分维度的预测中心与扰动尺度计算失真。</w:t>
      </w:r>
    </w:p>
    <w:p>
      <w:r>
        <w:t>在 FDA1/FDA3 中，部分变量范围为 [-1,1]，此问题更明显；FDA4 的边界均为 [0,1]，问题可能不容易从表面观察到。</w:t>
      </w:r>
    </w:p>
    <w:p>
      <w:r>
        <w:t>整改原则：全程在归一化空间计算特征、趋势中心、sigma、采样及 clip；仅在输出决策变量时 denormalize。不要只修改一行，需要同步核查 _mu_prev、历史特征、多源融合、自适应迁移强度和 sigma 下限的单位。</w:t>
      </w:r>
    </w:p>
    <w:p>
      <w:pPr>
        <w:spacing w:before="60" w:after="120"/>
        <w:ind w:left="259" w:right="173"/>
        <w:shd w:fill="F2F4F7"/>
      </w:pPr>
      <w:r>
        <w:rPr>
          <w:rFonts w:ascii="Consolas" w:hAnsi="Consolas" w:eastAsia="等线"/>
          <w:sz w:val="18"/>
        </w:rPr>
        <w:t>Z = normalize(nd_X, xl, xu)</w:t>
      </w:r>
      <w:r>
        <w:br/>
      </w:r>
      <w:r>
        <w:rPr>
          <w:rFonts w:ascii="Consolas" w:hAnsi="Consolas" w:eastAsia="等线"/>
          <w:sz w:val="18"/>
        </w:rPr>
        <w:t>mu_e = Z.mean(axis=0)</w:t>
      </w:r>
      <w:r>
        <w:br/>
      </w:r>
      <w:r>
        <w:rPr>
          <w:rFonts w:ascii="Consolas" w:hAnsi="Consolas" w:eastAsia="等线"/>
          <w:sz w:val="18"/>
        </w:rPr>
        <w:t>sigma_e = np.maximum(Z.std(axis=0, ddof=0), 1e-3)</w:t>
      </w:r>
      <w:r>
        <w:br/>
      </w:r>
      <w:r>
        <w:rPr>
          <w:rFonts w:ascii="Consolas" w:hAnsi="Consolas" w:eastAsia="等线"/>
          <w:sz w:val="18"/>
        </w:rPr>
      </w:r>
      <w:r>
        <w:br/>
      </w:r>
      <w:r>
        <w:rPr>
          <w:rFonts w:ascii="Consolas" w:hAnsi="Consolas" w:eastAsia="等线"/>
          <w:sz w:val="18"/>
        </w:rPr>
        <w:t>if self._mu_prev is None:</w:t>
      </w:r>
      <w:r>
        <w:br/>
      </w:r>
      <w:r>
        <w:rPr>
          <w:rFonts w:ascii="Consolas" w:hAnsi="Consolas" w:eastAsia="等线"/>
          <w:sz w:val="18"/>
        </w:rPr>
        <w:t xml:space="preserve">    mu_hat = mu_e.copy()</w:t>
      </w:r>
      <w:r>
        <w:br/>
      </w:r>
      <w:r>
        <w:rPr>
          <w:rFonts w:ascii="Consolas" w:hAnsi="Consolas" w:eastAsia="等线"/>
          <w:sz w:val="18"/>
        </w:rPr>
        <w:t>else:</w:t>
      </w:r>
      <w:r>
        <w:br/>
      </w:r>
      <w:r>
        <w:rPr>
          <w:rFonts w:ascii="Consolas" w:hAnsi="Consolas" w:eastAsia="等线"/>
          <w:sz w:val="18"/>
        </w:rPr>
        <w:t xml:space="preserve">    mu_hat = np.clip(</w:t>
      </w:r>
      <w:r>
        <w:br/>
      </w:r>
      <w:r>
        <w:rPr>
          <w:rFonts w:ascii="Consolas" w:hAnsi="Consolas" w:eastAsia="等线"/>
          <w:sz w:val="18"/>
        </w:rPr>
        <w:t xml:space="preserve">        mu_e + self.trend_alpha * (mu_e - self._mu_prev),</w:t>
      </w:r>
      <w:r>
        <w:br/>
      </w:r>
      <w:r>
        <w:rPr>
          <w:rFonts w:ascii="Consolas" w:hAnsi="Consolas" w:eastAsia="等线"/>
          <w:sz w:val="18"/>
        </w:rPr>
        <w:t xml:space="preserve">        0.0, 1.0</w:t>
      </w:r>
      <w:r>
        <w:br/>
      </w:r>
      <w:r>
        <w:rPr>
          <w:rFonts w:ascii="Consolas" w:hAnsi="Consolas" w:eastAsia="等线"/>
          <w:sz w:val="18"/>
        </w:rPr>
        <w:t xml:space="preserve">    )</w:t>
      </w:r>
      <w:r>
        <w:br/>
      </w:r>
      <w:r>
        <w:rPr>
          <w:rFonts w:ascii="Consolas" w:hAnsi="Consolas" w:eastAsia="等线"/>
          <w:sz w:val="18"/>
        </w:rPr>
      </w:r>
      <w:r>
        <w:br/>
      </w:r>
      <w:r>
        <w:rPr>
          <w:rFonts w:ascii="Consolas" w:hAnsi="Consolas" w:eastAsia="等线"/>
          <w:sz w:val="18"/>
        </w:rPr>
        <w:t>noise = rng.normal(size=(n_transfer, D))</w:t>
      </w:r>
      <w:r>
        <w:br/>
      </w:r>
      <w:r>
        <w:rPr>
          <w:rFonts w:ascii="Consolas" w:hAnsi="Consolas" w:eastAsia="等线"/>
          <w:sz w:val="18"/>
        </w:rPr>
        <w:t>transfer_norm = np.clip(mu_hat + noise * sigma_e, 0.0, 1.0)</w:t>
      </w:r>
      <w:r>
        <w:br/>
      </w:r>
      <w:r>
        <w:rPr>
          <w:rFonts w:ascii="Consolas" w:hAnsi="Consolas" w:eastAsia="等线"/>
          <w:sz w:val="18"/>
        </w:rPr>
        <w:t>transfer_part = denormalize(transfer_norm, xl, xu)</w:t>
      </w:r>
    </w:p>
    <w:p>
      <w:r>
        <w:t>以上为修复思路示例，不是完整替换整个 respond() 的补丁。迁移函数还需正确维护环境历史。</w:t>
      </w:r>
    </w:p>
    <w:p>
      <w:r>
        <w:t>建议测试：</w:t>
      </w:r>
    </w:p>
    <w:p>
      <w:pPr>
        <w:pStyle w:val="ListBullet"/>
      </w:pPr>
      <w:r>
        <w:t>在不同上下界问题上检查 normalize/denormalize 往返误差。</w:t>
      </w:r>
    </w:p>
    <w:p>
      <w:pPr>
        <w:pStyle w:val="ListBullet"/>
      </w:pPr>
      <w:r>
        <w:t>所有迁移候选均须有限且处于 [xl,xu] 内。</w:t>
      </w:r>
    </w:p>
    <w:p>
      <w:pPr>
        <w:pStyle w:val="ListBullet"/>
      </w:pPr>
      <w:r>
        <w:t>在归一化空间测试趋势中心裁剪；对具有 [-1,1] 变量范围的 FDA1/FDA3 做回归测试。</w:t>
      </w:r>
    </w:p>
    <w:p>
      <w:pPr>
        <w:pStyle w:val="ListBullet"/>
      </w:pPr>
      <w:r>
        <w:t>分别测试 adaptive_transfer 开/关、multi_source 开/关，确保坐标系一致。</w:t>
      </w:r>
    </w:p>
    <w:p>
      <w:r>
        <w:t>出处：</w:t>
        <w:br/>
        <w:t>https://github.com/Peter-code258/LDT-NSGA-II/blob/main/algorithms/ldmt_nsga2.py</w:t>
        <w:br/>
        <w:t>https://github.com/Peter-code258/LDT-NSGA-II/blob/main/algorithms/distribution_features.py</w:t>
      </w:r>
    </w:p>
    <w:p>
      <w:pPr>
        <w:pStyle w:val="Heading2"/>
      </w:pPr>
      <w:r>
        <w:t>2.3 FDA4 距离变量切片</w:t>
      </w:r>
    </w:p>
    <w:p>
      <w:r>
        <w:t>项目 problems/fda4.py 当前写法为 X[:, M:]，而 PlatEMO 的 FDA4.m 使用 PopDec(:,obj.M:end)。MATLAB 从 1 开始索引，换成 Python 从 0 开始索引时，对应切片应是 X[:, M-1:]。FDA4 默认 D=M+9，因此这个偏移会使一个决策变量没有进入距离项，改变测试函数的有效变量定义。</w:t>
      </w:r>
    </w:p>
    <w:p>
      <w:r>
        <w:t>建议修改为：</w:t>
      </w:r>
    </w:p>
    <w:p>
      <w:pPr>
        <w:spacing w:before="60" w:after="120"/>
        <w:ind w:left="259" w:right="173"/>
        <w:shd w:fill="F2F4F7"/>
      </w:pPr>
      <w:r>
        <w:rPr>
          <w:rFonts w:ascii="Consolas" w:hAnsi="Consolas" w:eastAsia="等线"/>
          <w:sz w:val="18"/>
        </w:rPr>
        <w:t>g = np.sum((X[:, M - 1:] - G) ** 2, axis=1)</w:t>
      </w:r>
    </w:p>
    <w:p>
      <w:r>
        <w:t>并同步调整 tests/test_environment_change.py：将 FDA4 的距离变量设置为 X[:, M-1:] = G，再检验最优决策位置对应的目标向量范数为 1。添加与官方参考实现逐点比对的测试，使用固定随机 X 与固定 t，比较 Python 和参考实现的 F。</w:t>
      </w:r>
    </w:p>
    <w:p>
      <w:r>
        <w:t>出处：</w:t>
        <w:br/>
        <w:t>项目：https://github.com/Peter-code258/LDT-NSGA-II/blob/main/problems/fda4.py</w:t>
        <w:br/>
        <w:t>参考：https://github.com/BIMK/PlatEMO/blob/master/PlatEMO/Problems/Multi-objective%20optimization/FDA/FDA4.m</w:t>
      </w:r>
    </w:p>
    <w:p>
      <w:pPr>
        <w:pStyle w:val="Heading2"/>
      </w:pPr>
      <w:r>
        <w:t>2.4 静态 NSGA-II 与 DNSGA-II-inspired 不可共用同一默认映射</w:t>
      </w:r>
    </w:p>
    <w:p>
      <w:r>
        <w:t>experiments/common.py 中“NSGA-II”与“DNSGA-II-inspired”都映射到 DNSGA2Response；该类默认在环境变化时按比例保留旧个体并注入随机移民。tests/test_smoke.py 中两个测试也都创建 DNSGA2Response()。因此当前测试不会证明两个算法有行为差异。</w:t>
      </w:r>
    </w:p>
    <w:p>
      <w:r>
        <w:t>建议算法语义固定如下：</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Pr>
                <w:b/>
                <w:color w:val="FFFFFF"/>
              </w:rPr>
              <w:t>名称</w:t>
            </w:r>
          </w:p>
        </w:tc>
        <w:tc>
          <w:tcPr>
            <w:tcW w:type="dxa" w:w="3331"/>
            <w:vAlign w:val="center"/>
            <w:shd w:fill="1F4E79"/>
          </w:tcPr>
          <w:p>
            <w:r>
              <w:rPr>
                <w:b/>
                <w:color w:val="FFFFFF"/>
              </w:rPr>
              <w:t>环境变化时的处理</w:t>
            </w:r>
          </w:p>
        </w:tc>
        <w:tc>
          <w:tcPr>
            <w:tcW w:type="dxa" w:w="3331"/>
            <w:vAlign w:val="center"/>
            <w:shd w:fill="1F4E79"/>
          </w:tcPr>
          <w:p>
            <w:r>
              <w:rPr>
                <w:b/>
                <w:color w:val="FFFFFF"/>
              </w:rPr>
              <w:t>说明</w:t>
            </w:r>
          </w:p>
        </w:tc>
      </w:tr>
      <w:tr>
        <w:tc>
          <w:tcPr>
            <w:tcW w:type="dxa" w:w="3331"/>
            <w:vAlign w:val="center"/>
          </w:tcPr>
          <w:p>
            <w:r>
              <w:t>NSGA-II-static-response</w:t>
            </w:r>
          </w:p>
        </w:tc>
        <w:tc>
          <w:tcPr>
            <w:tcW w:type="dxa" w:w="3331"/>
            <w:vAlign w:val="center"/>
          </w:tcPr>
          <w:p>
            <w:r>
              <w:t>仅保留当前决策变量，进入新环境后重新评价；不注入移民、不做预测迁移</w:t>
            </w:r>
          </w:p>
        </w:tc>
        <w:tc>
          <w:tcPr>
            <w:tcW w:type="dxa" w:w="3331"/>
            <w:vAlign w:val="center"/>
          </w:tcPr>
          <w:p>
            <w:r>
              <w:t>动态问题上的静态响应基准，须在文档中明确命名</w:t>
            </w:r>
          </w:p>
        </w:tc>
      </w:tr>
      <w:tr>
        <w:tc>
          <w:tcPr>
            <w:tcW w:type="dxa" w:w="3331"/>
            <w:vAlign w:val="center"/>
          </w:tcPr>
          <w:p>
            <w:r>
              <w:t>DNSGA-II-inspired</w:t>
            </w:r>
          </w:p>
        </w:tc>
        <w:tc>
          <w:tcPr>
            <w:tcW w:type="dxa" w:w="3331"/>
            <w:vAlign w:val="center"/>
          </w:tcPr>
          <w:p>
            <w:r>
              <w:t>按固定比例进行随机移民或高变异移民</w:t>
            </w:r>
          </w:p>
        </w:tc>
        <w:tc>
          <w:tcPr>
            <w:tcW w:type="dxa" w:w="3331"/>
            <w:vAlign w:val="center"/>
          </w:tcPr>
          <w:p>
            <w:r>
              <w:t>明确为受 DNSGA-II 思路启发的项目实现，除非完成原版复现</w:t>
            </w:r>
          </w:p>
        </w:tc>
      </w:tr>
      <w:tr>
        <w:tc>
          <w:tcPr>
            <w:tcW w:type="dxa" w:w="3331"/>
            <w:vAlign w:val="center"/>
          </w:tcPr>
          <w:p>
            <w:r>
              <w:t>AR1-Predictive</w:t>
            </w:r>
          </w:p>
        </w:tc>
        <w:tc>
          <w:tcPr>
            <w:tcW w:type="dxa" w:w="3331"/>
            <w:vAlign w:val="center"/>
          </w:tcPr>
          <w:p>
            <w:r>
              <w:t>对历史中心预测并构造新种群</w:t>
            </w:r>
          </w:p>
        </w:tc>
        <w:tc>
          <w:tcPr>
            <w:tcW w:type="dxa" w:w="3331"/>
            <w:vAlign w:val="center"/>
          </w:tcPr>
          <w:p>
            <w:r>
              <w:t>保存预测回退计数</w:t>
            </w:r>
          </w:p>
        </w:tc>
      </w:tr>
      <w:tr>
        <w:tc>
          <w:tcPr>
            <w:tcW w:type="dxa" w:w="3331"/>
            <w:vAlign w:val="center"/>
          </w:tcPr>
          <w:p>
            <w:r>
              <w:t>GMM-inspired</w:t>
            </w:r>
          </w:p>
        </w:tc>
        <w:tc>
          <w:tcPr>
            <w:tcW w:type="dxa" w:w="3331"/>
            <w:vAlign w:val="center"/>
          </w:tcPr>
          <w:p>
            <w:r>
              <w:t>拟合上一环境种群分布并重新采样</w:t>
            </w:r>
          </w:p>
        </w:tc>
        <w:tc>
          <w:tcPr>
            <w:tcW w:type="dxa" w:w="3331"/>
            <w:vAlign w:val="center"/>
          </w:tcPr>
          <w:p>
            <w:r>
              <w:t>不是 KTMM 原论文的精确复现</w:t>
            </w:r>
          </w:p>
        </w:tc>
      </w:tr>
      <w:tr>
        <w:tc>
          <w:tcPr>
            <w:tcW w:type="dxa" w:w="3331"/>
            <w:vAlign w:val="center"/>
          </w:tcPr>
          <w:p>
            <w:r>
              <w:t>LDT-NSGA-II</w:t>
            </w:r>
          </w:p>
        </w:tc>
        <w:tc>
          <w:tcPr>
            <w:tcW w:type="dxa" w:w="3331"/>
            <w:vAlign w:val="center"/>
          </w:tcPr>
          <w:p>
            <w:r>
              <w:t>均值/标准差及趋势中心迁移</w:t>
            </w:r>
          </w:p>
        </w:tc>
        <w:tc>
          <w:tcPr>
            <w:tcW w:type="dxa" w:w="3331"/>
            <w:vAlign w:val="center"/>
          </w:tcPr>
          <w:p>
            <w:r>
              <w:t>候选算法</w:t>
            </w:r>
          </w:p>
        </w:tc>
      </w:tr>
    </w:tbl>
    <w:p/>
    <w:p>
      <w:r>
        <w:t>增加测试，确保同一输入时静态基线不生成移民，而 DNSGA-II-inspired 的新种群中移民数符合配置。对比实验使用规范算法 ID，不使用多个别名重复计数。</w:t>
      </w:r>
    </w:p>
    <w:p>
      <w:r>
        <w:t>出处：</w:t>
        <w:br/>
        <w:t>https://github.com/Peter-code258/LDT-NSGA-II/blob/main/experiments/common.py</w:t>
        <w:br/>
        <w:t>https://github.com/Peter-code258/LDT-NSGA-II/blob/main/algorithms/dnsga2_response.py</w:t>
        <w:br/>
        <w:t>https://github.com/Peter-code258/LDT-NSGA-II/blob/main/tests/test_smoke.py</w:t>
      </w:r>
    </w:p>
    <w:p>
      <w:pPr>
        <w:pStyle w:val="Heading1"/>
      </w:pPr>
      <w:r>
        <w:t>三、P1：提升指标正确性与实验可信度</w:t>
      </w:r>
    </w:p>
    <w:p>
      <w:pPr>
        <w:pStyle w:val="Heading2"/>
      </w:pPr>
      <w:r>
        <w:t>3.1 统一算法 ID，消除别名重复与参考组缺失</w:t>
      </w:r>
    </w:p>
    <w:p>
      <w:r>
        <w:t>当前注册表同时包含面向用户的名称与兼容别名，且 DynamicDriver 将 algorithm.name 写入 CSV；代码类名、注册名称与 analyze.py 的 ALGO_ORDER/ALGO_LABEL/参考算法名不完全一致。分析脚本中如果指定的参考名在结果里不存在，算法对比会生成空结果或漏掉比较。</w:t>
      </w:r>
    </w:p>
    <w:p>
      <w:r>
        <w:t>修改要求：</w:t>
      </w:r>
    </w:p>
    <w:p>
      <w:pPr>
        <w:pStyle w:val="ListBullet"/>
      </w:pPr>
      <w:r>
        <w:t>为每个算法定义唯一 canonical_id，例如 nsga2_static、dnsga2_inspired、ar1_predictive、gmm_inspired、ldt_nsga2、pps。</w:t>
      </w:r>
    </w:p>
    <w:p>
      <w:pPr>
        <w:pStyle w:val="ListBullet"/>
      </w:pPr>
      <w:r>
        <w:t>名称别名只用于解析命令行输入，不加入默认实验列表。</w:t>
      </w:r>
    </w:p>
    <w:p>
      <w:pPr>
        <w:pStyle w:val="ListBullet"/>
      </w:pPr>
      <w:r>
        <w:t>原始 CSV 同时存 canonical_id、display_name、class_name 和 git_commit；分析脚本只按 canonical_id 分组。</w:t>
      </w:r>
    </w:p>
    <w:p>
      <w:pPr>
        <w:pStyle w:val="ListBullet"/>
      </w:pPr>
      <w:r>
        <w:t>在分析前做完整性校验：每个实验配置下算法集合完整、每个算法均有期望数量的不同 seed、参考算法存在。</w:t>
      </w:r>
    </w:p>
    <w:p>
      <w:r>
        <w:t>验收：运行前输出唯一算法集合；运行后 CSV 中每个算法有且仅有一个规范 ID；统计报告不出现空参考组或重复算法。</w:t>
      </w:r>
    </w:p>
    <w:p>
      <w:r>
        <w:t>出处：https://github.com/Peter-code258/LDT-NSGA-II/blob/main/experiments/common.py</w:t>
        <w:br/>
        <w:t>https://github.com/Peter-code258/LDT-NSGA-II/blob/main/analyze.py</w:t>
      </w:r>
    </w:p>
    <w:p>
      <w:pPr>
        <w:pStyle w:val="Heading2"/>
      </w:pPr>
      <w:r>
        <w:t>3.2 修复检验选择与 Holm 多重比较校正</w:t>
      </w:r>
    </w:p>
    <w:p>
      <w:r>
        <w:t>evaluation/statistics.py 的 wilcoxon_holm() 使用 scipy.stats.ranksums()，属于独立样本秩和检验；函数注释却称其为 Wilcoxon。主分析脚本使用配对 wilcoxon，但 Holm 校正逻辑没有维护校正 p 值的累积最大值。</w:t>
      </w:r>
    </w:p>
    <w:p>
      <w:r>
        <w:t>整改要求：</w:t>
      </w:r>
    </w:p>
    <w:p>
      <w:pPr>
        <w:pStyle w:val="ListNumber"/>
      </w:pPr>
      <w:r>
        <w:t>明确一组实验的 seed 是否配对。如果同一个 seed 在所有算法中使用相同的问题、环境参数与预算，则先按 seed 对齐，再使用配对检验；缺失 seed 不得静默错位。</w:t>
      </w:r>
    </w:p>
    <w:p>
      <w:pPr>
        <w:pStyle w:val="ListNumber"/>
      </w:pPr>
      <w:r>
        <w:t>实现一个单独的 holm_adjust(p_values) 函数：p 值升序排序，计算 (m-i)*p_(i)，按 1 累积最大并截断至 1，再映射回原顺序。</w:t>
      </w:r>
    </w:p>
    <w:p>
      <w:pPr>
        <w:pStyle w:val="ListNumber"/>
      </w:pPr>
      <w:r>
        <w:t>同时报告原始 p、校正 p、样本量、效果方向和效果量；多算法总体检验与事后比较分别报告。</w:t>
      </w:r>
    </w:p>
    <w:p>
      <w:pPr>
        <w:pStyle w:val="ListNumber"/>
      </w:pPr>
      <w:r>
        <w:t>添加已知 p 值数组单元测试，验证调整后的 p 值均在 [0,1] 且按排序关系满足 Holm 单调性。</w:t>
      </w:r>
    </w:p>
    <w:p>
      <w:r>
        <w:t>建议实现的核心校正规则：</w:t>
      </w:r>
    </w:p>
    <w:p>
      <w:pPr>
        <w:spacing w:before="60" w:after="120"/>
        <w:ind w:left="259" w:right="173"/>
        <w:shd w:fill="F2F4F7"/>
      </w:pPr>
      <w:r>
        <w:rPr>
          <w:rFonts w:ascii="Consolas" w:hAnsi="Consolas" w:eastAsia="等线"/>
          <w:sz w:val="18"/>
        </w:rPr>
        <w:t>order = np.argsort(p_values)</w:t>
      </w:r>
      <w:r>
        <w:br/>
      </w:r>
      <w:r>
        <w:rPr>
          <w:rFonts w:ascii="Consolas" w:hAnsi="Consolas" w:eastAsia="等线"/>
          <w:sz w:val="18"/>
        </w:rPr>
        <w:t>m = len(p_values)</w:t>
      </w:r>
      <w:r>
        <w:br/>
      </w:r>
      <w:r>
        <w:rPr>
          <w:rFonts w:ascii="Consolas" w:hAnsi="Consolas" w:eastAsia="等线"/>
          <w:sz w:val="18"/>
        </w:rPr>
        <w:t>adjusted_sorted = np.empty(m, dtype=float)</w:t>
      </w:r>
      <w:r>
        <w:br/>
      </w:r>
      <w:r>
        <w:rPr>
          <w:rFonts w:ascii="Consolas" w:hAnsi="Consolas" w:eastAsia="等线"/>
          <w:sz w:val="18"/>
        </w:rPr>
        <w:t>running_max = 0.0</w:t>
      </w:r>
      <w:r>
        <w:br/>
      </w:r>
      <w:r>
        <w:rPr>
          <w:rFonts w:ascii="Consolas" w:hAnsi="Consolas" w:eastAsia="等线"/>
          <w:sz w:val="18"/>
        </w:rPr>
        <w:t>for rank, idx in enumerate(order):</w:t>
      </w:r>
      <w:r>
        <w:br/>
      </w:r>
      <w:r>
        <w:rPr>
          <w:rFonts w:ascii="Consolas" w:hAnsi="Consolas" w:eastAsia="等线"/>
          <w:sz w:val="18"/>
        </w:rPr>
        <w:t xml:space="preserve">    candidate = (m - rank) * p_values[idx]</w:t>
      </w:r>
      <w:r>
        <w:br/>
      </w:r>
      <w:r>
        <w:rPr>
          <w:rFonts w:ascii="Consolas" w:hAnsi="Consolas" w:eastAsia="等线"/>
          <w:sz w:val="18"/>
        </w:rPr>
        <w:t xml:space="preserve">    running_max = max(running_max, candidate)</w:t>
      </w:r>
      <w:r>
        <w:br/>
      </w:r>
      <w:r>
        <w:rPr>
          <w:rFonts w:ascii="Consolas" w:hAnsi="Consolas" w:eastAsia="等线"/>
          <w:sz w:val="18"/>
        </w:rPr>
        <w:t xml:space="preserve">    adjusted_sorted[rank] = min(1.0, running_max)</w:t>
      </w:r>
      <w:r>
        <w:br/>
      </w:r>
      <w:r>
        <w:rPr>
          <w:rFonts w:ascii="Consolas" w:hAnsi="Consolas" w:eastAsia="等线"/>
          <w:sz w:val="18"/>
        </w:rPr>
        <w:t># 最后按 order 映射回原始 p 值顺序</w:t>
      </w:r>
    </w:p>
    <w:p>
      <w:r>
        <w:t>以上逻辑需转写成完整函数并测试，不应只粘贴片段到生产分析流程。</w:t>
      </w:r>
    </w:p>
    <w:p>
      <w:r>
        <w:t>出处：</w:t>
        <w:br/>
        <w:t>https://github.com/Peter-code258/LDT-NSGA-II/blob/main/evaluation/statistics.py</w:t>
        <w:br/>
        <w:t>https://github.com/Peter-code258/LDT-NSGA-II/blob/main/analyze.py</w:t>
      </w:r>
    </w:p>
    <w:p>
      <w:pPr>
        <w:pStyle w:val="Heading2"/>
      </w:pPr>
      <w:r>
        <w:t>3.3 FDA4 参考前沿采样</w:t>
      </w:r>
    </w:p>
    <w:p>
      <w:r>
        <w:t>problems/true_fronts.py 的三目标 FDA4 参考前沿通过 Dirichlet 随机采样并归一化到单位球面。点落在球面上并不等于沿前沿均匀覆盖；IGD 会受到参考点分布影响，因此采样偏差可能改变覆盖质量的权重。</w:t>
      </w:r>
    </w:p>
    <w:p>
      <w:r>
        <w:t>建议：优先按照锁定版本的 PlatEMO FDA4.GetOptimum/UniformPoint 规则实现并注明差异；参考前沿应固定、确定性生成、缓存，并在元数据中保存点数和生成算法。不要仅为方便就把随机 Dirichlet 点称作均匀前沿。</w:t>
      </w:r>
    </w:p>
    <w:p>
      <w:r>
        <w:t>测试要求：重复生成应逐点相同；目标维度与问题 M 一致；全部点应满足单位球面条件和 Pareto 前沿定义的边界条件。</w:t>
      </w:r>
    </w:p>
    <w:p>
      <w:r>
        <w:t>出处：</w:t>
        <w:br/>
        <w:t>https://github.com/Peter-code258/LDT-NSGA-II/blob/main/problems/true_fronts.py</w:t>
        <w:br/>
        <w:t>https://github.com/BIMK/PlatEMO/blob/master/PlatEMO/Problems/Multi-objective%20optimization/FDA/FDA4.m</w:t>
      </w:r>
    </w:p>
    <w:p>
      <w:pPr>
        <w:pStyle w:val="Heading2"/>
      </w:pPr>
      <w:r>
        <w:t>3.4 HV 的指数级备用实现</w:t>
      </w:r>
    </w:p>
    <w:p>
      <w:r>
        <w:t>evaluation/hv.py 在 pymoo HV 调用不可用或报错时转到 _hv_exact()；该备用实现采用包含—排斥枚举，其子集枚举规模随点数 N 按 2^N 增长。即使是几百个点也可能极慢。</w:t>
      </w:r>
    </w:p>
    <w:p>
      <w:r>
        <w:t>整改要求：</w:t>
      </w:r>
    </w:p>
    <w:p>
      <w:pPr>
        <w:pStyle w:val="ListBullet"/>
      </w:pPr>
      <w:r>
        <w:t>不要在任意 N 上无条件调用指数级备用实现。</w:t>
      </w:r>
    </w:p>
    <w:p>
      <w:pPr>
        <w:pStyle w:val="ListBullet"/>
      </w:pPr>
      <w:r>
        <w:t>优先统一依赖并测试 pymoo 的 HV API；库调用失败时应记录异常并明确失败，而不是静默地切换到计算量不可控的逻辑。</w:t>
      </w:r>
    </w:p>
    <w:p>
      <w:pPr>
        <w:pStyle w:val="ListBullet"/>
      </w:pPr>
      <w:r>
        <w:t>若必须保留 fallback，应限定受支持的点数/目标维数，并为二维实现采用经单元测试的高效精确算法；高维数据使用经过验证的专用实现。</w:t>
      </w:r>
    </w:p>
    <w:p>
      <w:pPr>
        <w:pStyle w:val="ListBullet"/>
      </w:pPr>
      <w:r>
        <w:t>在测试中覆盖空集、单点、含被支配点、参考点维数不一致和超出参考点的点集。</w:t>
      </w:r>
    </w:p>
    <w:p>
      <w:r>
        <w:t>出处：https://github.com/Peter-code258/LDT-NSGA-II/blob/main/evaluation/hv.py</w:t>
      </w:r>
    </w:p>
    <w:p>
      <w:pPr>
        <w:pStyle w:val="Heading2"/>
      </w:pPr>
      <w:r>
        <w:t>3.5 实验评估预算和累计函数评估计数</w:t>
      </w:r>
    </w:p>
    <w:p>
      <w:r>
        <w:t>RunConfig 声明 evals_per_env=5000，但 run_single() / DynamicDriver 当前按 n_gen // tau_t 切分环境，并以 tau_t 作为每个环境运行的代数；所示代码路径并未用 evals_per_env 来决定停止。DynamicDriver 每个环境又新建一个 NSGA2 实例，因此 algo.n_eval 是环境局部计数，不能直接视为整次运行累计函数评估量。</w:t>
      </w:r>
    </w:p>
    <w:p>
      <w:r>
        <w:t>建议把配置名与行为匹配：</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Pr>
                <w:b/>
                <w:color w:val="FFFFFF"/>
              </w:rPr>
              <w:t>字段</w:t>
            </w:r>
          </w:p>
        </w:tc>
        <w:tc>
          <w:tcPr>
            <w:tcW w:type="dxa" w:w="3331"/>
            <w:vAlign w:val="center"/>
            <w:shd w:fill="1F4E79"/>
          </w:tcPr>
          <w:p>
            <w:r>
              <w:rPr>
                <w:b/>
                <w:color w:val="FFFFFF"/>
              </w:rPr>
              <w:t>定义</w:t>
            </w:r>
          </w:p>
        </w:tc>
        <w:tc>
          <w:tcPr>
            <w:tcW w:type="dxa" w:w="3331"/>
            <w:vAlign w:val="center"/>
            <w:shd w:fill="1F4E79"/>
          </w:tcPr>
          <w:p>
            <w:r>
              <w:rPr>
                <w:b/>
                <w:color w:val="FFFFFF"/>
              </w:rPr>
              <w:t>用途</w:t>
            </w:r>
          </w:p>
        </w:tc>
      </w:tr>
      <w:tr>
        <w:tc>
          <w:tcPr>
            <w:tcW w:type="dxa" w:w="3331"/>
            <w:vAlign w:val="center"/>
          </w:tcPr>
          <w:p>
            <w:r>
              <w:t>population_size</w:t>
            </w:r>
          </w:p>
        </w:tc>
        <w:tc>
          <w:tcPr>
            <w:tcW w:type="dxa" w:w="3331"/>
            <w:vAlign w:val="center"/>
          </w:tcPr>
          <w:p>
            <w:r>
              <w:t>每代目标个体数 N</w:t>
            </w:r>
          </w:p>
        </w:tc>
        <w:tc>
          <w:tcPr>
            <w:tcW w:type="dxa" w:w="3331"/>
            <w:vAlign w:val="center"/>
          </w:tcPr>
          <w:p>
            <w:r>
              <w:t>所有算法一致</w:t>
            </w:r>
          </w:p>
        </w:tc>
      </w:tr>
      <w:tr>
        <w:tc>
          <w:tcPr>
            <w:tcW w:type="dxa" w:w="3331"/>
            <w:vAlign w:val="center"/>
          </w:tcPr>
          <w:p>
            <w:r>
              <w:t>generations_per_environment</w:t>
            </w:r>
          </w:p>
        </w:tc>
        <w:tc>
          <w:tcPr>
            <w:tcW w:type="dxa" w:w="3331"/>
            <w:vAlign w:val="center"/>
          </w:tcPr>
          <w:p>
            <w:r>
              <w:t>每个环境的代数 tau_t</w:t>
            </w:r>
          </w:p>
        </w:tc>
        <w:tc>
          <w:tcPr>
            <w:tcW w:type="dxa" w:w="3331"/>
            <w:vAlign w:val="center"/>
          </w:tcPr>
          <w:p>
            <w:r>
              <w:t>研究变化频率时使用</w:t>
            </w:r>
          </w:p>
        </w:tc>
      </w:tr>
      <w:tr>
        <w:tc>
          <w:tcPr>
            <w:tcW w:type="dxa" w:w="3331"/>
            <w:vAlign w:val="center"/>
          </w:tcPr>
          <w:p>
            <w:r>
              <w:t>max_evaluations_per_environment</w:t>
            </w:r>
          </w:p>
        </w:tc>
        <w:tc>
          <w:tcPr>
            <w:tcW w:type="dxa" w:w="3331"/>
            <w:vAlign w:val="center"/>
          </w:tcPr>
          <w:p>
            <w:r>
              <w:t>每环境最大真实目标评估次数</w:t>
            </w:r>
          </w:p>
        </w:tc>
        <w:tc>
          <w:tcPr>
            <w:tcW w:type="dxa" w:w="3331"/>
            <w:vAlign w:val="center"/>
          </w:tcPr>
          <w:p>
            <w:r>
              <w:t>按计算预算公平比较时使用</w:t>
            </w:r>
          </w:p>
        </w:tc>
      </w:tr>
      <w:tr>
        <w:tc>
          <w:tcPr>
            <w:tcW w:type="dxa" w:w="3331"/>
            <w:vAlign w:val="center"/>
          </w:tcPr>
          <w:p>
            <w:r>
              <w:t>n_eval_environment</w:t>
            </w:r>
          </w:p>
        </w:tc>
        <w:tc>
          <w:tcPr>
            <w:tcW w:type="dxa" w:w="3331"/>
            <w:vAlign w:val="center"/>
          </w:tcPr>
          <w:p>
            <w:r>
              <w:t>当前环境实例累计目标评估次数</w:t>
            </w:r>
          </w:p>
        </w:tc>
        <w:tc>
          <w:tcPr>
            <w:tcW w:type="dxa" w:w="3331"/>
            <w:vAlign w:val="center"/>
          </w:tcPr>
          <w:p>
            <w:r>
              <w:t>运行日志</w:t>
            </w:r>
          </w:p>
        </w:tc>
      </w:tr>
      <w:tr>
        <w:tc>
          <w:tcPr>
            <w:tcW w:type="dxa" w:w="3331"/>
            <w:vAlign w:val="center"/>
          </w:tcPr>
          <w:p>
            <w:r>
              <w:t>n_eval_total</w:t>
            </w:r>
          </w:p>
        </w:tc>
        <w:tc>
          <w:tcPr>
            <w:tcW w:type="dxa" w:w="3331"/>
            <w:vAlign w:val="center"/>
          </w:tcPr>
          <w:p>
            <w:r>
              <w:t>整次动态运行累计目标评估次数</w:t>
            </w:r>
          </w:p>
        </w:tc>
        <w:tc>
          <w:tcPr>
            <w:tcW w:type="dxa" w:w="3331"/>
            <w:vAlign w:val="center"/>
          </w:tcPr>
          <w:p>
            <w:r>
              <w:t>预算审计与论文报告</w:t>
            </w:r>
          </w:p>
        </w:tc>
      </w:tr>
    </w:tbl>
    <w:p/>
    <w:p>
      <w:r>
        <w:t>建议在论文实验中清楚说明主对比采用固定代数还是固定目标评估次数。若固定代数，记录真实评估数量；若固定评估预算，运行器必须依据实际评估计数停止，而不是仅把字段写进配置。</w:t>
      </w:r>
    </w:p>
    <w:p>
      <w:r>
        <w:t>计数必须来自真实 Problem 调用或算法实际评估记录，不能以代数×种群规模替代真实计数，因为首代、重复个体消除与初始化方式可能影响评估数量。</w:t>
      </w:r>
    </w:p>
    <w:p>
      <w:r>
        <w:t>出处：</w:t>
        <w:br/>
        <w:t>https://github.com/Peter-code258/LDT-NSGA-II/blob/main/experiments/common.py</w:t>
        <w:br/>
        <w:t>https://github.com/Peter-code258/LDT-NSGA-II/blob/main/algorithms/nsga2_core.py</w:t>
      </w:r>
    </w:p>
    <w:p>
      <w:pPr>
        <w:pStyle w:val="Heading2"/>
      </w:pPr>
      <w:r>
        <w:t>3.6 版本、种子和失败运行可追溯</w:t>
      </w:r>
    </w:p>
    <w:p>
      <w:r>
        <w:t>当前 Driver 将 code_version 写成固定字符串 v1.0，RunConfig 也有默认的静态版本字段；这不保证记录对应实际 Git commit。ExperimentRunner 捕获异常后打印 FAIL 并继续执行，因此最终“Done”不一定意味着预期运行全部成功。</w:t>
      </w:r>
    </w:p>
    <w:p>
      <w:r>
        <w:t>必须增加以下元数据：git_commit、git_dirty（工作区是否有未提交更改）、配置文件哈希、Python 版本、依赖版本、操作系统、CPU 信息、seed、运行开始/结束时间、错误状态。</w:t>
      </w:r>
    </w:p>
    <w:p>
      <w:r>
        <w:t>实验结束时，对照预期组合数与成功完成的组合数。存在失败任务时生成失败清单并返回非零退出状态；断点续跑只应跳过已完成且配置哈希一致的任务。</w:t>
      </w:r>
    </w:p>
    <w:p>
      <w:r>
        <w:t>出处：</w:t>
        <w:br/>
        <w:t>https://github.com/Peter-code258/LDT-NSGA-II/blob/main/experiments/common.py</w:t>
        <w:br/>
        <w:t>https://github.com/Peter-code258/LDT-NSGA-II/blob/main/algorithms/nsga2_core.py</w:t>
      </w:r>
    </w:p>
    <w:p>
      <w:pPr>
        <w:pStyle w:val="Heading2"/>
      </w:pPr>
      <w:r>
        <w:t>3.7 环境变化探针设计</w:t>
      </w:r>
    </w:p>
    <w:p>
      <w:r>
        <w:t>ChangeDetector 当前用探针目标值差异估计 D_k，但 LDT/AR/GMM 的探针是从 prev_X 的前若干行截取后裁剪到 [0,1]。FDA1/FDA3 的部分变量合法范围为 [-1,1]，裁剪会改变探针分布；不同算法种群不同，探针样本也可能不同，因此 D_k 的跨算法比较不完全公平。首次调用时因缺少 prev_F，只能返回 0；第一处环境切换可能无法获得有效变化幅度。</w:t>
      </w:r>
    </w:p>
    <w:p>
      <w:r>
        <w:t>建议：</w:t>
      </w:r>
    </w:p>
    <w:p>
      <w:pPr>
        <w:pStyle w:val="ListBullet"/>
      </w:pPr>
      <w:r>
        <w:t>用固定 seed 的 Sobol 或 Latin hypercube 探针，在真实问题边界 [xl,xu] 中生成；所有算法共用相同探针。</w:t>
      </w:r>
    </w:p>
    <w:p>
      <w:pPr>
        <w:pStyle w:val="ListBullet"/>
      </w:pPr>
      <w:r>
        <w:t>在旧环境结束时保存该探针的目标值，新环境时在相同 X 上重新评价，计算 D_k。</w:t>
      </w:r>
    </w:p>
    <w:p>
      <w:pPr>
        <w:pStyle w:val="ListBullet"/>
      </w:pPr>
      <w:r>
        <w:t>记录每个环境的探针目标值、变化幅度计算方法和归一化尺度。</w:t>
      </w:r>
    </w:p>
    <w:p>
      <w:pPr>
        <w:pStyle w:val="ListBullet"/>
      </w:pPr>
      <w:r>
        <w:t>将主实验的已知环境变化时刻与在线检测实验分开。主实验使用 oracle change flag，以单独比较迁移策略；在线检测作为扩展实验。</w:t>
      </w:r>
    </w:p>
    <w:p>
      <w:r>
        <w:t>出处：</w:t>
        <w:br/>
        <w:t>https://github.com/Peter-code258/LDT-NSGA-II/blob/main/algorithms/environment_manager.py</w:t>
        <w:br/>
        <w:t>https://github.com/Peter-code258/LDT-NSGA-II/blob/main/algorithms/ldmt_nsga2.py</w:t>
        <w:br/>
        <w:t>https://github.com/Peter-code258/LDT-NSGA-II/blob/main/algorithms/ar_nsga2.py</w:t>
      </w:r>
    </w:p>
    <w:p>
      <w:pPr>
        <w:pStyle w:val="Heading1"/>
      </w:pPr>
      <w:r>
        <w:t>四、P2：基础正确后再改进算法</w:t>
      </w:r>
    </w:p>
    <w:p>
      <w:pPr>
        <w:pStyle w:val="Heading2"/>
      </w:pPr>
      <w:r>
        <w:t>4.1 GMM 对照的随机数与回退记录</w:t>
      </w:r>
    </w:p>
    <w:p>
      <w:r>
        <w:t>GMMTransfer 在 sklearn GaussianMixture 中使用固定 random_state=42，而外部传入的 rng 用于其他采样步骤。该做法不完全服从统一 seed 流。如果模型拟合失败并退回随机采样，若只记录最终指标而不记录回退状态，GMM 对照的实际行为就不透明。</w:t>
      </w:r>
    </w:p>
    <w:p>
      <w:r>
        <w:t>整改：为每个 run/env 推导可复现的 GMM seed；记录 covariance_type、n_components、fit_status、fallback_used、fit_time、sample_time。若拟合失败，明确写入异常原因；分析时不能把回退样本无标记地当成成功 GMM 采样。</w:t>
      </w:r>
    </w:p>
    <w:p>
      <w:r>
        <w:t>出处：https://github.com/Peter-code258/LDT-NSGA-II/blob/main/algorithms/gmm_transfer_nsga2.py</w:t>
      </w:r>
    </w:p>
    <w:p>
      <w:pPr>
        <w:pStyle w:val="Heading2"/>
      </w:pPr>
      <w:r>
        <w:t>4.2 多源知识融合需处理历史分布间方差</w:t>
      </w:r>
    </w:p>
    <w:p>
      <w:r>
        <w:t>当前 _fuse_features() 主要对历史均值和标准差按相似度做加权平均。直接平均标准差忽略不同历史环境中心之间的方差贡献；所有历史环境也仍可能获得非零权重。</w:t>
      </w:r>
    </w:p>
    <w:p>
      <w:r>
        <w:t>建议先保留当前环境作为主权重，并加入相似度阈值或有效权重下限，防止迁移明显不相似的环境知识。若要融合方差，应基于混合分布二阶矩：先求加权均值，再计算各分布内部方差与均值偏差项的加权和，最后开平方，而不是直接平均 sigma。该扩展要独立消融，未验证前不要默认开启。</w:t>
      </w:r>
    </w:p>
    <w:p>
      <w:r>
        <w:t>出处：https://github.com/Peter-code258/LDT-NSGA-II/blob/main/algorithms/ldmt_nsga2.py</w:t>
      </w:r>
    </w:p>
    <w:p>
      <w:pPr>
        <w:pStyle w:val="Heading2"/>
      </w:pPr>
      <w:r>
        <w:t>4.3 自适应迁移强度应后置验证</w:t>
      </w:r>
    </w:p>
    <w:p>
      <w:r>
        <w:t>当前 adaptive_transfer 依据 D_k 与历史最大 D_k 的比值放大 sigma。该归一化依赖历史最大值，且首次或异常变化会影响后续尺度。建议在基础 LDT 坐标修复后，再做固定参数基线与自适应版本的配对消融。</w:t>
      </w:r>
    </w:p>
    <w:p>
      <w:r>
        <w:t>建议记录 sigma_scale、D_k、历史最大值、边界裁剪率和变化后 IGD/HV；对放大倍数设定明确上限，并增加异常 D_k 或探针噪声下的回退策略。只有在多组变化幅度和频率下出现可重复收益，才将该模块作为论文创新点。</w:t>
      </w:r>
    </w:p>
    <w:p>
      <w:r>
        <w:t>出处：https://github.com/Peter-code258/LDT-NSGA-II/blob/main/algorithms/ldmt_nsga2.py</w:t>
      </w:r>
    </w:p>
    <w:p>
      <w:pPr>
        <w:pStyle w:val="Heading1"/>
      </w:pPr>
      <w:r>
        <w:t>五、建议的修复顺序与验收门槛</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Pr>
                <w:b/>
                <w:color w:val="FFFFFF"/>
              </w:rPr>
              <w:t>阶段</w:t>
            </w:r>
          </w:p>
        </w:tc>
        <w:tc>
          <w:tcPr>
            <w:tcW w:type="dxa" w:w="2498"/>
            <w:vAlign w:val="center"/>
            <w:shd w:fill="1F4E79"/>
          </w:tcPr>
          <w:p>
            <w:r>
              <w:rPr>
                <w:b/>
                <w:color w:val="FFFFFF"/>
              </w:rPr>
              <w:t>任务</w:t>
            </w:r>
          </w:p>
        </w:tc>
        <w:tc>
          <w:tcPr>
            <w:tcW w:type="dxa" w:w="2498"/>
            <w:vAlign w:val="center"/>
            <w:shd w:fill="1F4E79"/>
          </w:tcPr>
          <w:p>
            <w:r>
              <w:rPr>
                <w:b/>
                <w:color w:val="FFFFFF"/>
              </w:rPr>
              <w:t>验收门槛</w:t>
            </w:r>
          </w:p>
        </w:tc>
        <w:tc>
          <w:tcPr>
            <w:tcW w:type="dxa" w:w="2498"/>
            <w:vAlign w:val="center"/>
            <w:shd w:fill="1F4E79"/>
          </w:tcPr>
          <w:p>
            <w:r>
              <w:rPr>
                <w:b/>
                <w:color w:val="FFFFFF"/>
              </w:rPr>
              <w:t>未通过时</w:t>
            </w:r>
          </w:p>
        </w:tc>
      </w:tr>
      <w:tr>
        <w:tc>
          <w:tcPr>
            <w:tcW w:type="dxa" w:w="2498"/>
            <w:vAlign w:val="center"/>
          </w:tcPr>
          <w:p>
            <w:r>
              <w:t>0A</w:t>
            </w:r>
          </w:p>
        </w:tc>
        <w:tc>
          <w:tcPr>
            <w:tcW w:type="dxa" w:w="2498"/>
            <w:vAlign w:val="center"/>
          </w:tcPr>
          <w:p>
            <w:r>
              <w:t>补齐/移除缺失模块与统一导入</w:t>
            </w:r>
          </w:p>
        </w:tc>
        <w:tc>
          <w:tcPr>
            <w:tcW w:type="dxa" w:w="2498"/>
            <w:vAlign w:val="center"/>
          </w:tcPr>
          <w:p>
            <w:r>
              <w:t>import 检查全部通过</w:t>
            </w:r>
          </w:p>
        </w:tc>
        <w:tc>
          <w:tcPr>
            <w:tcW w:type="dxa" w:w="2498"/>
            <w:vAlign w:val="center"/>
          </w:tcPr>
          <w:p>
            <w:r>
              <w:t>停止所有实验</w:t>
            </w:r>
          </w:p>
        </w:tc>
      </w:tr>
      <w:tr>
        <w:tc>
          <w:tcPr>
            <w:tcW w:type="dxa" w:w="2498"/>
            <w:vAlign w:val="center"/>
          </w:tcPr>
          <w:p>
            <w:r>
              <w:t>0B</w:t>
            </w:r>
          </w:p>
        </w:tc>
        <w:tc>
          <w:tcPr>
            <w:tcW w:type="dxa" w:w="2498"/>
            <w:vAlign w:val="center"/>
          </w:tcPr>
          <w:p>
            <w:r>
              <w:t>修正 LDT 归一化坐标系</w:t>
            </w:r>
          </w:p>
        </w:tc>
        <w:tc>
          <w:tcPr>
            <w:tcW w:type="dxa" w:w="2498"/>
            <w:vAlign w:val="center"/>
          </w:tcPr>
          <w:p>
            <w:r>
              <w:t>边界、范围、往返与确定性测试通过</w:t>
            </w:r>
          </w:p>
        </w:tc>
        <w:tc>
          <w:tcPr>
            <w:tcW w:type="dxa" w:w="2498"/>
            <w:vAlign w:val="center"/>
          </w:tcPr>
          <w:p>
            <w:r>
              <w:t>不解释任何性能结果</w:t>
            </w:r>
          </w:p>
        </w:tc>
      </w:tr>
      <w:tr>
        <w:tc>
          <w:tcPr>
            <w:tcW w:type="dxa" w:w="2498"/>
            <w:vAlign w:val="center"/>
          </w:tcPr>
          <w:p>
            <w:r>
              <w:t>0C</w:t>
            </w:r>
          </w:p>
        </w:tc>
        <w:tc>
          <w:tcPr>
            <w:tcW w:type="dxa" w:w="2498"/>
            <w:vAlign w:val="center"/>
          </w:tcPr>
          <w:p>
            <w:r>
              <w:t>修正 FDA4 切片并对照标准实现</w:t>
            </w:r>
          </w:p>
        </w:tc>
        <w:tc>
          <w:tcPr>
            <w:tcW w:type="dxa" w:w="2498"/>
            <w:vAlign w:val="center"/>
          </w:tcPr>
          <w:p>
            <w:r>
              <w:t>固定输入逐点一致，PF 最优点测试通过</w:t>
            </w:r>
          </w:p>
        </w:tc>
        <w:tc>
          <w:tcPr>
            <w:tcW w:type="dxa" w:w="2498"/>
            <w:vAlign w:val="center"/>
          </w:tcPr>
          <w:p>
            <w:r>
              <w:t>不发布 FDA4 结果</w:t>
            </w:r>
          </w:p>
        </w:tc>
      </w:tr>
      <w:tr>
        <w:tc>
          <w:tcPr>
            <w:tcW w:type="dxa" w:w="2498"/>
            <w:vAlign w:val="center"/>
          </w:tcPr>
          <w:p>
            <w:r>
              <w:t>0D</w:t>
            </w:r>
          </w:p>
        </w:tc>
        <w:tc>
          <w:tcPr>
            <w:tcW w:type="dxa" w:w="2498"/>
            <w:vAlign w:val="center"/>
          </w:tcPr>
          <w:p>
            <w:r>
              <w:t>拆分静态基线与响应式基线</w:t>
            </w:r>
          </w:p>
        </w:tc>
        <w:tc>
          <w:tcPr>
            <w:tcW w:type="dxa" w:w="2498"/>
            <w:vAlign w:val="center"/>
          </w:tcPr>
          <w:p>
            <w:r>
              <w:t>测试证明行为差异符合定义</w:t>
            </w:r>
          </w:p>
        </w:tc>
        <w:tc>
          <w:tcPr>
            <w:tcW w:type="dxa" w:w="2498"/>
            <w:vAlign w:val="center"/>
          </w:tcPr>
          <w:p>
            <w:r>
              <w:t>主实验不开始</w:t>
            </w:r>
          </w:p>
        </w:tc>
      </w:tr>
      <w:tr>
        <w:tc>
          <w:tcPr>
            <w:tcW w:type="dxa" w:w="2498"/>
            <w:vAlign w:val="center"/>
          </w:tcPr>
          <w:p>
            <w:r>
              <w:t>1A</w:t>
            </w:r>
          </w:p>
        </w:tc>
        <w:tc>
          <w:tcPr>
            <w:tcW w:type="dxa" w:w="2498"/>
            <w:vAlign w:val="center"/>
          </w:tcPr>
          <w:p>
            <w:r>
              <w:t>统一算法 ID、元数据和运行失败状态</w:t>
            </w:r>
          </w:p>
        </w:tc>
        <w:tc>
          <w:tcPr>
            <w:tcW w:type="dxa" w:w="2498"/>
            <w:vAlign w:val="center"/>
          </w:tcPr>
          <w:p>
            <w:r>
              <w:t>实验组合与 CSV 完整性审计通过</w:t>
            </w:r>
          </w:p>
        </w:tc>
        <w:tc>
          <w:tcPr>
            <w:tcW w:type="dxa" w:w="2498"/>
            <w:vAlign w:val="center"/>
          </w:tcPr>
          <w:p>
            <w:r>
              <w:t>不生成最终统计报告</w:t>
            </w:r>
          </w:p>
        </w:tc>
      </w:tr>
      <w:tr>
        <w:tc>
          <w:tcPr>
            <w:tcW w:type="dxa" w:w="2498"/>
            <w:vAlign w:val="center"/>
          </w:tcPr>
          <w:p>
            <w:r>
              <w:t>1B</w:t>
            </w:r>
          </w:p>
        </w:tc>
        <w:tc>
          <w:tcPr>
            <w:tcW w:type="dxa" w:w="2498"/>
            <w:vAlign w:val="center"/>
          </w:tcPr>
          <w:p>
            <w:r>
              <w:t>修复指标与统计检验</w:t>
            </w:r>
          </w:p>
        </w:tc>
        <w:tc>
          <w:tcPr>
            <w:tcW w:type="dxa" w:w="2498"/>
            <w:vAlign w:val="center"/>
          </w:tcPr>
          <w:p>
            <w:r>
              <w:t>已知测试集通过，HV 无指数级误回退</w:t>
            </w:r>
          </w:p>
        </w:tc>
        <w:tc>
          <w:tcPr>
            <w:tcW w:type="dxa" w:w="2498"/>
            <w:vAlign w:val="center"/>
          </w:tcPr>
          <w:p>
            <w:r>
              <w:t>不使用当前 p 值做结论</w:t>
            </w:r>
          </w:p>
        </w:tc>
      </w:tr>
      <w:tr>
        <w:tc>
          <w:tcPr>
            <w:tcW w:type="dxa" w:w="2498"/>
            <w:vAlign w:val="center"/>
          </w:tcPr>
          <w:p>
            <w:r>
              <w:t>1C</w:t>
            </w:r>
          </w:p>
        </w:tc>
        <w:tc>
          <w:tcPr>
            <w:tcW w:type="dxa" w:w="2498"/>
            <w:vAlign w:val="center"/>
          </w:tcPr>
          <w:p>
            <w:r>
              <w:t>修复评估预算和累计计数</w:t>
            </w:r>
          </w:p>
        </w:tc>
        <w:tc>
          <w:tcPr>
            <w:tcW w:type="dxa" w:w="2498"/>
            <w:vAlign w:val="center"/>
          </w:tcPr>
          <w:p>
            <w:r>
              <w:t>配置与实际计数一致</w:t>
            </w:r>
          </w:p>
        </w:tc>
        <w:tc>
          <w:tcPr>
            <w:tcW w:type="dxa" w:w="2498"/>
            <w:vAlign w:val="center"/>
          </w:tcPr>
          <w:p>
            <w:r>
              <w:t>不声称预算公平</w:t>
            </w:r>
          </w:p>
        </w:tc>
      </w:tr>
      <w:tr>
        <w:tc>
          <w:tcPr>
            <w:tcW w:type="dxa" w:w="2498"/>
            <w:vAlign w:val="center"/>
          </w:tcPr>
          <w:p>
            <w:r>
              <w:t>2A</w:t>
            </w:r>
          </w:p>
        </w:tc>
        <w:tc>
          <w:tcPr>
            <w:tcW w:type="dxa" w:w="2498"/>
            <w:vAlign w:val="center"/>
          </w:tcPr>
          <w:p>
            <w:r>
              <w:t>GMM、自适应迁移、多源融合</w:t>
            </w:r>
          </w:p>
        </w:tc>
        <w:tc>
          <w:tcPr>
            <w:tcW w:type="dxa" w:w="2498"/>
            <w:vAlign w:val="center"/>
          </w:tcPr>
          <w:p>
            <w:r>
              <w:t>每项功能独立开关、独立消融、运行状态可追踪</w:t>
            </w:r>
          </w:p>
        </w:tc>
        <w:tc>
          <w:tcPr>
            <w:tcW w:type="dxa" w:w="2498"/>
            <w:vAlign w:val="center"/>
          </w:tcPr>
          <w:p>
            <w:r>
              <w:t>保持默认关闭</w:t>
            </w:r>
          </w:p>
        </w:tc>
      </w:tr>
    </w:tbl>
    <w:p/>
    <w:p>
      <w:pPr>
        <w:pStyle w:val="Heading1"/>
      </w:pPr>
      <w:r>
        <w:t>六、建议的本地验证流程</w:t>
      </w:r>
    </w:p>
    <w:p>
      <w:r>
        <w:t>先在新虚拟环境中安装依赖，并在修复模块导入问题后运行测试。以下命令为建议流程，实际命令需与仓库最终入口同步。</w:t>
      </w:r>
    </w:p>
    <w:p>
      <w:pPr>
        <w:spacing w:before="60" w:after="120"/>
        <w:ind w:left="259" w:right="173"/>
        <w:shd w:fill="F2F4F7"/>
      </w:pPr>
      <w:r>
        <w:rPr>
          <w:rFonts w:ascii="Consolas" w:hAnsi="Consolas" w:eastAsia="等线"/>
          <w:sz w:val="18"/>
        </w:rPr>
        <w:t>python -m venv .venv</w:t>
      </w:r>
      <w:r>
        <w:br/>
      </w:r>
      <w:r>
        <w:rPr>
          <w:rFonts w:ascii="Consolas" w:hAnsi="Consolas" w:eastAsia="等线"/>
          <w:sz w:val="18"/>
        </w:rPr>
        <w:t># Windows PowerShell:</w:t>
      </w:r>
      <w:r>
        <w:br/>
      </w:r>
      <w:r>
        <w:rPr>
          <w:rFonts w:ascii="Consolas" w:hAnsi="Consolas" w:eastAsia="等线"/>
          <w:sz w:val="18"/>
        </w:rPr>
        <w:t>.venv\Scripts\Activate.ps1</w:t>
      </w:r>
      <w:r>
        <w:br/>
      </w:r>
      <w:r>
        <w:rPr>
          <w:rFonts w:ascii="Consolas" w:hAnsi="Consolas" w:eastAsia="等线"/>
          <w:sz w:val="18"/>
        </w:rPr>
        <w:t>python -m pip install -r requirements.txt</w:t>
      </w:r>
      <w:r>
        <w:br/>
      </w:r>
      <w:r>
        <w:rPr>
          <w:rFonts w:ascii="Consolas" w:hAnsi="Consolas" w:eastAsia="等线"/>
          <w:sz w:val="18"/>
        </w:rPr>
        <w:t>python -c "import algorithms, problems, evaluation; from experiments import common; print('imports OK')"</w:t>
      </w:r>
      <w:r>
        <w:br/>
      </w:r>
      <w:r>
        <w:rPr>
          <w:rFonts w:ascii="Consolas" w:hAnsi="Consolas" w:eastAsia="等线"/>
          <w:sz w:val="18"/>
        </w:rPr>
        <w:t>pytest -q</w:t>
      </w:r>
      <w:r>
        <w:br/>
      </w:r>
      <w:r>
        <w:rPr>
          <w:rFonts w:ascii="Consolas" w:hAnsi="Consolas" w:eastAsia="等线"/>
          <w:sz w:val="18"/>
        </w:rPr>
      </w:r>
      <w:r>
        <w:br/>
      </w:r>
      <w:r>
        <w:rPr>
          <w:rFonts w:ascii="Consolas" w:hAnsi="Consolas" w:eastAsia="等线"/>
          <w:sz w:val="18"/>
        </w:rPr>
        <w:t># 先运行小规模冒烟测试，不直接启动 30 次完整实验</w:t>
      </w:r>
      <w:r>
        <w:br/>
      </w:r>
      <w:r>
        <w:rPr>
          <w:rFonts w:ascii="Consolas" w:hAnsi="Consolas" w:eastAsia="等线"/>
          <w:sz w:val="18"/>
        </w:rPr>
        <w:t>python -m experiments.run_comparison --problems FDA1 --taus 10 --seeds 0 --n-gen 20 --n 20 --limit-seeds 1 --out results/smoke</w:t>
      </w:r>
    </w:p>
    <w:p>
      <w:r>
        <w:t>如果某条命令与当前 CLI 参数不匹配，应同步修正 README 与入口脚本，而不是直接跳过测试。冒烟实验仅证明流程可执行，不证明算法优越。完成后再逐步提高种群规模、代数和 seed 数。</w:t>
      </w:r>
    </w:p>
    <w:p>
      <w:pPr>
        <w:pStyle w:val="Heading1"/>
      </w:pPr>
      <w:r>
        <w:t>七、实验设计修订建议</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Pr>
                <w:b/>
                <w:color w:val="FFFFFF"/>
              </w:rPr>
              <w:t>实验类别</w:t>
            </w:r>
          </w:p>
        </w:tc>
        <w:tc>
          <w:tcPr>
            <w:tcW w:type="dxa" w:w="3331"/>
            <w:vAlign w:val="center"/>
            <w:shd w:fill="1F4E79"/>
          </w:tcPr>
          <w:p>
            <w:r>
              <w:rPr>
                <w:b/>
                <w:color w:val="FFFFFF"/>
              </w:rPr>
              <w:t>执行要求</w:t>
            </w:r>
          </w:p>
        </w:tc>
        <w:tc>
          <w:tcPr>
            <w:tcW w:type="dxa" w:w="3331"/>
            <w:vAlign w:val="center"/>
            <w:shd w:fill="1F4E79"/>
          </w:tcPr>
          <w:p>
            <w:r>
              <w:rPr>
                <w:b/>
                <w:color w:val="FFFFFF"/>
              </w:rPr>
              <w:t>输出</w:t>
            </w:r>
          </w:p>
        </w:tc>
      </w:tr>
      <w:tr>
        <w:tc>
          <w:tcPr>
            <w:tcW w:type="dxa" w:w="3331"/>
            <w:vAlign w:val="center"/>
          </w:tcPr>
          <w:p>
            <w:r>
              <w:t>主对比</w:t>
            </w:r>
          </w:p>
        </w:tc>
        <w:tc>
          <w:tcPr>
            <w:tcW w:type="dxa" w:w="3331"/>
            <w:vAlign w:val="center"/>
          </w:tcPr>
          <w:p>
            <w:r>
              <w:t>同问题、同环境时钟、同 seed、同真实评估预算或明确固定代数；算法定义不重复</w:t>
            </w:r>
          </w:p>
        </w:tc>
        <w:tc>
          <w:tcPr>
            <w:tcW w:type="dxa" w:w="3331"/>
            <w:vAlign w:val="center"/>
          </w:tcPr>
          <w:p>
            <w:r>
              <w:t>原始逐代 CSV、MIGD/MHV、恢复曲线、每代/迁移耗时</w:t>
            </w:r>
          </w:p>
        </w:tc>
      </w:tr>
      <w:tr>
        <w:tc>
          <w:tcPr>
            <w:tcW w:type="dxa" w:w="3331"/>
            <w:vAlign w:val="center"/>
          </w:tcPr>
          <w:p>
            <w:r>
              <w:t>消融</w:t>
            </w:r>
          </w:p>
        </w:tc>
        <w:tc>
          <w:tcPr>
            <w:tcW w:type="dxa" w:w="3331"/>
            <w:vAlign w:val="center"/>
          </w:tcPr>
          <w:p>
            <w:r>
              <w:t>分别关闭趋势外推、分布统计迁移、多源融合、自适应迁移；其余配置不变</w:t>
            </w:r>
          </w:p>
        </w:tc>
        <w:tc>
          <w:tcPr>
            <w:tcW w:type="dxa" w:w="3331"/>
            <w:vAlign w:val="center"/>
          </w:tcPr>
          <w:p>
            <w:r>
              <w:t>消融汇总、效应方向和计时</w:t>
            </w:r>
          </w:p>
        </w:tc>
      </w:tr>
      <w:tr>
        <w:tc>
          <w:tcPr>
            <w:tcW w:type="dxa" w:w="3331"/>
            <w:vAlign w:val="center"/>
          </w:tcPr>
          <w:p>
            <w:r>
              <w:t>敏感性</w:t>
            </w:r>
          </w:p>
        </w:tc>
        <w:tc>
          <w:tcPr>
            <w:tcW w:type="dxa" w:w="3331"/>
            <w:vAlign w:val="center"/>
          </w:tcPr>
          <w:p>
            <w:r>
              <w:t>N、tau_t、n_t、迁移比例、alpha 分别变化；避免一次改变多个因素</w:t>
            </w:r>
          </w:p>
        </w:tc>
        <w:tc>
          <w:tcPr>
            <w:tcW w:type="dxa" w:w="3331"/>
            <w:vAlign w:val="center"/>
          </w:tcPr>
          <w:p>
            <w:r>
              <w:t>参数曲线、箱线图、配置清单</w:t>
            </w:r>
          </w:p>
        </w:tc>
      </w:tr>
      <w:tr>
        <w:tc>
          <w:tcPr>
            <w:tcW w:type="dxa" w:w="3331"/>
            <w:vAlign w:val="center"/>
          </w:tcPr>
          <w:p>
            <w:r>
              <w:t>统计</w:t>
            </w:r>
          </w:p>
        </w:tc>
        <w:tc>
          <w:tcPr>
            <w:tcW w:type="dxa" w:w="3331"/>
            <w:vAlign w:val="center"/>
          </w:tcPr>
          <w:p>
            <w:r>
              <w:t>按 seed 对齐；配对检验与总体排序检验用途分开；Holm 校正实现独立测试</w:t>
            </w:r>
          </w:p>
        </w:tc>
        <w:tc>
          <w:tcPr>
            <w:tcW w:type="dxa" w:w="3331"/>
            <w:vAlign w:val="center"/>
          </w:tcPr>
          <w:p>
            <w:r>
              <w:t>p 值、校正 p、效果量、样本量</w:t>
            </w:r>
          </w:p>
        </w:tc>
      </w:tr>
      <w:tr>
        <w:tc>
          <w:tcPr>
            <w:tcW w:type="dxa" w:w="3331"/>
            <w:vAlign w:val="center"/>
          </w:tcPr>
          <w:p>
            <w:r>
              <w:t>复现</w:t>
            </w:r>
          </w:p>
        </w:tc>
        <w:tc>
          <w:tcPr>
            <w:tcW w:type="dxa" w:w="3331"/>
            <w:vAlign w:val="center"/>
          </w:tcPr>
          <w:p>
            <w:r>
              <w:t>记录 git commit、配置 hash、依赖、平台、随机种子、失败日志</w:t>
            </w:r>
          </w:p>
        </w:tc>
        <w:tc>
          <w:tcPr>
            <w:tcW w:type="dxa" w:w="3331"/>
            <w:vAlign w:val="center"/>
          </w:tcPr>
          <w:p>
            <w:r>
              <w:t>复现 README 与实验元数据</w:t>
            </w:r>
          </w:p>
        </w:tc>
      </w:tr>
    </w:tbl>
    <w:p/>
    <w:p>
      <w:r>
        <w:t>建议主报告明确区分 MIGD/MHV（跨环境或跨代聚合指标）与单一时刻 IGD/HV，不要将概念不同的指标混用。恢复代数的阈值也应在实验前固定。当前代码以“恢复到变化前最后一代 IGD”为阈值，在环境变化导致真实前沿移动时，该阈值未必表达“恢复到新环境的目标精度”。建议额外定义相对变化后早期基线的恢复指标，或使用变化后当前环境的参考前沿与固定阈值，且在论文中明确公式。</w:t>
      </w:r>
    </w:p>
    <w:p>
      <w:pPr>
        <w:pStyle w:val="Heading1"/>
      </w:pPr>
      <w:r>
        <w:t>八、给代码生成 AI 的完整整改指令</w:t>
      </w:r>
    </w:p>
    <w:p>
      <w:r>
        <w:t>请以仓库 https://github.com/Peter-code258/LDT-NSGA-II 的现有代码为基础执行重构，不要另起炉灶重写项目，也不要只给建议。严格按本文件 P0、P1、P2 顺序修改。逐个提交完整源文件，禁止伪代码、TODO、pass、占位符和省略实现。</w:t>
      </w:r>
    </w:p>
    <w:p>
      <w:r>
        <w:t>首先核对 main 分支所有 import 与实际文件清单，修复缺失模块；其次统一 LDT 所有分布特征和趋势预测的坐标系，修复 FDA4 对应 PlatEMO 的 Python 切片索引，并增加逐点对照测试；然后分离静态 NSGA-II 与 DNSGA-II-inspired，统一 canonical algorithm ID，修复指标、统计、预算、累计函数评估数、版本信息和实验失败状态。</w:t>
      </w:r>
    </w:p>
    <w:p>
      <w:r>
        <w:t>随后添加/修复单元测试：包导入、问题函数公式、变量边界、PF 采样、IGD/HV 已知结果、Holm 校正、固定 seed 的可复现性、迁移模块开关和端到端冒烟运行。所有测试必须实际执行，给出真实命令、返回码和输出；不能声称运行通过但没有执行。最后再单独实现 GMM 运行状态记录、多源混合方差、固定探针和自适应迁移消融。</w:t>
      </w:r>
    </w:p>
    <w:p>
      <w:r>
        <w:t>每个关键技术点必须在 README 或源码注释附来源链接。标准 FDA 的公式与 Pareto 前沿必须同指定版本的权威实现核验，保存 commit/hash；无法核验的实现必须标注为自定义/FDA-inspired，不得冒称标准测试函数。实验数据必须运行产生，禁止编造指标和统计结论。</w:t>
      </w:r>
    </w:p>
    <w:p>
      <w:pPr>
        <w:pStyle w:val="Heading1"/>
      </w:pPr>
      <w:r>
        <w:t>九、来源索引</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F4E79"/>
          </w:tcPr>
          <w:p>
            <w:r>
              <w:rPr>
                <w:b/>
                <w:color w:val="FFFFFF"/>
              </w:rPr>
              <w:t>来源文件/文档</w:t>
            </w:r>
          </w:p>
        </w:tc>
        <w:tc>
          <w:tcPr>
            <w:tcW w:type="dxa" w:w="4997"/>
            <w:vAlign w:val="center"/>
            <w:shd w:fill="1F4E79"/>
          </w:tcPr>
          <w:p>
            <w:r>
              <w:rPr>
                <w:b/>
                <w:color w:val="FFFFFF"/>
              </w:rPr>
              <w:t>URL</w:t>
            </w:r>
          </w:p>
        </w:tc>
      </w:tr>
      <w:tr>
        <w:tc>
          <w:tcPr>
            <w:tcW w:type="dxa" w:w="4997"/>
            <w:vAlign w:val="center"/>
          </w:tcPr>
          <w:p>
            <w:r>
              <w:t>仓库 README</w:t>
            </w:r>
          </w:p>
        </w:tc>
        <w:tc>
          <w:tcPr>
            <w:tcW w:type="dxa" w:w="4997"/>
            <w:vAlign w:val="center"/>
          </w:tcPr>
          <w:p>
            <w:r>
              <w:t>https://github.com/Peter-code258/LDT-NSGA-II</w:t>
            </w:r>
          </w:p>
        </w:tc>
      </w:tr>
      <w:tr>
        <w:tc>
          <w:tcPr>
            <w:tcW w:type="dxa" w:w="4997"/>
            <w:vAlign w:val="center"/>
          </w:tcPr>
          <w:p>
            <w:r>
              <w:t>LDT 核心算法</w:t>
            </w:r>
          </w:p>
        </w:tc>
        <w:tc>
          <w:tcPr>
            <w:tcW w:type="dxa" w:w="4997"/>
            <w:vAlign w:val="center"/>
          </w:tcPr>
          <w:p>
            <w:r>
              <w:t>https://github.com/Peter-code258/LDT-NSGA-II/blob/main/algorithms/ldmt_nsga2.py</w:t>
            </w:r>
          </w:p>
        </w:tc>
      </w:tr>
      <w:tr>
        <w:tc>
          <w:tcPr>
            <w:tcW w:type="dxa" w:w="4997"/>
            <w:vAlign w:val="center"/>
          </w:tcPr>
          <w:p>
            <w:r>
              <w:t>分布特征与迁移函数</w:t>
            </w:r>
          </w:p>
        </w:tc>
        <w:tc>
          <w:tcPr>
            <w:tcW w:type="dxa" w:w="4997"/>
            <w:vAlign w:val="center"/>
          </w:tcPr>
          <w:p>
            <w:r>
              <w:t>https://github.com/Peter-code258/LDT-NSGA-II/blob/main/algorithms/distribution_features.py</w:t>
            </w:r>
          </w:p>
        </w:tc>
      </w:tr>
      <w:tr>
        <w:tc>
          <w:tcPr>
            <w:tcW w:type="dxa" w:w="4997"/>
            <w:vAlign w:val="center"/>
          </w:tcPr>
          <w:p>
            <w:r>
              <w:t>动态环境与变化检测</w:t>
            </w:r>
          </w:p>
        </w:tc>
        <w:tc>
          <w:tcPr>
            <w:tcW w:type="dxa" w:w="4997"/>
            <w:vAlign w:val="center"/>
          </w:tcPr>
          <w:p>
            <w:r>
              <w:t>https://github.com/Peter-code258/LDT-NSGA-II/blob/main/algorithms/environment_manager.py</w:t>
            </w:r>
          </w:p>
        </w:tc>
      </w:tr>
      <w:tr>
        <w:tc>
          <w:tcPr>
            <w:tcW w:type="dxa" w:w="4997"/>
            <w:vAlign w:val="center"/>
          </w:tcPr>
          <w:p>
            <w:r>
              <w:t>动态运行内核</w:t>
            </w:r>
          </w:p>
        </w:tc>
        <w:tc>
          <w:tcPr>
            <w:tcW w:type="dxa" w:w="4997"/>
            <w:vAlign w:val="center"/>
          </w:tcPr>
          <w:p>
            <w:r>
              <w:t>https://github.com/Peter-code258/LDT-NSGA-II/blob/main/algorithms/nsga2_core.py</w:t>
            </w:r>
          </w:p>
        </w:tc>
      </w:tr>
      <w:tr>
        <w:tc>
          <w:tcPr>
            <w:tcW w:type="dxa" w:w="4997"/>
            <w:vAlign w:val="center"/>
          </w:tcPr>
          <w:p>
            <w:r>
              <w:t>算法注册与实验配置</w:t>
            </w:r>
          </w:p>
        </w:tc>
        <w:tc>
          <w:tcPr>
            <w:tcW w:type="dxa" w:w="4997"/>
            <w:vAlign w:val="center"/>
          </w:tcPr>
          <w:p>
            <w:r>
              <w:t>https://github.com/Peter-code258/LDT-NSGA-II/blob/main/experiments/common.py</w:t>
            </w:r>
          </w:p>
        </w:tc>
      </w:tr>
      <w:tr>
        <w:tc>
          <w:tcPr>
            <w:tcW w:type="dxa" w:w="4997"/>
            <w:vAlign w:val="center"/>
          </w:tcPr>
          <w:p>
            <w:r>
              <w:t>主对比实验入口</w:t>
            </w:r>
          </w:p>
        </w:tc>
        <w:tc>
          <w:tcPr>
            <w:tcW w:type="dxa" w:w="4997"/>
            <w:vAlign w:val="center"/>
          </w:tcPr>
          <w:p>
            <w:r>
              <w:t>https://github.com/Peter-code258/LDT-NSGA-II/blob/main/experiments/run_comparison.py</w:t>
            </w:r>
          </w:p>
        </w:tc>
      </w:tr>
      <w:tr>
        <w:tc>
          <w:tcPr>
            <w:tcW w:type="dxa" w:w="4997"/>
            <w:vAlign w:val="center"/>
          </w:tcPr>
          <w:p>
            <w:r>
              <w:t>FDA4 项目实现</w:t>
            </w:r>
          </w:p>
        </w:tc>
        <w:tc>
          <w:tcPr>
            <w:tcW w:type="dxa" w:w="4997"/>
            <w:vAlign w:val="center"/>
          </w:tcPr>
          <w:p>
            <w:r>
              <w:t>https://github.com/Peter-code258/LDT-NSGA-II/blob/main/problems/fda4.py</w:t>
            </w:r>
          </w:p>
        </w:tc>
      </w:tr>
      <w:tr>
        <w:tc>
          <w:tcPr>
            <w:tcW w:type="dxa" w:w="4997"/>
            <w:vAlign w:val="center"/>
          </w:tcPr>
          <w:p>
            <w:r>
              <w:t>PlatEMO FDA4 参考</w:t>
            </w:r>
          </w:p>
        </w:tc>
        <w:tc>
          <w:tcPr>
            <w:tcW w:type="dxa" w:w="4997"/>
            <w:vAlign w:val="center"/>
          </w:tcPr>
          <w:p>
            <w:r>
              <w:t>https://github.com/BIMK/PlatEMO/blob/master/PlatEMO/Problems/Multi-objective%20optimization/FDA/FDA4.m</w:t>
            </w:r>
          </w:p>
        </w:tc>
      </w:tr>
      <w:tr>
        <w:tc>
          <w:tcPr>
            <w:tcW w:type="dxa" w:w="4997"/>
            <w:vAlign w:val="center"/>
          </w:tcPr>
          <w:p>
            <w:r>
              <w:t>参考 Pareto 前沿</w:t>
            </w:r>
          </w:p>
        </w:tc>
        <w:tc>
          <w:tcPr>
            <w:tcW w:type="dxa" w:w="4997"/>
            <w:vAlign w:val="center"/>
          </w:tcPr>
          <w:p>
            <w:r>
              <w:t>https://github.com/Peter-code258/LDT-NSGA-II/blob/main/problems/true_fronts.py</w:t>
            </w:r>
          </w:p>
        </w:tc>
      </w:tr>
      <w:tr>
        <w:tc>
          <w:tcPr>
            <w:tcW w:type="dxa" w:w="4997"/>
            <w:vAlign w:val="center"/>
          </w:tcPr>
          <w:p>
            <w:r>
              <w:t>IGD 指标</w:t>
            </w:r>
          </w:p>
        </w:tc>
        <w:tc>
          <w:tcPr>
            <w:tcW w:type="dxa" w:w="4997"/>
            <w:vAlign w:val="center"/>
          </w:tcPr>
          <w:p>
            <w:r>
              <w:t>https://github.com/Peter-code258/LDT-NSGA-II/blob/main/evaluation/igd.py</w:t>
            </w:r>
          </w:p>
        </w:tc>
      </w:tr>
      <w:tr>
        <w:tc>
          <w:tcPr>
            <w:tcW w:type="dxa" w:w="4997"/>
            <w:vAlign w:val="center"/>
          </w:tcPr>
          <w:p>
            <w:r>
              <w:t>HV 指标</w:t>
            </w:r>
          </w:p>
        </w:tc>
        <w:tc>
          <w:tcPr>
            <w:tcW w:type="dxa" w:w="4997"/>
            <w:vAlign w:val="center"/>
          </w:tcPr>
          <w:p>
            <w:r>
              <w:t>https://github.com/Peter-code258/LDT-NSGA-II/blob/main/evaluation/hv.py</w:t>
            </w:r>
          </w:p>
        </w:tc>
      </w:tr>
      <w:tr>
        <w:tc>
          <w:tcPr>
            <w:tcW w:type="dxa" w:w="4997"/>
            <w:vAlign w:val="center"/>
          </w:tcPr>
          <w:p>
            <w:r>
              <w:t>统计检验</w:t>
            </w:r>
          </w:p>
        </w:tc>
        <w:tc>
          <w:tcPr>
            <w:tcW w:type="dxa" w:w="4997"/>
            <w:vAlign w:val="center"/>
          </w:tcPr>
          <w:p>
            <w:r>
              <w:t>https://github.com/Peter-code258/LDT-NSGA-II/blob/main/evaluation/statistics.py</w:t>
            </w:r>
          </w:p>
        </w:tc>
      </w:tr>
      <w:tr>
        <w:tc>
          <w:tcPr>
            <w:tcW w:type="dxa" w:w="4997"/>
            <w:vAlign w:val="center"/>
          </w:tcPr>
          <w:p>
            <w:r>
              <w:t>分析流水线</w:t>
            </w:r>
          </w:p>
        </w:tc>
        <w:tc>
          <w:tcPr>
            <w:tcW w:type="dxa" w:w="4997"/>
            <w:vAlign w:val="center"/>
          </w:tcPr>
          <w:p>
            <w:r>
              <w:t>https://github.com/Peter-code258/LDT-NSGA-II/blob/main/analyze.py</w:t>
            </w:r>
          </w:p>
        </w:tc>
      </w:tr>
      <w:tr>
        <w:tc>
          <w:tcPr>
            <w:tcW w:type="dxa" w:w="4997"/>
            <w:vAlign w:val="center"/>
          </w:tcPr>
          <w:p>
            <w:r>
              <w:t>pymoo 指标文档</w:t>
            </w:r>
          </w:p>
        </w:tc>
        <w:tc>
          <w:tcPr>
            <w:tcW w:type="dxa" w:w="4997"/>
            <w:vAlign w:val="center"/>
          </w:tcPr>
          <w:p>
            <w:r>
              <w:t>https://pymoo.org/misc/indicators.html</w:t>
            </w:r>
          </w:p>
        </w:tc>
      </w:tr>
      <w:tr>
        <w:tc>
          <w:tcPr>
            <w:tcW w:type="dxa" w:w="4997"/>
            <w:vAlign w:val="center"/>
          </w:tcPr>
          <w:p>
            <w:r>
              <w:t>pymoo NSGA-II 文档</w:t>
            </w:r>
          </w:p>
        </w:tc>
        <w:tc>
          <w:tcPr>
            <w:tcW w:type="dxa" w:w="4997"/>
            <w:vAlign w:val="center"/>
          </w:tcPr>
          <w:p>
            <w:r>
              <w:t>https://pymoo.org/algorithms/moo/nsga2.html</w:t>
            </w:r>
          </w:p>
        </w:tc>
      </w:tr>
    </w:tbl>
    <w:p/>
    <w:p>
      <w:pPr>
        <w:pStyle w:val="Heading1"/>
      </w:pPr>
      <w:r>
        <w:t>附录：提交前最终核查清单</w:t>
      </w:r>
    </w:p>
    <w:p>
      <w:pPr>
        <w:pStyle w:val="ListBullet"/>
      </w:pPr>
      <w:r>
        <w:t>☐ 所有包可导入；README 中声明的功能均有实际实现。</w:t>
      </w:r>
    </w:p>
    <w:p>
      <w:pPr>
        <w:pStyle w:val="ListBullet"/>
      </w:pPr>
      <w:r>
        <w:t>☐ LDT 的均值、标准差、历史特征、趋势中心和迁移采样统一使用归一化坐标。</w:t>
      </w:r>
    </w:p>
    <w:p>
      <w:pPr>
        <w:pStyle w:val="ListBullet"/>
      </w:pPr>
      <w:r>
        <w:t>☐ FDA1/FDA3/FDA4 对选定版本的权威实现进行固定输入、固定时间的逐点比对。</w:t>
      </w:r>
    </w:p>
    <w:p>
      <w:pPr>
        <w:pStyle w:val="ListBullet"/>
      </w:pPr>
      <w:r>
        <w:t>☐ FDA4 最优决策变量切片与 PlatEMO 的 MATLAB 索引转换正确。</w:t>
      </w:r>
    </w:p>
    <w:p>
      <w:pPr>
        <w:pStyle w:val="ListBullet"/>
      </w:pPr>
      <w:r>
        <w:t>☐ 静态 NSGA-II 与 DNSGA-II-inspired 的行为有单元测试证明不同。</w:t>
      </w:r>
    </w:p>
    <w:p>
      <w:pPr>
        <w:pStyle w:val="ListBullet"/>
      </w:pPr>
      <w:r>
        <w:t>☐ 所有算法有唯一 canonical ID；统计参考算法存在且实验结果无重复标签。</w:t>
      </w:r>
    </w:p>
    <w:p>
      <w:pPr>
        <w:pStyle w:val="ListBullet"/>
      </w:pPr>
      <w:r>
        <w:t>☐ IGD 参考前沿固定且采样方法有记录；HV 的实现和参考点经过测试。</w:t>
      </w:r>
    </w:p>
    <w:p>
      <w:pPr>
        <w:pStyle w:val="ListBullet"/>
      </w:pPr>
      <w:r>
        <w:t>☐ 统计检验按配对/独立设计正确选择；Holm 校正函数通过单元测试。</w:t>
      </w:r>
    </w:p>
    <w:p>
      <w:pPr>
        <w:pStyle w:val="ListBullet"/>
      </w:pPr>
      <w:r>
        <w:t>☐ 实际评估预算、环境局部计数与全局累计计数相互一致。</w:t>
      </w:r>
    </w:p>
    <w:p>
      <w:pPr>
        <w:pStyle w:val="ListBullet"/>
      </w:pPr>
      <w:r>
        <w:t>☐ 失败实验会留存失败记录，完成数量与预期组合数一致。</w:t>
      </w:r>
    </w:p>
    <w:p>
      <w:pPr>
        <w:pStyle w:val="ListBullet"/>
      </w:pPr>
      <w:r>
        <w:t>☐ 每个结果都能关联到 seed、配置 hash、Git commit、Python/依赖和硬件信息。</w:t>
      </w:r>
    </w:p>
    <w:p>
      <w:pPr>
        <w:pStyle w:val="ListBullet"/>
      </w:pPr>
      <w:r>
        <w:t>☐ 只有在基础算法验证完成之后，才启动自适应迁移和多源融合扩展。</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LDT-NSGA-II 项目优化与修复方案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宋体" w:hAnsi="宋体" w:eastAsia="宋体"/>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LDT-NSGA-II 项目优化与修复方案</dc:title>
  <dc:subject>动态多目标优化算法项目源码审查、整改与验收</dc:subject>
  <dc:creator>OpenAI</dc:creator>
  <cp:keywords>LDT-NSGA-II, NSGA-II, 动态多目标优化, 源码审查, 实验可复现</cp:keywords>
  <dc:description>generated by python-docx</dc:description>
  <cp:lastModifiedBy/>
  <cp:revision>1</cp:revision>
  <dcterms:created xsi:type="dcterms:W3CDTF">2013-12-23T23:15:00Z</dcterms:created>
  <dcterms:modified xsi:type="dcterms:W3CDTF">2013-12-23T23:15:00Z</dcterms:modified>
  <cp:category/>
</cp:coreProperties>
</file>