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PaperLens Office compatibility</w:t>
      </w:r>
    </w:p>
    <w:p>
      <w:r>
        <w:t>Word page one marker</w:t>
      </w:r>
    </w:p>
    <w:p>
      <w:r>
        <w:t>中文课程资料：路径与转换验证。</w:t>
      </w:r>
    </w:p>
    <w:p>
      <w:r>
        <w:t>A small synthetic document with English, Chinese, a table and an explicit page break.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22 C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</w:tbl>
    <w:p>
      <w:r>
        <w:br w:type="page"/>
      </w:r>
    </w:p>
    <w:p>
      <w:pPr>
        <w:pStyle w:val="Heading1"/>
      </w:pPr>
      <w:r>
        <w:t>Word page two marker</w:t>
      </w:r>
    </w:p>
    <w:p>
      <w:r>
        <w:t>Second page: 5 + 7 + 9 = 21.</w:t>
      </w:r>
    </w:p>
    <w:p>
      <w:r>
        <w:t>第二页：中文与数字保持可读。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PaperLens Office conversion fixture</dc:title>
  <dc:subject/>
  <dc:creator>PaperLens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