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3"/>
        <w:ind w:left="3887" w:right="3887"/>
        <w:jc w:val="center"/>
      </w:pPr>
      <w:r>
        <w:rPr/>
        <w:t>夾捲案 </w:t>
      </w:r>
      <w:r>
        <w:rPr>
          <w:rFonts w:ascii="Calibri" w:eastAsia="Calibri"/>
        </w:rPr>
        <w:t>1 </w:t>
      </w:r>
      <w:r>
        <w:rPr/>
        <w:t>分析參考</w:t>
      </w:r>
    </w:p>
    <w:p>
      <w:pPr>
        <w:spacing w:before="267"/>
        <w:ind w:left="2102" w:right="0" w:firstLine="0"/>
        <w:jc w:val="left"/>
        <w:rPr>
          <w:b/>
          <w:sz w:val="24"/>
        </w:rPr>
      </w:pPr>
      <w:r>
        <w:rPr>
          <w:b/>
          <w:sz w:val="24"/>
        </w:rPr>
        <w:t>從事上漿機穿帶作業發生被捲致死災害調查分析報告</w:t>
      </w:r>
    </w:p>
    <w:p>
      <w:pPr>
        <w:spacing w:line="225" w:lineRule="auto" w:before="286"/>
        <w:ind w:left="353" w:right="490" w:firstLine="0"/>
        <w:jc w:val="left"/>
        <w:rPr>
          <w:sz w:val="24"/>
        </w:rPr>
      </w:pPr>
      <w:r>
        <w:rPr>
          <w:b/>
          <w:spacing w:val="-1"/>
          <w:sz w:val="24"/>
        </w:rPr>
        <w:t>重要提醒：本分析報告是基於所提供案例的有限資訊，並結合事故調查的專業方法論</w:t>
      </w:r>
      <w:r>
        <w:rPr>
          <w:b/>
          <w:sz w:val="24"/>
        </w:rPr>
        <w:t>進行。部分內容為根據邏輯與經驗所做的合理推斷，並會明確標示為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推斷</w:t>
      </w:r>
      <w:r>
        <w:rPr>
          <w:rFonts w:ascii="Calibri" w:eastAsia="Calibri"/>
          <w:b/>
          <w:sz w:val="24"/>
        </w:rPr>
        <w:t>)</w:t>
      </w:r>
      <w:r>
        <w:rPr>
          <w:sz w:val="24"/>
        </w:rPr>
        <w:t>。一場實際、完整的事故調查，需要更詳盡的現場勘查、人員訪談與物證檢驗來支持所有結 論。</w:t>
      </w:r>
    </w:p>
    <w:p>
      <w:pPr>
        <w:pStyle w:val="BodyText"/>
        <w:spacing w:before="5"/>
        <w:rPr>
          <w:sz w:val="6"/>
        </w:rPr>
      </w:pPr>
      <w:r>
        <w:rPr/>
        <w:pict>
          <v:group style="position:absolute;margin-left:68.699997pt;margin-top:7.7575pt;width:450.9pt;height:1.55pt;mso-position-horizontal-relative:page;mso-position-vertical-relative:paragraph;z-index:-1024;mso-wrap-distance-left:0;mso-wrap-distance-right:0" coordorigin="1374,155" coordsize="9018,31">
            <v:line style="position:absolute" from="1374,171" to="10392,171" stroked="true" strokeweight="1.5pt" strokecolor="#9f9f9f">
              <v:stroke dashstyle="solid"/>
            </v:line>
            <v:rect style="position:absolute;left:1374;top:155;width:5;height:5" filled="true" fillcolor="#9f9f9f" stroked="false">
              <v:fill type="solid"/>
            </v:rect>
            <v:rect style="position:absolute;left:1374;top:155;width:5;height:5" filled="true" fillcolor="#9f9f9f" stroked="false">
              <v:fill type="solid"/>
            </v:rect>
            <v:line style="position:absolute" from="1379,158" to="10387,158" stroked="true" strokeweight=".24pt" strokecolor="#9f9f9f">
              <v:stroke dashstyle="solid"/>
            </v:line>
            <v:rect style="position:absolute;left:10387;top:155;width:5;height:5" filled="true" fillcolor="#e2e2e2" stroked="false">
              <v:fill type="solid"/>
            </v:rect>
            <v:rect style="position:absolute;left:10387;top:155;width:5;height:5" filled="true" fillcolor="#9f9f9f" stroked="false">
              <v:fill type="solid"/>
            </v:rect>
            <v:rect style="position:absolute;left:1374;top:159;width:5;height:21" filled="true" fillcolor="#9f9f9f" stroked="false">
              <v:fill type="solid"/>
            </v:rect>
            <v:rect style="position:absolute;left:10387;top:159;width:5;height:21" filled="true" fillcolor="#e2e2e2" stroked="false">
              <v:fill type="solid"/>
            </v:rect>
            <v:rect style="position:absolute;left:1374;top:180;width:5;height:5" filled="true" fillcolor="#9f9f9f" stroked="false">
              <v:fill type="solid"/>
            </v:rect>
            <v:rect style="position:absolute;left:1374;top:180;width:5;height:5" filled="true" fillcolor="#e2e2e2" stroked="false">
              <v:fill type="solid"/>
            </v:rect>
            <v:line style="position:absolute" from="1379,183" to="10387,183" stroked="true" strokeweight=".24pt" strokecolor="#e2e2e2">
              <v:stroke dashstyle="solid"/>
            </v:line>
            <v:rect style="position:absolute;left:10387;top:180;width:5;height:5" filled="true" fillcolor="#e2e2e2" stroked="false">
              <v:fill type="solid"/>
            </v:rect>
            <v:rect style="position:absolute;left:10387;top:18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6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15" w:lineRule="exact" w:before="0" w:after="0"/>
        <w:ind w:left="714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行業分類： </w:t>
      </w:r>
      <w:r>
        <w:rPr>
          <w:sz w:val="24"/>
        </w:rPr>
        <w:t>其他紡織品製造業  </w:t>
      </w:r>
      <w:r>
        <w:rPr>
          <w:rFonts w:ascii="Calibri" w:hAnsi="Calibri" w:eastAsia="Calibri"/>
          <w:sz w:val="24"/>
        </w:rPr>
        <w:t>(1159)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15" w:lineRule="exact" w:before="0" w:after="0"/>
        <w:ind w:left="714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災害類型： </w:t>
      </w:r>
      <w:r>
        <w:rPr>
          <w:sz w:val="24"/>
        </w:rPr>
        <w:t>被夾、被捲  </w:t>
      </w:r>
      <w:r>
        <w:rPr>
          <w:rFonts w:ascii="Calibri" w:hAnsi="Calibri" w:eastAsia="Calibri"/>
          <w:sz w:val="24"/>
        </w:rPr>
        <w:t>(07)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15" w:lineRule="exact" w:before="0" w:after="0"/>
        <w:ind w:left="714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1"/>
          <w:sz w:val="24"/>
        </w:rPr>
        <w:t>媒介物： </w:t>
      </w:r>
      <w:r>
        <w:rPr>
          <w:sz w:val="24"/>
        </w:rPr>
        <w:t>傳動軸 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上漿機滾軸</w:t>
      </w:r>
      <w:r>
        <w:rPr>
          <w:rFonts w:ascii="Calibri" w:hAnsi="Calibri" w:eastAsia="Calibri"/>
          <w:sz w:val="24"/>
        </w:rPr>
        <w:t>) (121)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15" w:lineRule="exact" w:before="0" w:after="0"/>
        <w:ind w:left="714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15" w:lineRule="exact" w:before="0" w:after="0"/>
        <w:ind w:left="714" w:right="0" w:hanging="360"/>
        <w:jc w:val="left"/>
        <w:rPr>
          <w:sz w:val="24"/>
        </w:rPr>
      </w:pPr>
      <w:r>
        <w:rPr>
          <w:b/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111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11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日，約 </w:t>
      </w:r>
      <w:r>
        <w:rPr>
          <w:rFonts w:ascii="Calibri" w:hAnsi="Calibri" w:eastAsia="Calibri"/>
          <w:sz w:val="24"/>
        </w:rPr>
        <w:t>18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59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分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15" w:lineRule="exact" w:before="0" w:after="0"/>
        <w:ind w:left="714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廠內 </w:t>
      </w:r>
      <w:r>
        <w:rPr>
          <w:rFonts w:ascii="Calibri" w:hAnsi="Calibri" w:eastAsia="Calibri"/>
          <w:sz w:val="24"/>
        </w:rPr>
        <w:t>2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樓上漿作業區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225" w:lineRule="auto" w:before="6" w:after="0"/>
        <w:ind w:left="714" w:right="369" w:hanging="360"/>
        <w:jc w:val="left"/>
        <w:rPr>
          <w:sz w:val="24"/>
        </w:rPr>
      </w:pPr>
      <w:r>
        <w:rPr>
          <w:b/>
          <w:sz w:val="24"/>
        </w:rPr>
        <w:t>事故摘要： </w:t>
      </w:r>
      <w:r>
        <w:rPr>
          <w:sz w:val="24"/>
        </w:rPr>
        <w:t>罹災者於上漿機完成穿布作業後，在機器未停止運轉的狀態下，繼續進行織帶的穿繞作業。當其將織帶穿繞至第 </w:t>
      </w:r>
      <w:r>
        <w:rPr>
          <w:rFonts w:ascii="Calibri" w:hAnsi="Calibri" w:eastAsia="Calibri"/>
          <w:sz w:val="24"/>
        </w:rPr>
        <w:t>6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pacing w:val="-2"/>
          <w:sz w:val="24"/>
        </w:rPr>
        <w:t>組上下滾軸時，左手臂不慎被滾軸捲</w:t>
      </w:r>
      <w:r>
        <w:rPr>
          <w:sz w:val="24"/>
        </w:rPr>
        <w:t>入，身體隨後被擠壓於滾軸之間。 罹災者當時為單獨作業，曾試圖以手機求救但未成功，直至約 </w:t>
      </w:r>
      <w:r>
        <w:rPr>
          <w:rFonts w:ascii="Calibri" w:hAnsi="Calibri" w:eastAsia="Calibri"/>
          <w:sz w:val="24"/>
        </w:rPr>
        <w:t>40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分鐘後才被同事發現，送醫後因傷重不治死亡。</w:t>
      </w:r>
    </w:p>
    <w:p>
      <w:pPr>
        <w:pStyle w:val="BodyText"/>
        <w:spacing w:before="4"/>
        <w:rPr>
          <w:sz w:val="6"/>
        </w:rPr>
      </w:pPr>
      <w:r>
        <w:rPr/>
        <w:pict>
          <v:group style="position:absolute;margin-left:68.699997pt;margin-top:7.697092pt;width:450.9pt;height:1.55pt;mso-position-horizontal-relative:page;mso-position-vertical-relative:paragraph;z-index:-1000;mso-wrap-distance-left:0;mso-wrap-distance-right:0" coordorigin="1374,154" coordsize="9018,31">
            <v:line style="position:absolute" from="1374,169" to="10392,169" stroked="true" strokeweight="1.5pt" strokecolor="#9f9f9f">
              <v:stroke dashstyle="solid"/>
            </v:line>
            <v:rect style="position:absolute;left:1374;top:154;width:5;height:5" filled="true" fillcolor="#9f9f9f" stroked="false">
              <v:fill type="solid"/>
            </v:rect>
            <v:rect style="position:absolute;left:1374;top:154;width:5;height:5" filled="true" fillcolor="#9f9f9f" stroked="false">
              <v:fill type="solid"/>
            </v:rect>
            <v:line style="position:absolute" from="1379,157" to="10387,157" stroked="true" strokeweight=".24pt" strokecolor="#9f9f9f">
              <v:stroke dashstyle="solid"/>
            </v:line>
            <v:rect style="position:absolute;left:10387;top:154;width:5;height:5" filled="true" fillcolor="#e2e2e2" stroked="false">
              <v:fill type="solid"/>
            </v:rect>
            <v:rect style="position:absolute;left:10387;top:154;width:5;height:5" filled="true" fillcolor="#9f9f9f" stroked="false">
              <v:fill type="solid"/>
            </v:rect>
            <v:rect style="position:absolute;left:1374;top:159;width:5;height:21" filled="true" fillcolor="#9f9f9f" stroked="false">
              <v:fill type="solid"/>
            </v:rect>
            <v:rect style="position:absolute;left:10387;top:159;width:5;height:21" filled="true" fillcolor="#e2e2e2" stroked="false">
              <v:fill type="solid"/>
            </v:rect>
            <v:rect style="position:absolute;left:1374;top:179;width:5;height:5" filled="true" fillcolor="#9f9f9f" stroked="false">
              <v:fill type="solid"/>
            </v:rect>
            <v:rect style="position:absolute;left:1374;top:179;width:5;height:5" filled="true" fillcolor="#e2e2e2" stroked="false">
              <v:fill type="solid"/>
            </v:rect>
            <v:line style="position:absolute" from="1379,182" to="10387,182" stroked="true" strokeweight=".24pt" strokecolor="#e2e2e2">
              <v:stroke dashstyle="solid"/>
            </v:line>
            <v:rect style="position:absolute;left:10387;top:179;width:5;height:5" filled="true" fillcolor="#e2e2e2" stroked="false">
              <v:fill type="solid"/>
            </v:rect>
            <v:rect style="position:absolute;left:10387;top:179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428" w:lineRule="exact"/>
        <w:ind w:left="353"/>
      </w:pPr>
      <w:r>
        <w:rPr/>
        <w:t>此圖將事故發生的事件及相關條件按時間順序呈現，以視覺化方式釐清因果關係。</w:t>
      </w:r>
    </w:p>
    <w:p>
      <w:pPr>
        <w:pStyle w:val="BodyText"/>
        <w:spacing w:before="1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720090</wp:posOffset>
            </wp:positionH>
            <wp:positionV relativeFrom="paragraph">
              <wp:posOffset>176462</wp:posOffset>
            </wp:positionV>
            <wp:extent cx="6000555" cy="1273016"/>
            <wp:effectExtent l="0" t="0" r="0" b="0"/>
            <wp:wrapTopAndBottom/>
            <wp:docPr id="1" name="image1.png" descr="一張含有 文字, 字型, 行, 數字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555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8.699997pt;margin-top:137.263580pt;width:450.9pt;height:1.55pt;mso-position-horizontal-relative:page;mso-position-vertical-relative:paragraph;z-index:-952;mso-wrap-distance-left:0;mso-wrap-distance-right:0" coordorigin="1374,2745" coordsize="9018,31">
            <v:line style="position:absolute" from="1374,2760" to="10392,2760" stroked="true" strokeweight="1.5pt" strokecolor="#9f9f9f">
              <v:stroke dashstyle="solid"/>
            </v:line>
            <v:rect style="position:absolute;left:1374;top:2745;width:5;height:5" filled="true" fillcolor="#9f9f9f" stroked="false">
              <v:fill type="solid"/>
            </v:rect>
            <v:rect style="position:absolute;left:1374;top:2745;width:5;height:5" filled="true" fillcolor="#9f9f9f" stroked="false">
              <v:fill type="solid"/>
            </v:rect>
            <v:line style="position:absolute" from="1379,2748" to="10387,2748" stroked="true" strokeweight=".24pt" strokecolor="#9f9f9f">
              <v:stroke dashstyle="solid"/>
            </v:line>
            <v:rect style="position:absolute;left:10387;top:2745;width:5;height:5" filled="true" fillcolor="#e2e2e2" stroked="false">
              <v:fill type="solid"/>
            </v:rect>
            <v:rect style="position:absolute;left:10387;top:2745;width:5;height:5" filled="true" fillcolor="#9f9f9f" stroked="false">
              <v:fill type="solid"/>
            </v:rect>
            <v:rect style="position:absolute;left:1374;top:2750;width:5;height:21" filled="true" fillcolor="#9f9f9f" stroked="false">
              <v:fill type="solid"/>
            </v:rect>
            <v:rect style="position:absolute;left:10387;top:2750;width:5;height:21" filled="true" fillcolor="#e2e2e2" stroked="false">
              <v:fill type="solid"/>
            </v:rect>
            <v:rect style="position:absolute;left:1374;top:2770;width:5;height:5" filled="true" fillcolor="#9f9f9f" stroked="false">
              <v:fill type="solid"/>
            </v:rect>
            <v:rect style="position:absolute;left:1374;top:2770;width:5;height:5" filled="true" fillcolor="#e2e2e2" stroked="false">
              <v:fill type="solid"/>
            </v:rect>
            <v:line style="position:absolute" from="1379,2773" to="10387,2773" stroked="true" strokeweight=".24pt" strokecolor="#e2e2e2">
              <v:stroke dashstyle="solid"/>
            </v:line>
            <v:rect style="position:absolute;left:10387;top:2770;width:5;height:5" filled="true" fillcolor="#e2e2e2" stroked="false">
              <v:fill type="solid"/>
            </v:rect>
            <v:rect style="position:absolute;left:10387;top:2770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spacing w:before="7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428" w:lineRule="exact"/>
        <w:ind w:left="353"/>
      </w:pPr>
      <w:r>
        <w:rPr/>
        <w:t>此表以表格形式記錄事故發生的先後順序和相關條件，為後續分析奠定基礎。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2570"/>
        <w:gridCol w:w="640"/>
        <w:gridCol w:w="933"/>
        <w:gridCol w:w="1707"/>
        <w:gridCol w:w="2492"/>
      </w:tblGrid>
      <w:tr>
        <w:trPr>
          <w:trHeight w:val="1038" w:hRule="atLeast"/>
        </w:trPr>
        <w:tc>
          <w:tcPr>
            <w:tcW w:w="1150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日期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時間</w:t>
            </w:r>
          </w:p>
        </w:tc>
        <w:tc>
          <w:tcPr>
            <w:tcW w:w="2570" w:type="dxa"/>
          </w:tcPr>
          <w:p>
            <w:pPr>
              <w:pStyle w:val="TableParagraph"/>
              <w:spacing w:line="356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40" w:type="dxa"/>
          </w:tcPr>
          <w:p>
            <w:pPr>
              <w:pStyle w:val="TableParagraph"/>
              <w:spacing w:line="346" w:lineRule="exact"/>
              <w:ind w:left="105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ind w:left="105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推</w:t>
            </w:r>
          </w:p>
          <w:p>
            <w:pPr>
              <w:pStyle w:val="TableParagraph"/>
              <w:spacing w:line="327" w:lineRule="exact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斷</w:t>
            </w:r>
          </w:p>
        </w:tc>
        <w:tc>
          <w:tcPr>
            <w:tcW w:w="933" w:type="dxa"/>
          </w:tcPr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  <w:r>
              <w:rPr>
                <w:sz w:val="20"/>
              </w:rPr>
              <w:t>次</w:t>
            </w:r>
          </w:p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</w:t>
            </w:r>
          </w:p>
          <w:p>
            <w:pPr>
              <w:pStyle w:val="TableParagraph"/>
              <w:spacing w:line="327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軸</w:t>
            </w:r>
          </w:p>
        </w:tc>
        <w:tc>
          <w:tcPr>
            <w:tcW w:w="1707" w:type="dxa"/>
          </w:tcPr>
          <w:p>
            <w:pPr>
              <w:pStyle w:val="TableParagraph"/>
              <w:spacing w:line="225" w:lineRule="auto" w:before="4"/>
              <w:ind w:left="104" w:right="118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492" w:type="dxa"/>
          </w:tcPr>
          <w:p>
            <w:pPr>
              <w:pStyle w:val="TableParagraph"/>
              <w:spacing w:line="225" w:lineRule="auto" w:before="4"/>
              <w:ind w:left="105" w:right="252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</w:tbl>
    <w:p>
      <w:pPr>
        <w:spacing w:after="0" w:line="225" w:lineRule="auto"/>
        <w:rPr>
          <w:rFonts w:ascii="Segoe UI" w:eastAsia="Segoe UI"/>
          <w:sz w:val="20"/>
        </w:rPr>
        <w:sectPr>
          <w:footerReference w:type="default" r:id="rId5"/>
          <w:type w:val="continuous"/>
          <w:pgSz w:w="11910" w:h="16840"/>
          <w:pgMar w:footer="724" w:top="1080" w:bottom="920" w:left="1020" w:right="1160"/>
          <w:pgNumType w:start="1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2570"/>
        <w:gridCol w:w="640"/>
        <w:gridCol w:w="933"/>
        <w:gridCol w:w="1707"/>
        <w:gridCol w:w="2492"/>
      </w:tblGrid>
      <w:tr>
        <w:trPr>
          <w:trHeight w:val="1728" w:hRule="atLeast"/>
        </w:trPr>
        <w:tc>
          <w:tcPr>
            <w:tcW w:w="1150" w:type="dxa"/>
          </w:tcPr>
          <w:p>
            <w:pPr>
              <w:pStyle w:val="TableParagraph"/>
              <w:spacing w:line="257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111/11/08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18:59 </w:t>
            </w:r>
            <w:r>
              <w:rPr>
                <w:sz w:val="20"/>
              </w:rPr>
              <w:t>許</w:t>
            </w:r>
          </w:p>
        </w:tc>
        <w:tc>
          <w:tcPr>
            <w:tcW w:w="2570" w:type="dxa"/>
          </w:tcPr>
          <w:p>
            <w:pPr>
              <w:pStyle w:val="TableParagraph"/>
              <w:spacing w:line="225" w:lineRule="auto" w:before="1"/>
              <w:ind w:right="249"/>
              <w:jc w:val="both"/>
              <w:rPr>
                <w:sz w:val="20"/>
              </w:rPr>
            </w:pPr>
            <w:r>
              <w:rPr>
                <w:sz w:val="20"/>
              </w:rPr>
              <w:t>罹災者完成穿布作業後， </w:t>
            </w:r>
            <w:r>
              <w:rPr>
                <w:b/>
                <w:sz w:val="20"/>
              </w:rPr>
              <w:t>在機器未停機下，繼續進行織帶穿繞作業 </w:t>
            </w:r>
            <w:r>
              <w:rPr>
                <w:sz w:val="20"/>
              </w:rPr>
              <w:t>。</w:t>
            </w:r>
          </w:p>
        </w:tc>
        <w:tc>
          <w:tcPr>
            <w:tcW w:w="640" w:type="dxa"/>
          </w:tcPr>
          <w:p>
            <w:pPr>
              <w:pStyle w:val="TableParagraph"/>
              <w:spacing w:line="353" w:lineRule="exact"/>
              <w:ind w:left="105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3" w:type="dxa"/>
          </w:tcPr>
          <w:p>
            <w:pPr>
              <w:pStyle w:val="TableParagraph"/>
              <w:spacing w:line="263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0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25" w:lineRule="auto" w:before="1" w:after="0"/>
              <w:ind w:left="104" w:right="138" w:firstLine="0"/>
              <w:jc w:val="left"/>
              <w:rPr>
                <w:sz w:val="20"/>
              </w:rPr>
            </w:pPr>
            <w:r>
              <w:rPr>
                <w:spacing w:val="-3"/>
                <w:sz w:val="20"/>
              </w:rPr>
              <w:t>於運轉中的危</w:t>
            </w:r>
            <w:r>
              <w:rPr>
                <w:sz w:val="20"/>
              </w:rPr>
              <w:t>險機械旁作</w:t>
            </w:r>
          </w:p>
          <w:p>
            <w:pPr>
              <w:pStyle w:val="TableParagraph"/>
              <w:spacing w:line="342" w:lineRule="exact"/>
              <w:ind w:left="104"/>
              <w:rPr>
                <w:sz w:val="20"/>
              </w:rPr>
            </w:pPr>
            <w:r>
              <w:rPr>
                <w:sz w:val="20"/>
              </w:rPr>
              <w:t>業 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346" w:lineRule="exact" w:before="0" w:after="0"/>
              <w:ind w:left="356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採取了不安全</w:t>
            </w:r>
          </w:p>
          <w:p>
            <w:pPr>
              <w:pStyle w:val="TableParagraph"/>
              <w:spacing w:line="329" w:lineRule="exact"/>
              <w:ind w:left="104"/>
              <w:rPr>
                <w:sz w:val="20"/>
              </w:rPr>
            </w:pPr>
            <w:r>
              <w:rPr>
                <w:sz w:val="20"/>
              </w:rPr>
              <w:t>的作業方法。</w:t>
            </w:r>
          </w:p>
        </w:tc>
        <w:tc>
          <w:tcPr>
            <w:tcW w:w="249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25" w:lineRule="auto" w:before="1" w:after="0"/>
              <w:ind w:left="105" w:right="174" w:firstLine="0"/>
              <w:jc w:val="lef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未建立或未落實「停</w:t>
            </w:r>
            <w:r>
              <w:rPr>
                <w:spacing w:val="-2"/>
                <w:sz w:val="20"/>
              </w:rPr>
              <w:t>機、斷電、上鎖」的安全</w:t>
            </w:r>
            <w:r>
              <w:rPr>
                <w:spacing w:val="7"/>
                <w:sz w:val="20"/>
              </w:rPr>
              <w:t>作業程序 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342" w:lineRule="exact" w:before="0" w:after="0"/>
              <w:ind w:left="356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為求方便或縮短作業時</w:t>
            </w:r>
          </w:p>
          <w:p>
            <w:pPr>
              <w:pStyle w:val="TableParagraph"/>
              <w:spacing w:line="329" w:lineRule="exact"/>
              <w:ind w:left="104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間的習慣性作法。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075" w:hRule="atLeast"/>
        </w:trPr>
        <w:tc>
          <w:tcPr>
            <w:tcW w:w="1150" w:type="dxa"/>
          </w:tcPr>
          <w:p>
            <w:pPr>
              <w:pStyle w:val="TableParagraph"/>
              <w:spacing w:line="257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111/11/08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18:59 </w:t>
            </w:r>
            <w:r>
              <w:rPr>
                <w:sz w:val="20"/>
              </w:rPr>
              <w:t>許</w:t>
            </w:r>
          </w:p>
        </w:tc>
        <w:tc>
          <w:tcPr>
            <w:tcW w:w="2570" w:type="dxa"/>
          </w:tcPr>
          <w:p>
            <w:pPr>
              <w:pStyle w:val="TableParagraph"/>
              <w:spacing w:line="225" w:lineRule="auto" w:before="2"/>
              <w:ind w:right="249" w:hanging="1"/>
              <w:jc w:val="both"/>
              <w:rPr>
                <w:sz w:val="20"/>
              </w:rPr>
            </w:pPr>
            <w:r>
              <w:rPr>
                <w:sz w:val="20"/>
              </w:rPr>
              <w:t>罹災者將織帶穿繞於第 </w:t>
            </w:r>
            <w:r>
              <w:rPr>
                <w:rFonts w:ascii="Segoe UI" w:eastAsia="Segoe UI"/>
                <w:sz w:val="20"/>
              </w:rPr>
              <w:t>6 </w:t>
            </w:r>
            <w:r>
              <w:rPr>
                <w:sz w:val="20"/>
              </w:rPr>
              <w:t>個下滾軸時，</w:t>
            </w:r>
            <w:r>
              <w:rPr>
                <w:b/>
                <w:sz w:val="20"/>
              </w:rPr>
              <w:t>其左手臂被上下滾軸捲入 </w:t>
            </w:r>
            <w:r>
              <w:rPr>
                <w:sz w:val="20"/>
              </w:rPr>
              <w:t>。</w:t>
            </w:r>
          </w:p>
        </w:tc>
        <w:tc>
          <w:tcPr>
            <w:tcW w:w="640" w:type="dxa"/>
          </w:tcPr>
          <w:p>
            <w:pPr>
              <w:pStyle w:val="TableParagraph"/>
              <w:spacing w:line="354" w:lineRule="exact"/>
              <w:ind w:left="105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3" w:type="dxa"/>
          </w:tcPr>
          <w:p>
            <w:pPr>
              <w:pStyle w:val="TableParagraph"/>
              <w:spacing w:line="263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07" w:type="dxa"/>
          </w:tcPr>
          <w:p>
            <w:pPr>
              <w:pStyle w:val="TableParagraph"/>
              <w:spacing w:line="225" w:lineRule="auto" w:before="2"/>
              <w:ind w:left="104" w:right="190"/>
              <w:jc w:val="both"/>
              <w:rPr>
                <w:sz w:val="20"/>
              </w:rPr>
            </w:pPr>
            <w:r>
              <w:rPr>
                <w:sz w:val="20"/>
              </w:rPr>
              <w:t>身體部位靠近並接觸運轉中的捲入 點 。</w:t>
            </w:r>
          </w:p>
        </w:tc>
        <w:tc>
          <w:tcPr>
            <w:tcW w:w="249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57" w:val="left" w:leader="none"/>
              </w:tabs>
              <w:spacing w:line="225" w:lineRule="auto" w:before="2" w:after="0"/>
              <w:ind w:left="105" w:right="122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滾軸的捲入點未設置固</w:t>
            </w:r>
            <w:r>
              <w:rPr>
                <w:spacing w:val="3"/>
                <w:sz w:val="20"/>
              </w:rPr>
              <w:t>定式護罩或互鎖裝置 。</w:t>
            </w:r>
          </w:p>
          <w:p>
            <w:pPr>
              <w:pStyle w:val="TableParagraph"/>
              <w:spacing w:line="341" w:lineRule="exact"/>
              <w:ind w:left="105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7" w:val="left" w:leader="none"/>
              </w:tabs>
              <w:spacing w:line="346" w:lineRule="exact" w:before="0" w:after="0"/>
              <w:ind w:left="356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慢速轉動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每分鐘約</w:t>
            </w:r>
          </w:p>
          <w:p>
            <w:pPr>
              <w:pStyle w:val="TableParagraph"/>
              <w:spacing w:line="346" w:lineRule="exact"/>
              <w:ind w:left="104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5.49 </w:t>
            </w:r>
            <w:r>
              <w:rPr>
                <w:sz w:val="20"/>
              </w:rPr>
              <w:t>公尺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易使人降低戒</w:t>
            </w:r>
          </w:p>
          <w:p>
            <w:pPr>
              <w:pStyle w:val="TableParagraph"/>
              <w:spacing w:line="329" w:lineRule="exact"/>
              <w:ind w:left="104"/>
              <w:rPr>
                <w:sz w:val="20"/>
              </w:rPr>
            </w:pPr>
            <w:r>
              <w:rPr>
                <w:sz w:val="20"/>
              </w:rPr>
              <w:t>心 。</w:t>
            </w:r>
          </w:p>
        </w:tc>
      </w:tr>
      <w:tr>
        <w:trPr>
          <w:trHeight w:val="1037" w:hRule="atLeast"/>
        </w:trPr>
        <w:tc>
          <w:tcPr>
            <w:tcW w:w="1150" w:type="dxa"/>
          </w:tcPr>
          <w:p>
            <w:pPr>
              <w:pStyle w:val="TableParagraph"/>
              <w:spacing w:line="257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111/11/08</w:t>
            </w:r>
          </w:p>
          <w:p>
            <w:pPr>
              <w:pStyle w:val="TableParagraph"/>
              <w:spacing w:line="351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18:59 </w:t>
            </w:r>
            <w:r>
              <w:rPr>
                <w:sz w:val="20"/>
              </w:rPr>
              <w:t>許</w:t>
            </w:r>
          </w:p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w w:val="100"/>
                <w:sz w:val="20"/>
              </w:rPr>
              <w:t>後</w:t>
            </w:r>
          </w:p>
        </w:tc>
        <w:tc>
          <w:tcPr>
            <w:tcW w:w="2570" w:type="dxa"/>
          </w:tcPr>
          <w:p>
            <w:pPr>
              <w:pStyle w:val="TableParagraph"/>
              <w:spacing w:line="343" w:lineRule="exac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身體之肩胸部被往第 </w:t>
            </w:r>
            <w:r>
              <w:rPr>
                <w:rFonts w:ascii="Segoe UI" w:eastAsia="Segoe UI"/>
                <w:b/>
                <w:sz w:val="20"/>
              </w:rPr>
              <w:t>6</w:t>
            </w:r>
            <w:r>
              <w:rPr>
                <w:rFonts w:ascii="Segoe UI" w:eastAsia="Segoe UI"/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個</w:t>
            </w:r>
          </w:p>
          <w:p>
            <w:pPr>
              <w:pStyle w:val="TableParagraph"/>
              <w:spacing w:line="346" w:lineRule="exac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上滾軸及第 </w:t>
            </w:r>
            <w:r>
              <w:rPr>
                <w:rFonts w:ascii="Segoe UI" w:eastAsia="Segoe UI"/>
                <w:b/>
                <w:sz w:val="20"/>
              </w:rPr>
              <w:t>7</w:t>
            </w:r>
            <w:r>
              <w:rPr>
                <w:rFonts w:ascii="Segoe UI" w:eastAsia="Segoe UI"/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個上滾軸之</w:t>
            </w:r>
          </w:p>
          <w:p>
            <w:pPr>
              <w:pStyle w:val="TableParagraph"/>
              <w:spacing w:line="329" w:lineRule="exact"/>
              <w:rPr>
                <w:sz w:val="20"/>
              </w:rPr>
            </w:pPr>
            <w:r>
              <w:rPr>
                <w:b/>
                <w:sz w:val="20"/>
              </w:rPr>
              <w:t>間擠壓 </w:t>
            </w:r>
            <w:r>
              <w:rPr>
                <w:sz w:val="20"/>
              </w:rPr>
              <w:t>。</w:t>
            </w:r>
          </w:p>
        </w:tc>
        <w:tc>
          <w:tcPr>
            <w:tcW w:w="640" w:type="dxa"/>
          </w:tcPr>
          <w:p>
            <w:pPr>
              <w:pStyle w:val="TableParagraph"/>
              <w:spacing w:line="354" w:lineRule="exact"/>
              <w:ind w:left="105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3" w:type="dxa"/>
          </w:tcPr>
          <w:p>
            <w:pPr>
              <w:pStyle w:val="TableParagraph"/>
              <w:spacing w:line="263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07" w:type="dxa"/>
          </w:tcPr>
          <w:p>
            <w:pPr>
              <w:pStyle w:val="TableParagraph"/>
              <w:spacing w:line="225" w:lineRule="auto" w:before="2"/>
              <w:ind w:left="104" w:right="190"/>
              <w:rPr>
                <w:sz w:val="20"/>
              </w:rPr>
            </w:pPr>
            <w:r>
              <w:rPr>
                <w:sz w:val="20"/>
              </w:rPr>
              <w:t>捲入後無法立即停止機器。</w:t>
            </w:r>
          </w:p>
        </w:tc>
        <w:tc>
          <w:tcPr>
            <w:tcW w:w="2492" w:type="dxa"/>
          </w:tcPr>
          <w:p>
            <w:pPr>
              <w:pStyle w:val="TableParagraph"/>
              <w:spacing w:line="225" w:lineRule="auto" w:before="2"/>
              <w:ind w:left="105" w:right="174"/>
              <w:rPr>
                <w:sz w:val="20"/>
              </w:rPr>
            </w:pPr>
            <w:r>
              <w:rPr>
                <w:sz w:val="20"/>
              </w:rPr>
              <w:t>缺乏伸手可及的緊急停止裝置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如：緊急拉繩開</w:t>
            </w:r>
          </w:p>
          <w:p>
            <w:pPr>
              <w:pStyle w:val="TableParagraph"/>
              <w:spacing w:line="324" w:lineRule="exact"/>
              <w:ind w:left="10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關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384" w:hRule="atLeast"/>
        </w:trPr>
        <w:tc>
          <w:tcPr>
            <w:tcW w:w="1150" w:type="dxa"/>
          </w:tcPr>
          <w:p>
            <w:pPr>
              <w:pStyle w:val="TableParagraph"/>
              <w:spacing w:line="257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111/11/08</w:t>
            </w:r>
          </w:p>
          <w:p>
            <w:pPr>
              <w:pStyle w:val="TableParagraph"/>
              <w:spacing w:line="35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18:59 </w:t>
            </w:r>
            <w:r>
              <w:rPr>
                <w:sz w:val="20"/>
              </w:rPr>
              <w:t>許</w:t>
            </w:r>
          </w:p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w w:val="100"/>
                <w:sz w:val="20"/>
              </w:rPr>
              <w:t>後</w:t>
            </w:r>
          </w:p>
        </w:tc>
        <w:tc>
          <w:tcPr>
            <w:tcW w:w="2570" w:type="dxa"/>
          </w:tcPr>
          <w:p>
            <w:pPr>
              <w:pStyle w:val="TableParagraph"/>
              <w:spacing w:line="225" w:lineRule="auto" w:before="2"/>
              <w:ind w:right="249"/>
              <w:jc w:val="both"/>
              <w:rPr>
                <w:sz w:val="20"/>
              </w:rPr>
            </w:pPr>
            <w:r>
              <w:rPr>
                <w:sz w:val="20"/>
              </w:rPr>
              <w:t>罹災者一度使用右手以手機向其同事求救，</w:t>
            </w:r>
            <w:r>
              <w:rPr>
                <w:b/>
                <w:sz w:val="20"/>
              </w:rPr>
              <w:t>但電話一直沒有接聽 </w:t>
            </w:r>
            <w:r>
              <w:rPr>
                <w:sz w:val="20"/>
              </w:rPr>
              <w:t>。</w:t>
            </w:r>
          </w:p>
        </w:tc>
        <w:tc>
          <w:tcPr>
            <w:tcW w:w="640" w:type="dxa"/>
          </w:tcPr>
          <w:p>
            <w:pPr>
              <w:pStyle w:val="TableParagraph"/>
              <w:spacing w:line="354" w:lineRule="exact"/>
              <w:ind w:left="105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3" w:type="dxa"/>
          </w:tcPr>
          <w:p>
            <w:pPr>
              <w:pStyle w:val="TableParagraph"/>
              <w:spacing w:line="263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707" w:type="dxa"/>
          </w:tcPr>
          <w:p>
            <w:pPr>
              <w:pStyle w:val="TableParagraph"/>
              <w:spacing w:line="225" w:lineRule="auto" w:before="2"/>
              <w:ind w:left="104" w:right="190"/>
              <w:rPr>
                <w:sz w:val="20"/>
              </w:rPr>
            </w:pPr>
            <w:r>
              <w:rPr>
                <w:spacing w:val="-3"/>
                <w:sz w:val="20"/>
              </w:rPr>
              <w:t>採取了無法保證</w:t>
            </w:r>
            <w:r>
              <w:rPr>
                <w:sz w:val="20"/>
              </w:rPr>
              <w:t>成功的求救方 式。</w:t>
            </w:r>
          </w:p>
        </w:tc>
        <w:tc>
          <w:tcPr>
            <w:tcW w:w="249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57" w:val="left" w:leader="none"/>
              </w:tabs>
              <w:spacing w:line="225" w:lineRule="auto" w:before="2" w:after="0"/>
              <w:ind w:left="105" w:right="522" w:firstLine="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單獨作業，無人監</w:t>
            </w:r>
            <w:r>
              <w:rPr>
                <w:sz w:val="20"/>
              </w:rPr>
              <w:t>護 。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57" w:val="left" w:leader="none"/>
              </w:tabs>
              <w:spacing w:line="341" w:lineRule="exact" w:before="0" w:after="0"/>
              <w:ind w:left="357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緊急應變計畫不足或未</w:t>
            </w:r>
          </w:p>
          <w:p>
            <w:pPr>
              <w:pStyle w:val="TableParagraph"/>
              <w:spacing w:line="330" w:lineRule="exact"/>
              <w:ind w:left="10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演練。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150" w:type="dxa"/>
          </w:tcPr>
          <w:p>
            <w:pPr>
              <w:pStyle w:val="TableParagraph"/>
              <w:spacing w:line="257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111/11/08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19:40 </w:t>
            </w:r>
            <w:r>
              <w:rPr>
                <w:sz w:val="20"/>
              </w:rPr>
              <w:t>許</w:t>
            </w:r>
          </w:p>
        </w:tc>
        <w:tc>
          <w:tcPr>
            <w:tcW w:w="2570" w:type="dxa"/>
          </w:tcPr>
          <w:p>
            <w:pPr>
              <w:pStyle w:val="TableParagraph"/>
              <w:spacing w:line="225" w:lineRule="auto" w:before="1"/>
              <w:ind w:right="202" w:hanging="1"/>
              <w:rPr>
                <w:b/>
                <w:sz w:val="20"/>
              </w:rPr>
            </w:pPr>
            <w:r>
              <w:rPr>
                <w:sz w:val="20"/>
              </w:rPr>
              <w:t>同事至 </w:t>
            </w:r>
            <w:r>
              <w:rPr>
                <w:rFonts w:ascii="Segoe UI" w:eastAsia="Segoe UI"/>
                <w:sz w:val="20"/>
              </w:rPr>
              <w:t>2 </w:t>
            </w:r>
            <w:r>
              <w:rPr>
                <w:sz w:val="20"/>
              </w:rPr>
              <w:t>樓作業區拿取貨物時，</w:t>
            </w:r>
            <w:r>
              <w:rPr>
                <w:b/>
                <w:sz w:val="20"/>
              </w:rPr>
              <w:t>發現罹災者趴於上</w:t>
            </w:r>
          </w:p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b/>
                <w:sz w:val="20"/>
              </w:rPr>
              <w:t>漿機上已無意識 </w:t>
            </w:r>
            <w:r>
              <w:rPr>
                <w:sz w:val="20"/>
              </w:rPr>
              <w:t>。</w:t>
            </w:r>
          </w:p>
        </w:tc>
        <w:tc>
          <w:tcPr>
            <w:tcW w:w="640" w:type="dxa"/>
          </w:tcPr>
          <w:p>
            <w:pPr>
              <w:pStyle w:val="TableParagraph"/>
              <w:spacing w:line="353" w:lineRule="exact"/>
              <w:ind w:left="105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3" w:type="dxa"/>
          </w:tcPr>
          <w:p>
            <w:pPr>
              <w:pStyle w:val="TableParagraph"/>
              <w:spacing w:line="263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07" w:type="dxa"/>
          </w:tcPr>
          <w:p>
            <w:pPr>
              <w:pStyle w:val="TableParagraph"/>
              <w:spacing w:line="225" w:lineRule="auto" w:before="1"/>
              <w:ind w:left="104" w:right="190"/>
              <w:rPr>
                <w:b/>
                <w:sz w:val="20"/>
              </w:rPr>
            </w:pPr>
            <w:r>
              <w:rPr>
                <w:b/>
                <w:sz w:val="20"/>
              </w:rPr>
              <w:t>事故發生至發現已延遲約 </w:t>
            </w:r>
            <w:r>
              <w:rPr>
                <w:rFonts w:ascii="Segoe UI" w:eastAsia="Segoe UI"/>
                <w:b/>
                <w:sz w:val="20"/>
              </w:rPr>
              <w:t>40 </w:t>
            </w:r>
            <w:r>
              <w:rPr>
                <w:b/>
                <w:sz w:val="20"/>
              </w:rPr>
              <w:t>分</w:t>
            </w:r>
          </w:p>
          <w:p>
            <w:pPr>
              <w:pStyle w:val="TableParagraph"/>
              <w:spacing w:line="325" w:lineRule="exact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鐘 </w:t>
            </w:r>
            <w:r>
              <w:rPr>
                <w:sz w:val="20"/>
              </w:rPr>
              <w:t>。</w:t>
            </w:r>
          </w:p>
        </w:tc>
        <w:tc>
          <w:tcPr>
            <w:tcW w:w="2492" w:type="dxa"/>
          </w:tcPr>
          <w:p>
            <w:pPr>
              <w:pStyle w:val="TableParagraph"/>
              <w:spacing w:line="225" w:lineRule="auto" w:before="1"/>
              <w:ind w:left="105" w:right="174"/>
              <w:rPr>
                <w:sz w:val="20"/>
              </w:rPr>
            </w:pPr>
            <w:r>
              <w:rPr>
                <w:sz w:val="20"/>
              </w:rPr>
              <w:t>缺乏對高風險作業區域的巡檢機制或人員監控系</w:t>
            </w:r>
          </w:p>
          <w:p>
            <w:pPr>
              <w:pStyle w:val="TableParagraph"/>
              <w:spacing w:line="325" w:lineRule="exact"/>
              <w:ind w:left="10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統。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推斷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150" w:type="dxa"/>
          </w:tcPr>
          <w:p>
            <w:pPr>
              <w:pStyle w:val="TableParagraph"/>
              <w:spacing w:line="262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111/11/08</w:t>
            </w:r>
          </w:p>
          <w:p>
            <w:pPr>
              <w:pStyle w:val="TableParagraph"/>
              <w:spacing w:line="26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20:30</w:t>
            </w:r>
          </w:p>
        </w:tc>
        <w:tc>
          <w:tcPr>
            <w:tcW w:w="2570" w:type="dxa"/>
          </w:tcPr>
          <w:p>
            <w:pPr>
              <w:pStyle w:val="TableParagraph"/>
              <w:spacing w:line="225" w:lineRule="auto" w:before="1"/>
              <w:ind w:right="249"/>
              <w:rPr>
                <w:sz w:val="20"/>
              </w:rPr>
            </w:pPr>
            <w:r>
              <w:rPr>
                <w:b/>
                <w:sz w:val="20"/>
              </w:rPr>
              <w:t>罹災者經送醫急救後，因傷重不治死亡 </w:t>
            </w:r>
            <w:r>
              <w:rPr>
                <w:sz w:val="20"/>
              </w:rPr>
              <w:t>。</w:t>
            </w:r>
          </w:p>
        </w:tc>
        <w:tc>
          <w:tcPr>
            <w:tcW w:w="640" w:type="dxa"/>
          </w:tcPr>
          <w:p>
            <w:pPr>
              <w:pStyle w:val="TableParagraph"/>
              <w:spacing w:line="353" w:lineRule="exact"/>
              <w:ind w:left="105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33" w:type="dxa"/>
          </w:tcPr>
          <w:p>
            <w:pPr>
              <w:pStyle w:val="TableParagraph"/>
              <w:spacing w:line="263" w:lineRule="exact"/>
              <w:ind w:left="106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707" w:type="dxa"/>
          </w:tcPr>
          <w:p>
            <w:pPr>
              <w:pStyle w:val="TableParagraph"/>
              <w:spacing w:line="225" w:lineRule="auto" w:before="1"/>
              <w:ind w:left="104" w:right="190"/>
              <w:rPr>
                <w:sz w:val="20"/>
              </w:rPr>
            </w:pPr>
            <w:r>
              <w:rPr>
                <w:sz w:val="20"/>
              </w:rPr>
              <w:t>傷勢為胸腹壓迫傷致壓迫性窒</w:t>
            </w:r>
          </w:p>
          <w:p>
            <w:pPr>
              <w:pStyle w:val="TableParagraph"/>
              <w:spacing w:line="325" w:lineRule="exact"/>
              <w:ind w:left="104"/>
              <w:rPr>
                <w:sz w:val="20"/>
              </w:rPr>
            </w:pPr>
            <w:r>
              <w:rPr>
                <w:sz w:val="20"/>
              </w:rPr>
              <w:t>息 。</w:t>
            </w:r>
          </w:p>
        </w:tc>
        <w:tc>
          <w:tcPr>
            <w:tcW w:w="2492" w:type="dxa"/>
          </w:tcPr>
          <w:p>
            <w:pPr>
              <w:pStyle w:val="TableParagraph"/>
              <w:spacing w:line="225" w:lineRule="auto" w:before="1"/>
              <w:ind w:left="105" w:right="174"/>
              <w:rPr>
                <w:sz w:val="20"/>
              </w:rPr>
            </w:pPr>
            <w:r>
              <w:rPr>
                <w:sz w:val="20"/>
              </w:rPr>
              <w:t>慢速但高扭力的持續擠壓造成了致命傷害。</w:t>
            </w:r>
          </w:p>
        </w:tc>
      </w:tr>
    </w:tbl>
    <w:p>
      <w:pPr>
        <w:pStyle w:val="BodyText"/>
        <w:spacing w:before="6"/>
        <w:rPr>
          <w:sz w:val="6"/>
        </w:rPr>
      </w:pPr>
      <w:r>
        <w:rPr/>
        <w:pict>
          <v:group style="position:absolute;margin-left:68.699997pt;margin-top:7.82pt;width:450.9pt;height:1.5pt;mso-position-horizontal-relative:page;mso-position-vertical-relative:paragraph;z-index:-928;mso-wrap-distance-left:0;mso-wrap-distance-right:0" coordorigin="1374,156" coordsize="9018,30">
            <v:line style="position:absolute" from="1374,171" to="10392,171" stroked="true" strokeweight="1.5pt" strokecolor="#9f9f9f">
              <v:stroke dashstyle="solid"/>
            </v:line>
            <v:rect style="position:absolute;left:1374;top:156;width:5;height:5" filled="true" fillcolor="#9f9f9f" stroked="false">
              <v:fill type="solid"/>
            </v:rect>
            <v:rect style="position:absolute;left:1374;top:156;width:5;height:5" filled="true" fillcolor="#9f9f9f" stroked="false">
              <v:fill type="solid"/>
            </v:rect>
            <v:line style="position:absolute" from="1379,159" to="10387,159" stroked="true" strokeweight=".24pt" strokecolor="#9f9f9f">
              <v:stroke dashstyle="solid"/>
            </v:line>
            <v:rect style="position:absolute;left:10387;top:156;width:5;height:5" filled="true" fillcolor="#e2e2e2" stroked="false">
              <v:fill type="solid"/>
            </v:rect>
            <v:rect style="position:absolute;left:10387;top:156;width:5;height:5" filled="true" fillcolor="#9f9f9f" stroked="false">
              <v:fill type="solid"/>
            </v:rect>
            <v:rect style="position:absolute;left:1374;top:161;width:5;height:21" filled="true" fillcolor="#9f9f9f" stroked="false">
              <v:fill type="solid"/>
            </v:rect>
            <v:rect style="position:absolute;left:10387;top:161;width:5;height:21" filled="true" fillcolor="#e2e2e2" stroked="false">
              <v:fill type="solid"/>
            </v:rect>
            <v:rect style="position:absolute;left:1374;top:181;width:5;height:5" filled="true" fillcolor="#9f9f9f" stroked="false">
              <v:fill type="solid"/>
            </v:rect>
            <v:rect style="position:absolute;left:1374;top:181;width:5;height:5" filled="true" fillcolor="#e2e2e2" stroked="false">
              <v:fill type="solid"/>
            </v:rect>
            <v:line style="position:absolute" from="1379,184" to="10387,184" stroked="true" strokeweight=".24pt" strokecolor="#e2e2e2">
              <v:stroke dashstyle="solid"/>
            </v:line>
            <v:rect style="position:absolute;left:10387;top:181;width:5;height:5" filled="true" fillcolor="#e2e2e2" stroked="false">
              <v:fill type="solid"/>
            </v:rect>
            <v:rect style="position:absolute;left:10387;top:18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(Why-Tree)</w:t>
      </w:r>
    </w:p>
    <w:p>
      <w:pPr>
        <w:pStyle w:val="BodyText"/>
        <w:spacing w:line="428" w:lineRule="exact"/>
        <w:ind w:left="353"/>
      </w:pPr>
      <w:r>
        <w:rPr/>
        <w:t>本分析從最終的傷害事件開始，透過不斷追問「為什麼」來探究事件的根本原因。</w:t>
      </w:r>
    </w:p>
    <w:p>
      <w:pPr>
        <w:spacing w:after="0" w:line="428" w:lineRule="exact"/>
        <w:sectPr>
          <w:pgSz w:w="11910" w:h="16840"/>
          <w:pgMar w:header="0" w:footer="724" w:top="1120" w:bottom="920" w:left="1020" w:right="1160"/>
        </w:sectPr>
      </w:pPr>
    </w:p>
    <w:p>
      <w:pPr>
        <w:pStyle w:val="BodyText"/>
        <w:ind w:left="574"/>
        <w:rPr>
          <w:sz w:val="20"/>
        </w:rPr>
      </w:pPr>
      <w:r>
        <w:rPr>
          <w:sz w:val="20"/>
        </w:rPr>
        <w:drawing>
          <wp:inline distT="0" distB="0" distL="0" distR="0">
            <wp:extent cx="4824704" cy="4715256"/>
            <wp:effectExtent l="0" t="0" r="0" b="0"/>
            <wp:docPr id="3" name="image2.png" descr="一張含有 文字, 螢幕擷取畫面, 圖表, 平行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704" cy="4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9"/>
        </w:rPr>
      </w:pPr>
      <w:r>
        <w:rPr/>
        <w:pict>
          <v:group style="position:absolute;margin-left:68.699997pt;margin-top:20.080pt;width:450.9pt;height:1.5pt;mso-position-horizontal-relative:page;mso-position-vertical-relative:paragraph;z-index:-904;mso-wrap-distance-left:0;mso-wrap-distance-right:0" coordorigin="1374,402" coordsize="9018,30">
            <v:line style="position:absolute" from="1374,417" to="10392,417" stroked="true" strokeweight="1.5pt" strokecolor="#9f9f9f">
              <v:stroke dashstyle="solid"/>
            </v:line>
            <v:rect style="position:absolute;left:1374;top:401;width:5;height:5" filled="true" fillcolor="#9f9f9f" stroked="false">
              <v:fill type="solid"/>
            </v:rect>
            <v:rect style="position:absolute;left:1374;top:401;width:5;height:5" filled="true" fillcolor="#9f9f9f" stroked="false">
              <v:fill type="solid"/>
            </v:rect>
            <v:line style="position:absolute" from="1379,404" to="10387,404" stroked="true" strokeweight=".24pt" strokecolor="#9f9f9f">
              <v:stroke dashstyle="solid"/>
            </v:line>
            <v:rect style="position:absolute;left:10387;top:401;width:5;height:5" filled="true" fillcolor="#e2e2e2" stroked="false">
              <v:fill type="solid"/>
            </v:rect>
            <v:rect style="position:absolute;left:10387;top:401;width:5;height:5" filled="true" fillcolor="#9f9f9f" stroked="false">
              <v:fill type="solid"/>
            </v:rect>
            <v:rect style="position:absolute;left:1374;top:406;width:5;height:21" filled="true" fillcolor="#9f9f9f" stroked="false">
              <v:fill type="solid"/>
            </v:rect>
            <v:rect style="position:absolute;left:10387;top:406;width:5;height:21" filled="true" fillcolor="#e2e2e2" stroked="false">
              <v:fill type="solid"/>
            </v:rect>
            <v:rect style="position:absolute;left:1374;top:426;width:5;height:5" filled="true" fillcolor="#9f9f9f" stroked="false">
              <v:fill type="solid"/>
            </v:rect>
            <v:rect style="position:absolute;left:1374;top:426;width:5;height:5" filled="true" fillcolor="#e2e2e2" stroked="false">
              <v:fill type="solid"/>
            </v:rect>
            <v:line style="position:absolute" from="1379,429" to="10387,429" stroked="true" strokeweight=".24pt" strokecolor="#e2e2e2">
              <v:stroke dashstyle="solid"/>
            </v:line>
            <v:rect style="position:absolute;left:10387;top:426;width:5;height:5" filled="true" fillcolor="#e2e2e2" stroked="false">
              <v:fill type="solid"/>
            </v:rect>
            <v:rect style="position:absolute;left:10387;top:426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四</w:t>
      </w:r>
      <w:r>
        <w:rPr>
          <w:rFonts w:ascii="Calibri" w:eastAsia="Calibri"/>
        </w:rPr>
        <w:t>. </w:t>
      </w:r>
      <w:r>
        <w:rPr/>
        <w:t>屏障分析  </w:t>
      </w:r>
      <w:r>
        <w:rPr>
          <w:rFonts w:ascii="Calibri" w:eastAsia="Calibri"/>
        </w:rPr>
        <w:t>(Barrier Analysis)</w:t>
      </w:r>
    </w:p>
    <w:p>
      <w:pPr>
        <w:pStyle w:val="BodyText"/>
        <w:spacing w:line="415" w:lineRule="exact"/>
        <w:ind w:left="353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15" w:lineRule="exact" w:before="0" w:after="0"/>
        <w:ind w:left="714" w:right="0" w:hanging="360"/>
        <w:jc w:val="left"/>
        <w:rPr>
          <w:rFonts w:ascii="Calibri" w:hAnsi="Calibri" w:eastAsia="Calibri"/>
          <w:sz w:val="24"/>
        </w:rPr>
      </w:pPr>
      <w:r>
        <w:rPr>
          <w:b/>
          <w:sz w:val="24"/>
        </w:rPr>
        <w:t>危害： </w:t>
      </w:r>
      <w:r>
        <w:rPr>
          <w:sz w:val="24"/>
        </w:rPr>
        <w:t>機械能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運轉中滾軸產生的捲夾動能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28" w:lineRule="exact" w:before="0" w:after="0"/>
        <w:ind w:left="714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罹災勞工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978"/>
        <w:gridCol w:w="964"/>
        <w:gridCol w:w="2571"/>
        <w:gridCol w:w="3158"/>
      </w:tblGrid>
      <w:tr>
        <w:trPr>
          <w:trHeight w:val="1384" w:hRule="atLeast"/>
        </w:trPr>
        <w:tc>
          <w:tcPr>
            <w:tcW w:w="820" w:type="dxa"/>
          </w:tcPr>
          <w:p>
            <w:pPr>
              <w:pStyle w:val="TableParagraph"/>
              <w:spacing w:line="225" w:lineRule="auto"/>
              <w:ind w:right="100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978" w:type="dxa"/>
          </w:tcPr>
          <w:p>
            <w:pPr>
              <w:pStyle w:val="TableParagraph"/>
              <w:spacing w:line="345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964" w:type="dxa"/>
          </w:tcPr>
          <w:p>
            <w:pPr>
              <w:pStyle w:val="TableParagraph"/>
              <w:spacing w:line="225" w:lineRule="auto"/>
              <w:ind w:left="106" w:right="243"/>
              <w:jc w:val="both"/>
              <w:rPr>
                <w:sz w:val="20"/>
              </w:rPr>
            </w:pPr>
            <w:r>
              <w:rPr>
                <w:sz w:val="20"/>
              </w:rPr>
              <w:t>屏障表現 </w:t>
            </w:r>
            <w:r>
              <w:rPr>
                <w:rFonts w:ascii="Segoe UI" w:eastAsia="Segoe UI"/>
                <w:sz w:val="20"/>
              </w:rPr>
              <w:t>( </w:t>
            </w:r>
            <w:r>
              <w:rPr>
                <w:sz w:val="20"/>
              </w:rPr>
              <w:t>事故時狀</w:t>
            </w:r>
          </w:p>
          <w:p>
            <w:pPr>
              <w:pStyle w:val="TableParagraph"/>
              <w:spacing w:line="334" w:lineRule="exact"/>
              <w:ind w:left="106"/>
              <w:jc w:val="both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571" w:type="dxa"/>
          </w:tcPr>
          <w:p>
            <w:pPr>
              <w:pStyle w:val="TableParagraph"/>
              <w:spacing w:line="345" w:lineRule="exact"/>
              <w:ind w:left="106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3158" w:type="dxa"/>
          </w:tcPr>
          <w:p>
            <w:pPr>
              <w:pStyle w:val="TableParagraph"/>
              <w:spacing w:line="345" w:lineRule="exact"/>
              <w:ind w:left="105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728" w:hRule="atLeast"/>
        </w:trPr>
        <w:tc>
          <w:tcPr>
            <w:tcW w:w="820" w:type="dxa"/>
          </w:tcPr>
          <w:p>
            <w:pPr>
              <w:pStyle w:val="TableParagraph"/>
              <w:spacing w:line="225" w:lineRule="auto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</w:t>
            </w:r>
          </w:p>
          <w:p>
            <w:pPr>
              <w:pStyle w:val="TableParagraph"/>
              <w:spacing w:line="225" w:lineRule="auto"/>
              <w:ind w:right="225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最關鍵屏</w:t>
            </w:r>
          </w:p>
          <w:p>
            <w:pPr>
              <w:pStyle w:val="TableParagraph"/>
              <w:spacing w:line="334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障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1978" w:type="dxa"/>
          </w:tcPr>
          <w:p>
            <w:pPr>
              <w:pStyle w:val="TableParagraph"/>
              <w:spacing w:line="225" w:lineRule="auto"/>
              <w:ind w:right="188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1. </w:t>
            </w:r>
            <w:r>
              <w:rPr>
                <w:b/>
                <w:sz w:val="20"/>
              </w:rPr>
              <w:t>滾軸捲入點固定式護罩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護圍</w:t>
            </w:r>
          </w:p>
        </w:tc>
        <w:tc>
          <w:tcPr>
            <w:tcW w:w="964" w:type="dxa"/>
          </w:tcPr>
          <w:p>
            <w:pPr>
              <w:pStyle w:val="TableParagraph"/>
              <w:spacing w:line="225" w:lineRule="auto"/>
              <w:ind w:right="243"/>
              <w:rPr>
                <w:b/>
                <w:sz w:val="20"/>
              </w:rPr>
            </w:pPr>
            <w:r>
              <w:rPr>
                <w:b/>
                <w:sz w:val="20"/>
              </w:rPr>
              <w:t>完全不存在</w:t>
            </w:r>
          </w:p>
        </w:tc>
        <w:tc>
          <w:tcPr>
            <w:tcW w:w="2571" w:type="dxa"/>
          </w:tcPr>
          <w:p>
            <w:pPr>
              <w:pStyle w:val="TableParagraph"/>
              <w:spacing w:line="225" w:lineRule="auto"/>
              <w:ind w:left="106" w:right="251"/>
              <w:jc w:val="both"/>
              <w:rPr>
                <w:sz w:val="20"/>
              </w:rPr>
            </w:pPr>
            <w:r>
              <w:rPr>
                <w:sz w:val="20"/>
              </w:rPr>
              <w:t>設備在設計、採購或安裝階段，均未考量加裝此最基本的物理性防護。</w:t>
            </w:r>
          </w:p>
        </w:tc>
        <w:tc>
          <w:tcPr>
            <w:tcW w:w="3158" w:type="dxa"/>
          </w:tcPr>
          <w:p>
            <w:pPr>
              <w:pStyle w:val="TableParagraph"/>
              <w:spacing w:line="225" w:lineRule="auto"/>
              <w:ind w:left="106" w:right="138" w:hanging="1"/>
              <w:rPr>
                <w:sz w:val="20"/>
              </w:rPr>
            </w:pPr>
            <w:r>
              <w:rPr>
                <w:b/>
                <w:sz w:val="20"/>
              </w:rPr>
              <w:t>最致命的屏障失效。 </w:t>
            </w:r>
            <w:r>
              <w:rPr>
                <w:sz w:val="20"/>
              </w:rPr>
              <w:t>這直接讓作業員暴露於機器運轉時的捲入點危害中，使事故的發生只是時間問題。</w:t>
            </w:r>
          </w:p>
        </w:tc>
      </w:tr>
      <w:tr>
        <w:trPr>
          <w:trHeight w:val="1384" w:hRule="atLeast"/>
        </w:trPr>
        <w:tc>
          <w:tcPr>
            <w:tcW w:w="820" w:type="dxa"/>
          </w:tcPr>
          <w:p>
            <w:pPr>
              <w:pStyle w:val="TableParagraph"/>
              <w:spacing w:line="225" w:lineRule="auto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</w:t>
            </w:r>
          </w:p>
        </w:tc>
        <w:tc>
          <w:tcPr>
            <w:tcW w:w="1978" w:type="dxa"/>
          </w:tcPr>
          <w:p>
            <w:pPr>
              <w:pStyle w:val="TableParagraph"/>
              <w:spacing w:line="225" w:lineRule="auto"/>
              <w:ind w:right="97" w:hanging="1"/>
              <w:jc w:val="both"/>
              <w:rPr>
                <w:rFonts w:ascii="Segoe UI" w:eastAsia="Segoe UI"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2. </w:t>
            </w:r>
            <w:r>
              <w:rPr>
                <w:b/>
                <w:sz w:val="20"/>
              </w:rPr>
              <w:t>有效的緊急停止裝置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如環繞機身的緊急拉繩開關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964" w:type="dxa"/>
          </w:tcPr>
          <w:p>
            <w:pPr>
              <w:pStyle w:val="TableParagraph"/>
              <w:spacing w:line="225" w:lineRule="auto"/>
              <w:ind w:right="243"/>
              <w:rPr>
                <w:b/>
                <w:sz w:val="20"/>
              </w:rPr>
            </w:pPr>
            <w:r>
              <w:rPr>
                <w:b/>
                <w:spacing w:val="-7"/>
                <w:sz w:val="20"/>
              </w:rPr>
              <w:t>不存在或無效</w:t>
            </w:r>
          </w:p>
          <w:p>
            <w:pPr>
              <w:pStyle w:val="TableParagraph"/>
              <w:spacing w:line="353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571" w:type="dxa"/>
          </w:tcPr>
          <w:p>
            <w:pPr>
              <w:pStyle w:val="TableParagraph"/>
              <w:spacing w:line="225" w:lineRule="auto"/>
              <w:ind w:left="106" w:right="251"/>
              <w:rPr>
                <w:sz w:val="20"/>
              </w:rPr>
            </w:pPr>
            <w:r>
              <w:rPr>
                <w:sz w:val="20"/>
              </w:rPr>
              <w:t>未於作業區人員伸手可及之處設置。</w:t>
            </w:r>
          </w:p>
        </w:tc>
        <w:tc>
          <w:tcPr>
            <w:tcW w:w="3158" w:type="dxa"/>
          </w:tcPr>
          <w:p>
            <w:pPr>
              <w:pStyle w:val="TableParagraph"/>
              <w:spacing w:line="225" w:lineRule="auto"/>
              <w:ind w:left="105" w:right="239"/>
              <w:jc w:val="both"/>
              <w:rPr>
                <w:sz w:val="20"/>
              </w:rPr>
            </w:pPr>
            <w:r>
              <w:rPr>
                <w:sz w:val="20"/>
              </w:rPr>
              <w:t>當人員肢體被捲入時，無法靠自身力量立即切斷動力，導致傷害從手臂持續擴大至全身，是傷害</w:t>
            </w:r>
          </w:p>
          <w:p>
            <w:pPr>
              <w:pStyle w:val="TableParagraph"/>
              <w:spacing w:line="335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加劇的關鍵。</w:t>
            </w:r>
          </w:p>
        </w:tc>
      </w:tr>
    </w:tbl>
    <w:p>
      <w:pPr>
        <w:spacing w:after="0" w:line="335" w:lineRule="exact"/>
        <w:jc w:val="both"/>
        <w:rPr>
          <w:sz w:val="20"/>
        </w:rPr>
        <w:sectPr>
          <w:pgSz w:w="11910" w:h="16840"/>
          <w:pgMar w:header="0" w:footer="724" w:top="1400" w:bottom="920" w:left="1020" w:right="116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978"/>
        <w:gridCol w:w="964"/>
        <w:gridCol w:w="2571"/>
        <w:gridCol w:w="3158"/>
      </w:tblGrid>
      <w:tr>
        <w:trPr>
          <w:trHeight w:val="1383" w:hRule="atLeast"/>
        </w:trPr>
        <w:tc>
          <w:tcPr>
            <w:tcW w:w="820" w:type="dxa"/>
          </w:tcPr>
          <w:p>
            <w:pPr>
              <w:pStyle w:val="TableParagraph"/>
              <w:spacing w:line="225" w:lineRule="auto" w:before="1"/>
              <w:ind w:right="98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程序性</w:t>
            </w:r>
          </w:p>
        </w:tc>
        <w:tc>
          <w:tcPr>
            <w:tcW w:w="1978" w:type="dxa"/>
          </w:tcPr>
          <w:p>
            <w:pPr>
              <w:pStyle w:val="TableParagraph"/>
              <w:spacing w:line="342" w:lineRule="exact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3. </w:t>
            </w:r>
            <w:r>
              <w:rPr>
                <w:b/>
                <w:sz w:val="20"/>
              </w:rPr>
              <w:t>安全作業程序</w:t>
            </w:r>
          </w:p>
          <w:p>
            <w:pPr>
              <w:pStyle w:val="TableParagraph"/>
              <w:spacing w:line="232" w:lineRule="auto"/>
              <w:ind w:right="324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(SOP)</w:t>
            </w:r>
            <w:r>
              <w:rPr>
                <w:b/>
                <w:sz w:val="20"/>
              </w:rPr>
              <w:t>與能源隔離</w:t>
            </w:r>
            <w:r>
              <w:rPr>
                <w:rFonts w:ascii="Segoe UI" w:eastAsia="Segoe UI"/>
                <w:b/>
                <w:sz w:val="20"/>
              </w:rPr>
              <w:t>(LOTO)</w:t>
            </w:r>
          </w:p>
        </w:tc>
        <w:tc>
          <w:tcPr>
            <w:tcW w:w="964" w:type="dxa"/>
          </w:tcPr>
          <w:p>
            <w:pPr>
              <w:pStyle w:val="TableParagraph"/>
              <w:spacing w:line="225" w:lineRule="auto" w:before="1"/>
              <w:ind w:right="243"/>
              <w:rPr>
                <w:b/>
                <w:sz w:val="20"/>
              </w:rPr>
            </w:pPr>
            <w:r>
              <w:rPr>
                <w:b/>
                <w:spacing w:val="-7"/>
                <w:sz w:val="20"/>
              </w:rPr>
              <w:t>不存在或無效</w:t>
            </w:r>
          </w:p>
          <w:p>
            <w:pPr>
              <w:pStyle w:val="TableParagraph"/>
              <w:spacing w:line="353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571" w:type="dxa"/>
          </w:tcPr>
          <w:p>
            <w:pPr>
              <w:pStyle w:val="TableParagraph"/>
              <w:spacing w:line="225" w:lineRule="auto" w:before="1"/>
              <w:ind w:left="106" w:right="251"/>
              <w:rPr>
                <w:sz w:val="20"/>
              </w:rPr>
            </w:pPr>
            <w:r>
              <w:rPr>
                <w:sz w:val="20"/>
              </w:rPr>
              <w:t>未針對穿帶等非例行作 </w:t>
            </w:r>
            <w:r>
              <w:rPr>
                <w:spacing w:val="-2"/>
                <w:sz w:val="20"/>
              </w:rPr>
              <w:t>業，制定「先停機、後作業」的標準化安全程序，</w:t>
            </w:r>
          </w:p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並嚴格執行。</w:t>
            </w:r>
          </w:p>
        </w:tc>
        <w:tc>
          <w:tcPr>
            <w:tcW w:w="3158" w:type="dxa"/>
          </w:tcPr>
          <w:p>
            <w:pPr>
              <w:pStyle w:val="TableParagraph"/>
              <w:spacing w:line="225" w:lineRule="auto" w:before="1"/>
              <w:ind w:left="105" w:right="239"/>
              <w:jc w:val="both"/>
              <w:rPr>
                <w:sz w:val="20"/>
              </w:rPr>
            </w:pPr>
            <w:r>
              <w:rPr>
                <w:sz w:val="20"/>
              </w:rPr>
              <w:t>缺乏明確的作業指南，導致勞工只能依賴個人不安全的經驗與判斷，並採取了最危險的作業方</w:t>
            </w:r>
          </w:p>
          <w:p>
            <w:pPr>
              <w:pStyle w:val="TableParagraph"/>
              <w:spacing w:line="325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式。</w:t>
            </w:r>
          </w:p>
        </w:tc>
      </w:tr>
      <w:tr>
        <w:trPr>
          <w:trHeight w:val="1383" w:hRule="atLeast"/>
        </w:trPr>
        <w:tc>
          <w:tcPr>
            <w:tcW w:w="820" w:type="dxa"/>
          </w:tcPr>
          <w:p>
            <w:pPr>
              <w:pStyle w:val="TableParagraph"/>
              <w:spacing w:line="225" w:lineRule="auto" w:before="1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978" w:type="dxa"/>
          </w:tcPr>
          <w:p>
            <w:pPr>
              <w:pStyle w:val="TableParagraph"/>
              <w:spacing w:line="225" w:lineRule="auto" w:before="1"/>
              <w:ind w:right="188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4. </w:t>
            </w:r>
            <w:r>
              <w:rPr>
                <w:b/>
                <w:sz w:val="20"/>
              </w:rPr>
              <w:t>單人作業安全管制</w:t>
            </w:r>
          </w:p>
        </w:tc>
        <w:tc>
          <w:tcPr>
            <w:tcW w:w="964" w:type="dxa"/>
          </w:tcPr>
          <w:p>
            <w:pPr>
              <w:pStyle w:val="TableParagraph"/>
              <w:spacing w:line="225" w:lineRule="auto" w:before="1"/>
              <w:ind w:right="243"/>
              <w:rPr>
                <w:b/>
                <w:sz w:val="20"/>
              </w:rPr>
            </w:pPr>
            <w:r>
              <w:rPr>
                <w:b/>
                <w:sz w:val="20"/>
              </w:rPr>
              <w:t>完全失效</w:t>
            </w:r>
          </w:p>
        </w:tc>
        <w:tc>
          <w:tcPr>
            <w:tcW w:w="2571" w:type="dxa"/>
          </w:tcPr>
          <w:p>
            <w:pPr>
              <w:pStyle w:val="TableParagraph"/>
              <w:spacing w:line="225" w:lineRule="auto" w:before="1"/>
              <w:ind w:left="106" w:right="251"/>
              <w:jc w:val="both"/>
              <w:rPr>
                <w:sz w:val="20"/>
              </w:rPr>
            </w:pPr>
            <w:r>
              <w:rPr>
                <w:sz w:val="20"/>
              </w:rPr>
              <w:t>允許勞工在高風險機械區單獨作業，且未建立有效的監控、定時回報或巡檢</w:t>
            </w:r>
          </w:p>
          <w:p>
            <w:pPr>
              <w:pStyle w:val="TableParagraph"/>
              <w:spacing w:line="325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機制。</w:t>
            </w:r>
          </w:p>
        </w:tc>
        <w:tc>
          <w:tcPr>
            <w:tcW w:w="3158" w:type="dxa"/>
          </w:tcPr>
          <w:p>
            <w:pPr>
              <w:pStyle w:val="TableParagraph"/>
              <w:spacing w:line="225" w:lineRule="auto" w:before="1"/>
              <w:ind w:left="105" w:right="239"/>
              <w:jc w:val="both"/>
              <w:rPr>
                <w:sz w:val="20"/>
              </w:rPr>
            </w:pPr>
            <w:r>
              <w:rPr>
                <w:sz w:val="20"/>
              </w:rPr>
              <w:t>事故發生後，罹災者無法獲得任何立即協助，求救失敗，導致救援時間嚴重延遲，完全錯失了黃</w:t>
            </w:r>
          </w:p>
          <w:p>
            <w:pPr>
              <w:pStyle w:val="TableParagraph"/>
              <w:spacing w:line="325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金救援時間。</w:t>
            </w:r>
          </w:p>
        </w:tc>
      </w:tr>
      <w:tr>
        <w:trPr>
          <w:trHeight w:val="1384" w:hRule="atLeast"/>
        </w:trPr>
        <w:tc>
          <w:tcPr>
            <w:tcW w:w="820" w:type="dxa"/>
          </w:tcPr>
          <w:p>
            <w:pPr>
              <w:pStyle w:val="TableParagraph"/>
              <w:spacing w:line="225" w:lineRule="auto" w:before="2"/>
              <w:ind w:right="100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978" w:type="dxa"/>
          </w:tcPr>
          <w:p>
            <w:pPr>
              <w:pStyle w:val="TableParagraph"/>
              <w:spacing w:line="225" w:lineRule="auto" w:before="2"/>
              <w:ind w:right="188" w:hanging="1"/>
              <w:rPr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5. </w:t>
            </w:r>
            <w:r>
              <w:rPr>
                <w:b/>
                <w:sz w:val="20"/>
              </w:rPr>
              <w:t>作業前風險評估與危害告知</w:t>
            </w:r>
          </w:p>
        </w:tc>
        <w:tc>
          <w:tcPr>
            <w:tcW w:w="964" w:type="dxa"/>
          </w:tcPr>
          <w:p>
            <w:pPr>
              <w:pStyle w:val="TableParagraph"/>
              <w:spacing w:line="225" w:lineRule="auto" w:before="2"/>
              <w:ind w:right="243"/>
              <w:rPr>
                <w:b/>
                <w:sz w:val="20"/>
              </w:rPr>
            </w:pPr>
            <w:r>
              <w:rPr>
                <w:b/>
                <w:sz w:val="20"/>
              </w:rPr>
              <w:t>嚴重不足 </w:t>
            </w:r>
            <w:r>
              <w:rPr>
                <w:rFonts w:ascii="Segoe UI" w:eastAsia="Segoe UI"/>
                <w:b/>
                <w:sz w:val="20"/>
              </w:rPr>
              <w:t>( </w:t>
            </w:r>
            <w:r>
              <w:rPr>
                <w:b/>
                <w:sz w:val="20"/>
              </w:rPr>
              <w:t>推</w:t>
            </w:r>
          </w:p>
          <w:p>
            <w:pPr>
              <w:pStyle w:val="TableParagraph"/>
              <w:spacing w:line="352" w:lineRule="exact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571" w:type="dxa"/>
          </w:tcPr>
          <w:p>
            <w:pPr>
              <w:pStyle w:val="TableParagraph"/>
              <w:spacing w:line="225" w:lineRule="auto" w:before="2"/>
              <w:ind w:left="106" w:right="251"/>
              <w:jc w:val="both"/>
              <w:rPr>
                <w:sz w:val="20"/>
              </w:rPr>
            </w:pPr>
            <w:r>
              <w:rPr>
                <w:sz w:val="20"/>
              </w:rPr>
              <w:t>管理階層與作業人員未能辨識出「運轉中穿帶」為一項致命性危害。</w:t>
            </w:r>
          </w:p>
        </w:tc>
        <w:tc>
          <w:tcPr>
            <w:tcW w:w="3158" w:type="dxa"/>
          </w:tcPr>
          <w:p>
            <w:pPr>
              <w:pStyle w:val="TableParagraph"/>
              <w:spacing w:line="225" w:lineRule="auto" w:before="2"/>
              <w:ind w:left="105" w:right="178"/>
              <w:jc w:val="both"/>
              <w:rPr>
                <w:sz w:val="20"/>
              </w:rPr>
            </w:pPr>
            <w:r>
              <w:rPr>
                <w:sz w:val="20"/>
              </w:rPr>
              <w:t>因為沒有辨識出風險，所以完全沒有規劃任何對應的控制措施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屏障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，導致作業在完全失控的狀態</w:t>
            </w:r>
          </w:p>
          <w:p>
            <w:pPr>
              <w:pStyle w:val="TableParagraph"/>
              <w:spacing w:line="325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下進行。</w:t>
            </w:r>
          </w:p>
        </w:tc>
      </w:tr>
    </w:tbl>
    <w:p>
      <w:pPr>
        <w:pStyle w:val="BodyText"/>
        <w:spacing w:before="5"/>
        <w:rPr>
          <w:sz w:val="22"/>
        </w:rPr>
      </w:pPr>
      <w:r>
        <w:rPr/>
        <w:pict>
          <v:group style="position:absolute;margin-left:68.699997pt;margin-top:22.459999pt;width:450.9pt;height:1.5pt;mso-position-horizontal-relative:page;mso-position-vertical-relative:paragraph;z-index:-880;mso-wrap-distance-left:0;mso-wrap-distance-right:0" coordorigin="1374,449" coordsize="9018,30">
            <v:line style="position:absolute" from="1374,464" to="10392,464" stroked="true" strokeweight="1.5pt" strokecolor="#9f9f9f">
              <v:stroke dashstyle="solid"/>
            </v:line>
            <v:rect style="position:absolute;left:1374;top:449;width:5;height:5" filled="true" fillcolor="#9f9f9f" stroked="false">
              <v:fill type="solid"/>
            </v:rect>
            <v:rect style="position:absolute;left:1374;top:449;width:5;height:5" filled="true" fillcolor="#9f9f9f" stroked="false">
              <v:fill type="solid"/>
            </v:rect>
            <v:line style="position:absolute" from="1379,452" to="10387,452" stroked="true" strokeweight=".24pt" strokecolor="#9f9f9f">
              <v:stroke dashstyle="solid"/>
            </v:line>
            <v:rect style="position:absolute;left:10387;top:449;width:5;height:5" filled="true" fillcolor="#e2e2e2" stroked="false">
              <v:fill type="solid"/>
            </v:rect>
            <v:rect style="position:absolute;left:10387;top:449;width:5;height:5" filled="true" fillcolor="#9f9f9f" stroked="false">
              <v:fill type="solid"/>
            </v:rect>
            <v:rect style="position:absolute;left:1374;top:454;width:5;height:21" filled="true" fillcolor="#9f9f9f" stroked="false">
              <v:fill type="solid"/>
            </v:rect>
            <v:rect style="position:absolute;left:10387;top:454;width:5;height:21" filled="true" fillcolor="#e2e2e2" stroked="false">
              <v:fill type="solid"/>
            </v:rect>
            <v:rect style="position:absolute;left:1374;top:474;width:5;height:5" filled="true" fillcolor="#9f9f9f" stroked="false">
              <v:fill type="solid"/>
            </v:rect>
            <v:rect style="position:absolute;left:1374;top:474;width:5;height:5" filled="true" fillcolor="#e2e2e2" stroked="false">
              <v:fill type="solid"/>
            </v:rect>
            <v:line style="position:absolute" from="1379,477" to="10387,477" stroked="true" strokeweight=".24pt" strokecolor="#e2e2e2">
              <v:stroke dashstyle="solid"/>
            </v:line>
            <v:rect style="position:absolute;left:10387;top:474;width:5;height:5" filled="true" fillcolor="#e2e2e2" stroked="false">
              <v:fill type="solid"/>
            </v:rect>
            <v:rect style="position:absolute;left:10387;top:47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五</w:t>
      </w:r>
      <w:r>
        <w:rPr>
          <w:rFonts w:ascii="Calibri" w:eastAsia="Calibri"/>
        </w:rPr>
        <w:t>. </w:t>
      </w:r>
      <w:r>
        <w:rPr/>
        <w:t>變更分析  </w:t>
      </w:r>
      <w:r>
        <w:rPr>
          <w:rFonts w:ascii="Calibri" w:eastAsia="Calibri"/>
        </w:rPr>
        <w:t>(Change Analysis)</w:t>
      </w:r>
    </w:p>
    <w:p>
      <w:pPr>
        <w:pStyle w:val="BodyText"/>
        <w:spacing w:line="225" w:lineRule="auto" w:before="6"/>
        <w:ind w:left="354" w:right="730"/>
      </w:pPr>
      <w:r>
        <w:rPr/>
        <w:t>本分析比較「事故狀況」與一個「理想的無事故狀況」，以識別導致事故的關鍵差異。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68.699997pt;margin-top:18.633276pt;width:450.9pt;height:1.55pt;mso-position-horizontal-relative:page;mso-position-vertical-relative:paragraph;z-index:-856;mso-wrap-distance-left:0;mso-wrap-distance-right:0" coordorigin="1374,373" coordsize="9018,31">
            <v:line style="position:absolute" from="1374,388" to="10392,388" stroked="true" strokeweight="1.5pt" strokecolor="#9f9f9f">
              <v:stroke dashstyle="solid"/>
            </v:line>
            <v:rect style="position:absolute;left:1374;top:372;width:5;height:5" filled="true" fillcolor="#9f9f9f" stroked="false">
              <v:fill type="solid"/>
            </v:rect>
            <v:rect style="position:absolute;left:1374;top:372;width:5;height:5" filled="true" fillcolor="#9f9f9f" stroked="false">
              <v:fill type="solid"/>
            </v:rect>
            <v:line style="position:absolute" from="1379,375" to="10387,375" stroked="true" strokeweight=".24pt" strokecolor="#9f9f9f">
              <v:stroke dashstyle="solid"/>
            </v:line>
            <v:rect style="position:absolute;left:10387;top:372;width:5;height:5" filled="true" fillcolor="#e2e2e2" stroked="false">
              <v:fill type="solid"/>
            </v:rect>
            <v:rect style="position:absolute;left:10387;top:372;width:5;height:5" filled="true" fillcolor="#9f9f9f" stroked="false">
              <v:fill type="solid"/>
            </v:rect>
            <v:rect style="position:absolute;left:1374;top:377;width:5;height:21" filled="true" fillcolor="#9f9f9f" stroked="false">
              <v:fill type="solid"/>
            </v:rect>
            <v:rect style="position:absolute;left:10387;top:377;width:5;height:21" filled="true" fillcolor="#e2e2e2" stroked="false">
              <v:fill type="solid"/>
            </v:rect>
            <v:rect style="position:absolute;left:1374;top:398;width:5;height:5" filled="true" fillcolor="#9f9f9f" stroked="false">
              <v:fill type="solid"/>
            </v:rect>
            <v:rect style="position:absolute;left:1374;top:398;width:5;height:5" filled="true" fillcolor="#e2e2e2" stroked="false">
              <v:fill type="solid"/>
            </v:rect>
            <v:line style="position:absolute" from="1379,400" to="10387,400" stroked="true" strokeweight=".24pt" strokecolor="#e2e2e2">
              <v:stroke dashstyle="solid"/>
            </v:line>
            <v:rect style="position:absolute;left:10387;top:398;width:5;height:5" filled="true" fillcolor="#e2e2e2" stroked="false">
              <v:fill type="solid"/>
            </v:rect>
            <v:rect style="position:absolute;left:10387;top:398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  </w:t>
      </w:r>
      <w:r>
        <w:rPr>
          <w:rFonts w:ascii="Calibri" w:eastAsia="Calibri"/>
        </w:rPr>
        <w:t>(Human Failure Analysis)</w:t>
      </w:r>
    </w:p>
    <w:p>
      <w:pPr>
        <w:pStyle w:val="BodyText"/>
        <w:spacing w:line="428" w:lineRule="exact"/>
        <w:ind w:left="353"/>
      </w:pPr>
      <w:r>
        <w:rPr/>
        <w:t>本分析探討影響人員行為的深層次原因，而非僅歸咎於個人。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2718"/>
        <w:gridCol w:w="4714"/>
      </w:tblGrid>
      <w:tr>
        <w:trPr>
          <w:trHeight w:val="346" w:hRule="atLeast"/>
        </w:trPr>
        <w:tc>
          <w:tcPr>
            <w:tcW w:w="2057" w:type="dxa"/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失誤類型</w:t>
            </w:r>
          </w:p>
        </w:tc>
        <w:tc>
          <w:tcPr>
            <w:tcW w:w="2718" w:type="dxa"/>
          </w:tcPr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4714" w:type="dxa"/>
          </w:tcPr>
          <w:p>
            <w:pPr>
              <w:pStyle w:val="TableParagraph"/>
              <w:spacing w:line="326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2421" w:hRule="atLeast"/>
        </w:trPr>
        <w:tc>
          <w:tcPr>
            <w:tcW w:w="2057" w:type="dxa"/>
          </w:tcPr>
          <w:p>
            <w:pPr>
              <w:pStyle w:val="TableParagraph"/>
              <w:spacing w:line="33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常規性違規</w:t>
            </w:r>
          </w:p>
          <w:p>
            <w:pPr>
              <w:pStyle w:val="TableParagraph"/>
              <w:spacing w:line="255" w:lineRule="exact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(Routine Violation)</w:t>
            </w:r>
          </w:p>
          <w:p>
            <w:pPr>
              <w:pStyle w:val="TableParagraph"/>
              <w:spacing w:line="362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718" w:type="dxa"/>
          </w:tcPr>
          <w:p>
            <w:pPr>
              <w:pStyle w:val="TableParagraph"/>
              <w:spacing w:line="225" w:lineRule="auto"/>
              <w:ind w:right="19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罹災者在機器運轉中進行穿帶作業。</w:t>
            </w:r>
          </w:p>
          <w:p>
            <w:pPr>
              <w:pStyle w:val="TableParagraph"/>
              <w:spacing w:line="225" w:lineRule="auto"/>
              <w:ind w:right="197"/>
              <w:jc w:val="both"/>
              <w:rPr>
                <w:sz w:val="20"/>
              </w:rPr>
            </w:pPr>
            <w:r>
              <w:rPr>
                <w:sz w:val="20"/>
              </w:rPr>
              <w:t>此行為極可能並非首次，而是為了求快、求方便，長期下來所形成的「不安全的工作習慣」。</w:t>
            </w:r>
          </w:p>
        </w:tc>
        <w:tc>
          <w:tcPr>
            <w:tcW w:w="4714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77" w:val="left" w:leader="none"/>
              </w:tabs>
              <w:spacing w:line="225" w:lineRule="auto" w:before="0" w:after="0"/>
              <w:ind w:left="107" w:right="192" w:firstLine="0"/>
              <w:jc w:val="both"/>
              <w:rPr>
                <w:sz w:val="20"/>
              </w:rPr>
            </w:pPr>
            <w:r>
              <w:rPr>
                <w:b/>
                <w:spacing w:val="4"/>
                <w:sz w:val="20"/>
              </w:rPr>
              <w:t>安全文化與管理失能： </w:t>
            </w:r>
            <w:r>
              <w:rPr>
                <w:sz w:val="20"/>
              </w:rPr>
              <w:t>公司或管理階層長期默</w:t>
            </w:r>
            <w:r>
              <w:rPr>
                <w:spacing w:val="-1"/>
                <w:sz w:val="20"/>
              </w:rPr>
              <w:t>許或忽視此類不安全的捷徑。當「停機再作業」被視為「沒效率」時，安全要求就形同虛設，這反映</w:t>
            </w:r>
            <w:r>
              <w:rPr>
                <w:sz w:val="20"/>
              </w:rPr>
              <w:t>了生產效率凌駕於安全之上的組織文化。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77" w:val="left" w:leader="none"/>
              </w:tabs>
              <w:spacing w:line="225" w:lineRule="auto" w:before="0" w:after="0"/>
              <w:ind w:left="107" w:right="192" w:firstLine="0"/>
              <w:jc w:val="both"/>
              <w:rPr>
                <w:sz w:val="20"/>
              </w:rPr>
            </w:pPr>
            <w:r>
              <w:rPr>
                <w:b/>
                <w:spacing w:val="3"/>
                <w:sz w:val="20"/>
              </w:rPr>
              <w:t>監督與稽核機制完全失效： </w:t>
            </w:r>
            <w:r>
              <w:rPr>
                <w:sz w:val="20"/>
              </w:rPr>
              <w:t>長期以來無人對此</w:t>
            </w:r>
            <w:r>
              <w:rPr>
                <w:spacing w:val="-1"/>
                <w:sz w:val="20"/>
              </w:rPr>
              <w:t>項作業進行有效的安全監督、稽查或糾正，使得此</w:t>
            </w:r>
          </w:p>
          <w:p>
            <w:pPr>
              <w:pStyle w:val="TableParagraph"/>
              <w:spacing w:line="334" w:lineRule="exact"/>
              <w:jc w:val="both"/>
              <w:rPr>
                <w:sz w:val="20"/>
              </w:rPr>
            </w:pPr>
            <w:r>
              <w:rPr>
                <w:sz w:val="20"/>
              </w:rPr>
              <w:t>違規行為被固化為「正常」的作業方式。</w:t>
            </w:r>
          </w:p>
        </w:tc>
      </w:tr>
      <w:tr>
        <w:trPr>
          <w:trHeight w:val="2766" w:hRule="atLeast"/>
        </w:trPr>
        <w:tc>
          <w:tcPr>
            <w:tcW w:w="2057" w:type="dxa"/>
          </w:tcPr>
          <w:p>
            <w:pPr>
              <w:pStyle w:val="TableParagraph"/>
              <w:spacing w:line="33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知識性錯誤</w:t>
            </w:r>
          </w:p>
          <w:p>
            <w:pPr>
              <w:pStyle w:val="TableParagraph"/>
              <w:ind w:right="160"/>
              <w:rPr>
                <w:rFonts w:ascii="Segoe UI"/>
                <w:b/>
                <w:sz w:val="20"/>
              </w:rPr>
            </w:pPr>
            <w:r>
              <w:rPr>
                <w:rFonts w:ascii="Segoe UI"/>
                <w:b/>
                <w:sz w:val="20"/>
              </w:rPr>
              <w:t>(Knowledge-based Mistake)</w:t>
            </w:r>
          </w:p>
        </w:tc>
        <w:tc>
          <w:tcPr>
            <w:tcW w:w="2718" w:type="dxa"/>
          </w:tcPr>
          <w:p>
            <w:pPr>
              <w:pStyle w:val="TableParagraph"/>
              <w:spacing w:line="225" w:lineRule="auto"/>
              <w:ind w:right="109" w:hanging="1"/>
              <w:rPr>
                <w:b/>
                <w:sz w:val="20"/>
              </w:rPr>
            </w:pPr>
            <w:r>
              <w:rPr>
                <w:b/>
                <w:sz w:val="20"/>
              </w:rPr>
              <w:t>雇主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現場負責人未能提供安全的作業程序與防護設備。</w:t>
            </w:r>
          </w:p>
        </w:tc>
        <w:tc>
          <w:tcPr>
            <w:tcW w:w="4714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77" w:val="left" w:leader="none"/>
              </w:tabs>
              <w:spacing w:line="225" w:lineRule="auto" w:before="0" w:after="0"/>
              <w:ind w:left="107" w:right="192" w:firstLine="0"/>
              <w:jc w:val="both"/>
              <w:rPr>
                <w:sz w:val="20"/>
              </w:rPr>
            </w:pPr>
            <w:r>
              <w:rPr>
                <w:b/>
                <w:spacing w:val="3"/>
                <w:sz w:val="20"/>
              </w:rPr>
              <w:t>風險評估的系統性失敗： </w:t>
            </w:r>
            <w:r>
              <w:rPr>
                <w:sz w:val="20"/>
              </w:rPr>
              <w:t>管理階層從未履行其</w:t>
            </w:r>
            <w:r>
              <w:rPr>
                <w:spacing w:val="-1"/>
                <w:sz w:val="20"/>
              </w:rPr>
              <w:t>危害辨識與風險評估的職責。可能根本不知道或嚴重低估了上漿機在穿帶作業時的致命風險，因此也</w:t>
            </w:r>
            <w:r>
              <w:rPr>
                <w:spacing w:val="5"/>
                <w:sz w:val="20"/>
              </w:rPr>
              <w:t>從未思考過需要建立</w:t>
            </w:r>
            <w:r>
              <w:rPr>
                <w:rFonts w:ascii="Segoe UI" w:eastAsia="Segoe UI"/>
                <w:sz w:val="20"/>
              </w:rPr>
              <w:t>SOP</w:t>
            </w:r>
            <w:r>
              <w:rPr>
                <w:rFonts w:ascii="Segoe UI" w:eastAsia="Segoe UI"/>
                <w:spacing w:val="-6"/>
                <w:sz w:val="20"/>
              </w:rPr>
              <w:t> </w:t>
            </w:r>
            <w:r>
              <w:rPr>
                <w:sz w:val="20"/>
              </w:rPr>
              <w:t>或加裝護具。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77" w:val="left" w:leader="none"/>
              </w:tabs>
              <w:spacing w:line="225" w:lineRule="auto" w:before="0" w:after="0"/>
              <w:ind w:left="107" w:right="192" w:firstLine="0"/>
              <w:jc w:val="both"/>
              <w:rPr>
                <w:sz w:val="20"/>
              </w:rPr>
            </w:pPr>
            <w:r>
              <w:rPr>
                <w:b/>
                <w:spacing w:val="3"/>
                <w:sz w:val="20"/>
              </w:rPr>
              <w:t>安全管理資源投入不足： </w:t>
            </w:r>
            <w:r>
              <w:rPr>
                <w:sz w:val="20"/>
              </w:rPr>
              <w:t>未投入足夠的時間、</w:t>
            </w:r>
            <w:r>
              <w:rPr>
                <w:spacing w:val="-1"/>
                <w:sz w:val="20"/>
              </w:rPr>
              <w:t>人力或專業知識來分析作業危害並建立有效的控制措施，顯示安全管理在組織中處於被忽視的次要地</w:t>
            </w:r>
          </w:p>
          <w:p>
            <w:pPr>
              <w:pStyle w:val="TableParagraph"/>
              <w:spacing w:line="334" w:lineRule="exact"/>
              <w:jc w:val="both"/>
              <w:rPr>
                <w:sz w:val="20"/>
              </w:rPr>
            </w:pPr>
            <w:r>
              <w:rPr>
                <w:sz w:val="20"/>
              </w:rPr>
              <w:t>位。</w:t>
            </w:r>
          </w:p>
        </w:tc>
      </w:tr>
    </w:tbl>
    <w:p>
      <w:pPr>
        <w:pStyle w:val="BodyText"/>
        <w:spacing w:before="15"/>
        <w:rPr>
          <w:sz w:val="21"/>
        </w:rPr>
      </w:pPr>
      <w:r>
        <w:rPr/>
        <w:pict>
          <v:group style="position:absolute;margin-left:68.699997pt;margin-top:22.064585pt;width:450.9pt;height:1.55pt;mso-position-horizontal-relative:page;mso-position-vertical-relative:paragraph;z-index:-832;mso-wrap-distance-left:0;mso-wrap-distance-right:0" coordorigin="1374,441" coordsize="9018,31">
            <v:line style="position:absolute" from="1374,457" to="10392,457" stroked="true" strokeweight="1.5pt" strokecolor="#9f9f9f">
              <v:stroke dashstyle="solid"/>
            </v:line>
            <v:rect style="position:absolute;left:1374;top:441;width:5;height:5" filled="true" fillcolor="#9f9f9f" stroked="false">
              <v:fill type="solid"/>
            </v:rect>
            <v:rect style="position:absolute;left:1374;top:441;width:5;height:5" filled="true" fillcolor="#9f9f9f" stroked="false">
              <v:fill type="solid"/>
            </v:rect>
            <v:line style="position:absolute" from="1379,444" to="10387,444" stroked="true" strokeweight=".239pt" strokecolor="#9f9f9f">
              <v:stroke dashstyle="solid"/>
            </v:line>
            <v:rect style="position:absolute;left:10387;top:441;width:5;height:5" filled="true" fillcolor="#e2e2e2" stroked="false">
              <v:fill type="solid"/>
            </v:rect>
            <v:rect style="position:absolute;left:10387;top:441;width:5;height:5" filled="true" fillcolor="#9f9f9f" stroked="false">
              <v:fill type="solid"/>
            </v:rect>
            <v:rect style="position:absolute;left:1374;top:446;width:5;height:21" filled="true" fillcolor="#9f9f9f" stroked="false">
              <v:fill type="solid"/>
            </v:rect>
            <v:rect style="position:absolute;left:10387;top:446;width:5;height:21" filled="true" fillcolor="#e2e2e2" stroked="false">
              <v:fill type="solid"/>
            </v:rect>
            <v:rect style="position:absolute;left:1374;top:466;width:5;height:5" filled="true" fillcolor="#9f9f9f" stroked="false">
              <v:fill type="solid"/>
            </v:rect>
            <v:rect style="position:absolute;left:1374;top:466;width:5;height:5" filled="true" fillcolor="#e2e2e2" stroked="false">
              <v:fill type="solid"/>
            </v:rect>
            <v:line style="position:absolute" from="1379,469" to="10387,469" stroked="true" strokeweight=".239pt" strokecolor="#e2e2e2">
              <v:stroke dashstyle="solid"/>
            </v:line>
            <v:rect style="position:absolute;left:10387;top:466;width:5;height:5" filled="true" fillcolor="#e2e2e2" stroked="false">
              <v:fill type="solid"/>
            </v:rect>
            <v:rect style="position:absolute;left:10387;top:466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line="240" w:lineRule="auto" w:before="6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根本原因分析與矯正改善措施</w:t>
      </w:r>
    </w:p>
    <w:p>
      <w:pPr>
        <w:spacing w:after="0" w:line="240" w:lineRule="auto"/>
        <w:sectPr>
          <w:pgSz w:w="11910" w:h="16840"/>
          <w:pgMar w:header="0" w:footer="724" w:top="1120" w:bottom="920" w:left="1020" w:right="1160"/>
        </w:sectPr>
      </w:pPr>
    </w:p>
    <w:p>
      <w:pPr>
        <w:pStyle w:val="BodyText"/>
        <w:spacing w:line="225" w:lineRule="auto" w:before="42"/>
        <w:ind w:left="354" w:right="490"/>
      </w:pPr>
      <w:r>
        <w:rPr/>
        <w:t>本章節匯總前述六項分析的結果，旨在明確事故的直接原因與根本原因，並依據控制階層理論，提出能有效防止災害再次發生的系統性改善建議。</w:t>
      </w:r>
    </w:p>
    <w:p>
      <w:pPr>
        <w:pStyle w:val="Heading1"/>
        <w:spacing w:line="409" w:lineRule="exact"/>
      </w:pPr>
      <w:r>
        <w:rPr>
          <w:rFonts w:ascii="Calibri" w:eastAsia="Calibri"/>
        </w:rPr>
        <w:t>(</w:t>
      </w:r>
      <w:r>
        <w:rPr/>
        <w:t>一</w:t>
      </w:r>
      <w:r>
        <w:rPr>
          <w:rFonts w:ascii="Calibri" w:eastAsia="Calibri"/>
        </w:rPr>
        <w:t>) </w:t>
      </w:r>
      <w:r>
        <w:rPr/>
        <w:t>立即原因</w:t>
      </w:r>
    </w:p>
    <w:p>
      <w:pPr>
        <w:pStyle w:val="BodyText"/>
        <w:spacing w:line="415" w:lineRule="exact"/>
        <w:ind w:left="354"/>
      </w:pPr>
      <w:r>
        <w:rPr/>
        <w:t>立即原因是指在事故發生前，直接導致事故發生的不安全行為與不安全狀況。</w:t>
      </w:r>
    </w:p>
    <w:p>
      <w:pPr>
        <w:pStyle w:val="Heading1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15" w:lineRule="exact" w:before="0" w:after="0"/>
        <w:ind w:left="714" w:right="0" w:hanging="360"/>
        <w:jc w:val="left"/>
        <w:rPr>
          <w:rFonts w:ascii="Calibri" w:hAnsi="Calibri" w:eastAsia="Calibri"/>
        </w:rPr>
      </w:pPr>
      <w:r>
        <w:rPr>
          <w:spacing w:val="8"/>
        </w:rPr>
        <w:t>不安全的狀況 </w:t>
      </w:r>
      <w:r>
        <w:rPr>
          <w:rFonts w:ascii="Calibri" w:hAnsi="Calibri" w:eastAsia="Calibri"/>
        </w:rPr>
        <w:t>(Unsafe Conditions):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運轉中的上漿機上下滾軸間，存在間距僅 </w:t>
      </w:r>
      <w:r>
        <w:rPr>
          <w:rFonts w:ascii="Calibri" w:eastAsia="Calibri"/>
          <w:sz w:val="24"/>
        </w:rPr>
        <w:t>4</w:t>
      </w:r>
      <w:r>
        <w:rPr>
          <w:rFonts w:ascii="Calibri" w:eastAsia="Calibri"/>
          <w:spacing w:val="5"/>
          <w:sz w:val="24"/>
        </w:rPr>
        <w:t> </w:t>
      </w:r>
      <w:r>
        <w:rPr>
          <w:sz w:val="24"/>
        </w:rPr>
        <w:t>公分的致命捲入點。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225" w:lineRule="auto" w:before="7" w:after="0"/>
        <w:ind w:left="1554" w:right="657" w:hanging="360"/>
        <w:jc w:val="left"/>
        <w:rPr>
          <w:rFonts w:ascii="Calibri" w:eastAsia="Calibri"/>
          <w:sz w:val="24"/>
        </w:rPr>
      </w:pPr>
      <w:r>
        <w:rPr>
          <w:sz w:val="24"/>
        </w:rPr>
        <w:t>該捲入點未設置固定式護罩、護圍或感應式等任何有效的安全裝置。</w:t>
      </w:r>
      <w:r>
        <w:rPr>
          <w:rFonts w:ascii="Calibri" w:eastAsia="Calibri"/>
          <w:sz w:val="24"/>
        </w:rPr>
        <w:t>(</w:t>
      </w:r>
      <w:r>
        <w:rPr>
          <w:spacing w:val="-16"/>
          <w:sz w:val="24"/>
        </w:rPr>
        <w:t>推</w:t>
      </w:r>
      <w:r>
        <w:rPr>
          <w:sz w:val="24"/>
        </w:rPr>
        <w:t>斷</w:t>
      </w:r>
      <w:r>
        <w:rPr>
          <w:rFonts w:ascii="Calibri" w:eastAsia="Calibri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554" w:val="left" w:leader="none"/>
        </w:tabs>
        <w:spacing w:line="410" w:lineRule="exact" w:before="0" w:after="0"/>
        <w:ind w:left="1554" w:right="0" w:hanging="360"/>
        <w:jc w:val="left"/>
        <w:rPr>
          <w:rFonts w:ascii="Calibri" w:eastAsia="Calibri"/>
          <w:sz w:val="24"/>
        </w:rPr>
      </w:pPr>
      <w:r>
        <w:rPr>
          <w:sz w:val="24"/>
        </w:rPr>
        <w:t>機器缺乏在作業位置伸手可及的緊急停止裝置</w:t>
      </w:r>
      <w:r>
        <w:rPr>
          <w:rFonts w:ascii="Calibri" w:eastAsia="Calibri"/>
          <w:sz w:val="24"/>
        </w:rPr>
        <w:t>(</w:t>
      </w:r>
      <w:r>
        <w:rPr>
          <w:sz w:val="24"/>
        </w:rPr>
        <w:t>如緊急拉繩開關</w:t>
      </w:r>
      <w:r>
        <w:rPr>
          <w:rFonts w:ascii="Calibri" w:eastAsia="Calibri"/>
          <w:sz w:val="24"/>
        </w:rPr>
        <w:t>)</w:t>
      </w:r>
      <w:r>
        <w:rPr>
          <w:sz w:val="24"/>
        </w:rPr>
        <w:t>。</w:t>
      </w:r>
      <w:r>
        <w:rPr>
          <w:rFonts w:ascii="Calibri" w:eastAsia="Calibri"/>
          <w:sz w:val="24"/>
        </w:rPr>
        <w:t>(</w:t>
      </w:r>
      <w:r>
        <w:rPr>
          <w:sz w:val="24"/>
        </w:rPr>
        <w:t>推斷</w:t>
      </w:r>
      <w:r>
        <w:rPr>
          <w:rFonts w:ascii="Calibri" w:eastAsia="Calibri"/>
          <w:sz w:val="24"/>
        </w:rPr>
        <w:t>)</w:t>
      </w:r>
    </w:p>
    <w:p>
      <w:pPr>
        <w:pStyle w:val="Heading1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15" w:lineRule="exact" w:before="0" w:after="0"/>
        <w:ind w:left="714" w:right="0" w:hanging="360"/>
        <w:jc w:val="left"/>
        <w:rPr>
          <w:rFonts w:ascii="Calibri" w:hAnsi="Calibri" w:eastAsia="Calibri"/>
        </w:rPr>
      </w:pPr>
      <w:r>
        <w:rPr>
          <w:spacing w:val="8"/>
        </w:rPr>
        <w:t>不安全的行為 </w:t>
      </w:r>
      <w:r>
        <w:rPr>
          <w:rFonts w:ascii="Calibri" w:hAnsi="Calibri" w:eastAsia="Calibri"/>
        </w:rPr>
        <w:t>(Unsafe Acts):</w:t>
      </w:r>
    </w:p>
    <w:p>
      <w:pPr>
        <w:pStyle w:val="ListParagraph"/>
        <w:numPr>
          <w:ilvl w:val="0"/>
          <w:numId w:val="8"/>
        </w:numPr>
        <w:tabs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在機器未停止運轉的狀態下，進行織帶穿繞滾軸的作業。</w:t>
      </w:r>
    </w:p>
    <w:p>
      <w:pPr>
        <w:pStyle w:val="ListParagraph"/>
        <w:numPr>
          <w:ilvl w:val="0"/>
          <w:numId w:val="8"/>
        </w:numPr>
        <w:tabs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單獨一人於有捲夾危害之虞的機械作業區內作業。</w:t>
      </w:r>
    </w:p>
    <w:p>
      <w:pPr>
        <w:pStyle w:val="Heading1"/>
        <w:spacing w:line="415" w:lineRule="exact"/>
        <w:ind w:left="353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BodyText"/>
        <w:spacing w:line="225" w:lineRule="auto" w:before="5"/>
        <w:ind w:left="353" w:right="490"/>
      </w:pPr>
      <w:r>
        <w:rPr/>
        <w:t>根本原因是導致不安全行為與不安全狀況得以存在的、可被矯正的管理系統層級的缺陷。</w:t>
      </w:r>
    </w:p>
    <w:p>
      <w:pPr>
        <w:pStyle w:val="ListParagraph"/>
        <w:numPr>
          <w:ilvl w:val="0"/>
          <w:numId w:val="9"/>
        </w:numPr>
        <w:tabs>
          <w:tab w:pos="714" w:val="left" w:leader="none"/>
        </w:tabs>
        <w:spacing w:line="225" w:lineRule="auto" w:before="1" w:after="0"/>
        <w:ind w:left="714" w:right="459" w:hanging="360"/>
        <w:jc w:val="both"/>
        <w:rPr>
          <w:sz w:val="24"/>
        </w:rPr>
      </w:pPr>
      <w:r>
        <w:rPr>
          <w:b/>
          <w:sz w:val="24"/>
        </w:rPr>
        <w:t>安全作業標準與程序的完全闕如： </w:t>
      </w:r>
      <w:r>
        <w:rPr>
          <w:sz w:val="24"/>
        </w:rPr>
        <w:t>這是本次事故最核心的根本原因。公司未曾針對上漿機的「穿布</w:t>
      </w:r>
      <w:r>
        <w:rPr>
          <w:rFonts w:ascii="Calibri" w:eastAsia="Calibri"/>
          <w:sz w:val="24"/>
        </w:rPr>
        <w:t>/</w:t>
      </w:r>
      <w:r>
        <w:rPr>
          <w:sz w:val="24"/>
        </w:rPr>
        <w:t>穿帶」等非正常生產操作，建立標準作業程序</w:t>
      </w:r>
      <w:r>
        <w:rPr>
          <w:rFonts w:ascii="Calibri" w:eastAsia="Calibri"/>
          <w:sz w:val="24"/>
        </w:rPr>
        <w:t>(SOP)</w:t>
      </w:r>
      <w:r>
        <w:rPr>
          <w:sz w:val="24"/>
        </w:rPr>
        <w:t>，特別是</w:t>
      </w:r>
      <w:r>
        <w:rPr>
          <w:b/>
          <w:spacing w:val="-14"/>
          <w:sz w:val="24"/>
        </w:rPr>
        <w:t>沒</w:t>
      </w:r>
      <w:r>
        <w:rPr>
          <w:b/>
          <w:sz w:val="24"/>
        </w:rPr>
        <w:t>有強制規定「任何進入滾軸區的作業，必須先停機、斷電、上鎖</w:t>
      </w:r>
      <w:r>
        <w:rPr>
          <w:rFonts w:ascii="Calibri" w:eastAsia="Calibri"/>
          <w:b/>
          <w:sz w:val="24"/>
        </w:rPr>
        <w:t>(LOTO)</w:t>
      </w:r>
      <w:r>
        <w:rPr>
          <w:b/>
          <w:sz w:val="24"/>
        </w:rPr>
        <w:t>」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9"/>
        </w:numPr>
        <w:tabs>
          <w:tab w:pos="714" w:val="left" w:leader="none"/>
        </w:tabs>
        <w:spacing w:line="225" w:lineRule="auto" w:before="1" w:after="0"/>
        <w:ind w:left="714" w:right="370" w:hanging="360"/>
        <w:jc w:val="left"/>
        <w:rPr>
          <w:sz w:val="24"/>
        </w:rPr>
      </w:pPr>
      <w:r>
        <w:rPr>
          <w:b/>
          <w:sz w:val="24"/>
        </w:rPr>
        <w:t>設備本質安全的系統性忽視： </w:t>
      </w:r>
      <w:r>
        <w:rPr>
          <w:sz w:val="24"/>
        </w:rPr>
        <w:t>從設備採購、安裝到使用的整個生命週期中，從未</w:t>
      </w:r>
      <w:r>
        <w:rPr>
          <w:spacing w:val="-1"/>
          <w:sz w:val="24"/>
        </w:rPr>
        <w:t>對其進行安全評估。這直接導致了滾軸無護罩、缺乏緊急停止裝置等原始設計缺陷</w:t>
      </w:r>
      <w:r>
        <w:rPr>
          <w:sz w:val="24"/>
        </w:rPr>
        <w:t>被長期接受並使用，使得危害源頭從未被有效管理。</w:t>
      </w:r>
    </w:p>
    <w:p>
      <w:pPr>
        <w:pStyle w:val="ListParagraph"/>
        <w:numPr>
          <w:ilvl w:val="0"/>
          <w:numId w:val="9"/>
        </w:numPr>
        <w:tabs>
          <w:tab w:pos="714" w:val="left" w:leader="none"/>
        </w:tabs>
        <w:spacing w:line="225" w:lineRule="auto" w:before="1" w:after="0"/>
        <w:ind w:left="714" w:right="370" w:hanging="360"/>
        <w:jc w:val="left"/>
        <w:rPr>
          <w:sz w:val="24"/>
        </w:rPr>
      </w:pPr>
      <w:r>
        <w:rPr>
          <w:b/>
          <w:sz w:val="24"/>
        </w:rPr>
        <w:t>危害辨識與風險評估的失敗：  </w:t>
      </w:r>
      <w:r>
        <w:rPr>
          <w:sz w:val="24"/>
        </w:rPr>
        <w:t>管理階層從未對上漿機操作</w:t>
      </w:r>
      <w:r>
        <w:rPr>
          <w:rFonts w:ascii="Calibri" w:eastAsia="Calibri"/>
          <w:sz w:val="24"/>
        </w:rPr>
        <w:t>(</w:t>
      </w:r>
      <w:r>
        <w:rPr>
          <w:sz w:val="24"/>
        </w:rPr>
        <w:t>包含例行與非例行</w:t>
      </w:r>
      <w:r>
        <w:rPr>
          <w:rFonts w:ascii="Calibri" w:eastAsia="Calibri"/>
          <w:sz w:val="24"/>
        </w:rPr>
        <w:t>)</w:t>
      </w:r>
      <w:r>
        <w:rPr>
          <w:sz w:val="24"/>
        </w:rPr>
        <w:t>進</w:t>
      </w:r>
      <w:r>
        <w:rPr>
          <w:spacing w:val="-1"/>
          <w:sz w:val="24"/>
        </w:rPr>
        <w:t>行過系統性的風險評估，因而未能辨識出「運轉中穿帶」與「單人作業」的致命性</w:t>
      </w:r>
      <w:r>
        <w:rPr>
          <w:sz w:val="24"/>
        </w:rPr>
        <w:t>組合風險，自然也就不可能制定任何預防措施。</w:t>
      </w:r>
    </w:p>
    <w:p>
      <w:pPr>
        <w:pStyle w:val="ListParagraph"/>
        <w:numPr>
          <w:ilvl w:val="0"/>
          <w:numId w:val="9"/>
        </w:numPr>
        <w:tabs>
          <w:tab w:pos="714" w:val="left" w:leader="none"/>
        </w:tabs>
        <w:spacing w:line="225" w:lineRule="auto" w:before="0" w:after="0"/>
        <w:ind w:left="714" w:right="370" w:hanging="360"/>
        <w:jc w:val="left"/>
        <w:rPr>
          <w:sz w:val="24"/>
        </w:rPr>
      </w:pPr>
      <w:r>
        <w:rPr>
          <w:b/>
          <w:sz w:val="24"/>
        </w:rPr>
        <w:t>安全監督與管理文化薄弱： </w:t>
      </w:r>
      <w:r>
        <w:rPr>
          <w:sz w:val="24"/>
        </w:rPr>
        <w:t>長期默許員工為了方便或效率而走捷徑，未建立有效</w:t>
      </w:r>
      <w:r>
        <w:rPr>
          <w:spacing w:val="-1"/>
          <w:sz w:val="24"/>
        </w:rPr>
        <w:t>的現場安全監督或稽核制度來發現並糾正不安全行為，顯示了「生產優先，安全次</w:t>
      </w:r>
      <w:r>
        <w:rPr>
          <w:sz w:val="24"/>
        </w:rPr>
        <w:t>之」的有害組織文化。</w:t>
      </w:r>
    </w:p>
    <w:p>
      <w:pPr>
        <w:pStyle w:val="Heading1"/>
        <w:spacing w:line="410" w:lineRule="exact"/>
        <w:ind w:left="353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 </w:t>
      </w:r>
      <w:r>
        <w:rPr/>
        <w:t>矯正改善措施建議</w:t>
      </w:r>
    </w:p>
    <w:p>
      <w:pPr>
        <w:pStyle w:val="BodyText"/>
        <w:spacing w:line="225" w:lineRule="auto" w:before="6"/>
        <w:ind w:left="353" w:right="464"/>
      </w:pPr>
      <w:r>
        <w:rPr/>
        <w:t>依據風險控制階層 </w:t>
      </w:r>
      <w:r>
        <w:rPr>
          <w:rFonts w:ascii="Calibri" w:eastAsia="Calibri"/>
        </w:rPr>
        <w:t>(</w:t>
      </w:r>
      <w:r>
        <w:rPr/>
        <w:t>消除 </w:t>
      </w:r>
      <w:r>
        <w:rPr>
          <w:rFonts w:ascii="Calibri" w:eastAsia="Calibri"/>
        </w:rPr>
        <w:t>&gt; </w:t>
      </w:r>
      <w:r>
        <w:rPr/>
        <w:t>取代  </w:t>
      </w:r>
      <w:r>
        <w:rPr>
          <w:rFonts w:ascii="Calibri" w:eastAsia="Calibri"/>
        </w:rPr>
        <w:t>&gt;  </w:t>
      </w:r>
      <w:r>
        <w:rPr/>
        <w:t>工程控制  </w:t>
      </w:r>
      <w:r>
        <w:rPr>
          <w:rFonts w:ascii="Calibri" w:eastAsia="Calibri"/>
        </w:rPr>
        <w:t>&gt;  </w:t>
      </w:r>
      <w:r>
        <w:rPr/>
        <w:t>管理控制  </w:t>
      </w:r>
      <w:r>
        <w:rPr>
          <w:rFonts w:ascii="Calibri" w:eastAsia="Calibri"/>
        </w:rPr>
        <w:t>&gt;  </w:t>
      </w:r>
      <w:r>
        <w:rPr/>
        <w:t>個人防護具</w:t>
      </w:r>
      <w:r>
        <w:rPr>
          <w:rFonts w:ascii="Calibri" w:eastAsia="Calibri"/>
        </w:rPr>
        <w:t>)</w:t>
      </w:r>
      <w:r>
        <w:rPr/>
        <w:t>，提出以下矯正措施：</w:t>
      </w:r>
    </w:p>
    <w:p>
      <w:pPr>
        <w:pStyle w:val="Heading1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10" w:lineRule="exact" w:before="0" w:after="0"/>
        <w:ind w:left="714" w:right="0" w:hanging="360"/>
        <w:jc w:val="left"/>
      </w:pPr>
      <w:r>
        <w:rPr/>
        <w:t>制度</w:t>
      </w:r>
      <w:r>
        <w:rPr>
          <w:rFonts w:ascii="Calibri" w:hAnsi="Calibri" w:eastAsia="Calibri"/>
        </w:rPr>
        <w:t>/</w:t>
      </w:r>
      <w:r>
        <w:rPr>
          <w:spacing w:val="11"/>
        </w:rPr>
        <w:t>管理層面 </w:t>
      </w:r>
      <w:r>
        <w:rPr>
          <w:rFonts w:ascii="Calibri" w:hAnsi="Calibri" w:eastAsia="Calibri"/>
        </w:rPr>
        <w:t>(</w:t>
      </w:r>
      <w:r>
        <w:rPr/>
        <w:t>最優先</w:t>
      </w:r>
      <w:r>
        <w:rPr>
          <w:rFonts w:ascii="Calibri" w:hAnsi="Calibri" w:eastAsia="Calibri"/>
        </w:rPr>
        <w:t>)</w:t>
      </w:r>
      <w:r>
        <w:rPr/>
        <w:t>：</w:t>
      </w:r>
    </w:p>
    <w:p>
      <w:pPr>
        <w:pStyle w:val="ListParagraph"/>
        <w:numPr>
          <w:ilvl w:val="0"/>
          <w:numId w:val="10"/>
        </w:numPr>
        <w:tabs>
          <w:tab w:pos="714" w:val="left" w:leader="none"/>
        </w:tabs>
        <w:spacing w:line="225" w:lineRule="auto" w:before="6" w:after="0"/>
        <w:ind w:left="714" w:right="418" w:hanging="360"/>
        <w:jc w:val="both"/>
        <w:rPr>
          <w:sz w:val="24"/>
        </w:rPr>
      </w:pPr>
      <w:r>
        <w:rPr>
          <w:b/>
          <w:sz w:val="24"/>
        </w:rPr>
        <w:t>立即建立並嚴格執行「危險性機械操作安全作業標準</w:t>
      </w:r>
      <w:r>
        <w:rPr>
          <w:rFonts w:ascii="Calibri" w:eastAsia="Calibri"/>
          <w:b/>
          <w:sz w:val="24"/>
        </w:rPr>
        <w:t>(SOP)</w:t>
      </w:r>
      <w:r>
        <w:rPr>
          <w:b/>
          <w:spacing w:val="18"/>
          <w:sz w:val="24"/>
        </w:rPr>
        <w:t>」： </w:t>
      </w:r>
      <w:r>
        <w:rPr>
          <w:spacing w:val="-2"/>
          <w:sz w:val="24"/>
        </w:rPr>
        <w:t>應針對包含上漿機</w:t>
      </w:r>
      <w:r>
        <w:rPr>
          <w:spacing w:val="-1"/>
          <w:sz w:val="24"/>
        </w:rPr>
        <w:t>在內的所有具捲夾、切割、衝壓等危害的機械，制定詳細的 </w:t>
      </w:r>
      <w:r>
        <w:rPr>
          <w:rFonts w:ascii="Calibri" w:eastAsia="Calibri"/>
          <w:sz w:val="24"/>
        </w:rPr>
        <w:t>SOP</w:t>
      </w:r>
      <w:r>
        <w:rPr>
          <w:sz w:val="24"/>
        </w:rPr>
        <w:t>。</w:t>
      </w:r>
      <w:r>
        <w:rPr>
          <w:rFonts w:ascii="Calibri" w:eastAsia="Calibri"/>
          <w:sz w:val="24"/>
        </w:rPr>
        <w:t>SOP</w:t>
      </w:r>
      <w:r>
        <w:rPr>
          <w:rFonts w:ascii="Calibri" w:eastAsia="Calibri"/>
          <w:spacing w:val="4"/>
          <w:sz w:val="24"/>
        </w:rPr>
        <w:t> </w:t>
      </w:r>
      <w:r>
        <w:rPr>
          <w:sz w:val="24"/>
        </w:rPr>
        <w:t>中必須明確規定，凡進行維修、保養、清潔、調整、設定</w:t>
      </w:r>
      <w:r>
        <w:rPr>
          <w:rFonts w:ascii="Calibri" w:eastAsia="Calibri"/>
          <w:sz w:val="24"/>
        </w:rPr>
        <w:t>(</w:t>
      </w:r>
      <w:r>
        <w:rPr>
          <w:sz w:val="24"/>
        </w:rPr>
        <w:t>如本案穿帶</w:t>
      </w:r>
      <w:r>
        <w:rPr>
          <w:rFonts w:ascii="Calibri" w:eastAsia="Calibri"/>
          <w:sz w:val="24"/>
        </w:rPr>
        <w:t>)</w:t>
      </w:r>
      <w:r>
        <w:rPr>
          <w:sz w:val="24"/>
        </w:rPr>
        <w:t>等任何身體部位將進入危險區域的作業，</w:t>
      </w:r>
      <w:r>
        <w:rPr>
          <w:b/>
          <w:sz w:val="24"/>
        </w:rPr>
        <w:t>一律嚴格執行「停機、斷電、上鎖掛牌</w:t>
      </w:r>
      <w:r>
        <w:rPr>
          <w:rFonts w:ascii="Calibri" w:eastAsia="Calibri"/>
          <w:b/>
          <w:sz w:val="24"/>
        </w:rPr>
        <w:t>(LOTO)</w:t>
      </w:r>
      <w:r>
        <w:rPr>
          <w:b/>
          <w:sz w:val="24"/>
        </w:rPr>
        <w:t>」程序</w:t>
      </w:r>
      <w:r>
        <w:rPr>
          <w:sz w:val="24"/>
        </w:rPr>
        <w:t>。</w:t>
      </w:r>
    </w:p>
    <w:p>
      <w:pPr>
        <w:spacing w:after="0" w:line="225" w:lineRule="auto"/>
        <w:jc w:val="both"/>
        <w:rPr>
          <w:sz w:val="24"/>
        </w:rPr>
        <w:sectPr>
          <w:pgSz w:w="11910" w:h="16840"/>
          <w:pgMar w:header="0" w:footer="724" w:top="1080" w:bottom="920" w:left="1020" w:right="1160"/>
        </w:sectPr>
      </w:pPr>
    </w:p>
    <w:p>
      <w:pPr>
        <w:pStyle w:val="ListParagraph"/>
        <w:numPr>
          <w:ilvl w:val="0"/>
          <w:numId w:val="10"/>
        </w:numPr>
        <w:tabs>
          <w:tab w:pos="714" w:val="left" w:leader="none"/>
        </w:tabs>
        <w:spacing w:line="225" w:lineRule="auto" w:before="42" w:after="0"/>
        <w:ind w:left="714" w:right="417" w:hanging="360"/>
        <w:jc w:val="left"/>
        <w:rPr>
          <w:sz w:val="24"/>
        </w:rPr>
      </w:pPr>
      <w:r>
        <w:rPr>
          <w:b/>
          <w:sz w:val="24"/>
        </w:rPr>
        <w:t>導入並落實「單人作業管制程序」： </w:t>
      </w:r>
      <w:r>
        <w:rPr>
          <w:sz w:val="24"/>
        </w:rPr>
        <w:t>全面禁止勞工在高風險作業區</w:t>
      </w:r>
      <w:r>
        <w:rPr>
          <w:rFonts w:ascii="Calibri" w:eastAsia="Calibri"/>
          <w:sz w:val="24"/>
        </w:rPr>
        <w:t>(</w:t>
      </w:r>
      <w:r>
        <w:rPr>
          <w:spacing w:val="-3"/>
          <w:sz w:val="24"/>
        </w:rPr>
        <w:t>如本案之上漿</w:t>
      </w:r>
      <w:r>
        <w:rPr>
          <w:sz w:val="24"/>
        </w:rPr>
        <w:t>機</w:t>
      </w:r>
      <w:r>
        <w:rPr>
          <w:rFonts w:ascii="Calibri" w:eastAsia="Calibri"/>
          <w:sz w:val="24"/>
        </w:rPr>
        <w:t>)</w:t>
      </w:r>
      <w:r>
        <w:rPr>
          <w:sz w:val="24"/>
        </w:rPr>
        <w:t>單獨作業。若因故必須單人作業，則需啟動作業許可，並建立有效的監控機</w:t>
      </w:r>
    </w:p>
    <w:p>
      <w:pPr>
        <w:pStyle w:val="BodyText"/>
        <w:spacing w:line="409" w:lineRule="exact"/>
        <w:ind w:left="714"/>
      </w:pPr>
      <w:r>
        <w:rPr/>
        <w:t>制，如定時回報、影像監控或個人警報器。</w:t>
      </w:r>
    </w:p>
    <w:p>
      <w:pPr>
        <w:pStyle w:val="ListParagraph"/>
        <w:numPr>
          <w:ilvl w:val="0"/>
          <w:numId w:val="10"/>
        </w:numPr>
        <w:tabs>
          <w:tab w:pos="714" w:val="left" w:leader="none"/>
        </w:tabs>
        <w:spacing w:line="225" w:lineRule="auto" w:before="6" w:after="0"/>
        <w:ind w:left="714" w:right="491" w:hanging="360"/>
        <w:jc w:val="both"/>
        <w:rPr>
          <w:sz w:val="24"/>
        </w:rPr>
      </w:pPr>
      <w:r>
        <w:rPr>
          <w:b/>
          <w:sz w:val="24"/>
        </w:rPr>
        <w:t>強制落實「作業前危害辨識與風險評估</w:t>
      </w:r>
      <w:r>
        <w:rPr>
          <w:rFonts w:ascii="Calibri" w:eastAsia="Calibri"/>
          <w:b/>
          <w:sz w:val="24"/>
        </w:rPr>
        <w:t>(HIRA)</w:t>
      </w:r>
      <w:r>
        <w:rPr>
          <w:b/>
          <w:spacing w:val="18"/>
          <w:sz w:val="24"/>
        </w:rPr>
        <w:t>」： </w:t>
      </w:r>
      <w:r>
        <w:rPr>
          <w:sz w:val="24"/>
        </w:rPr>
        <w:t>將風險評估列為所有作業</w:t>
      </w:r>
      <w:r>
        <w:rPr>
          <w:rFonts w:ascii="Calibri" w:eastAsia="Calibri"/>
          <w:sz w:val="24"/>
        </w:rPr>
        <w:t>(</w:t>
      </w:r>
      <w:r>
        <w:rPr>
          <w:spacing w:val="-6"/>
          <w:sz w:val="24"/>
        </w:rPr>
        <w:t>特別</w:t>
      </w:r>
      <w:r>
        <w:rPr>
          <w:sz w:val="24"/>
        </w:rPr>
        <w:t>是非例行性作業</w:t>
      </w:r>
      <w:r>
        <w:rPr>
          <w:rFonts w:ascii="Calibri" w:eastAsia="Calibri"/>
          <w:sz w:val="24"/>
        </w:rPr>
        <w:t>)</w:t>
      </w:r>
      <w:r>
        <w:rPr>
          <w:sz w:val="24"/>
        </w:rPr>
        <w:t>的標準前置步驟。評估應由具備資格的人員執行，並確保評估結果能直接用於決定採用的設備與作業方法。</w:t>
      </w:r>
    </w:p>
    <w:p>
      <w:pPr>
        <w:pStyle w:val="Heading1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10" w:lineRule="exact" w:before="0" w:after="0"/>
        <w:ind w:left="714" w:right="0" w:hanging="360"/>
        <w:jc w:val="left"/>
      </w:pPr>
      <w:r>
        <w:rPr/>
        <w:t>規劃</w:t>
      </w:r>
      <w:r>
        <w:rPr>
          <w:rFonts w:ascii="Calibri" w:hAnsi="Calibri" w:eastAsia="Calibri"/>
        </w:rPr>
        <w:t>/</w:t>
      </w:r>
      <w:r>
        <w:rPr/>
        <w:t>工程控制層面：</w:t>
      </w:r>
    </w:p>
    <w:p>
      <w:pPr>
        <w:pStyle w:val="ListParagraph"/>
        <w:numPr>
          <w:ilvl w:val="0"/>
          <w:numId w:val="11"/>
        </w:numPr>
        <w:tabs>
          <w:tab w:pos="714" w:val="left" w:leader="none"/>
        </w:tabs>
        <w:spacing w:line="225" w:lineRule="auto" w:before="6" w:after="0"/>
        <w:ind w:left="714" w:right="370" w:hanging="360"/>
        <w:jc w:val="left"/>
        <w:rPr>
          <w:sz w:val="24"/>
        </w:rPr>
      </w:pPr>
      <w:r>
        <w:rPr>
          <w:b/>
          <w:sz w:val="24"/>
        </w:rPr>
        <w:t>全面進行廠內機械設備的風險評估與改善： </w:t>
      </w:r>
      <w:r>
        <w:rPr>
          <w:sz w:val="24"/>
        </w:rPr>
        <w:t>立即對上漿機及全廠類似設備進行總體檢。</w:t>
      </w:r>
      <w:r>
        <w:rPr>
          <w:b/>
          <w:sz w:val="24"/>
        </w:rPr>
        <w:t>優先加裝「固定式護罩或安全圍籬」</w:t>
      </w:r>
      <w:r>
        <w:rPr>
          <w:sz w:val="24"/>
        </w:rPr>
        <w:t>，徹底隔離捲入點。同時，</w:t>
      </w:r>
      <w:r>
        <w:rPr>
          <w:b/>
          <w:spacing w:val="-4"/>
          <w:sz w:val="24"/>
        </w:rPr>
        <w:t>在操作人員</w:t>
      </w:r>
      <w:r>
        <w:rPr>
          <w:b/>
          <w:sz w:val="24"/>
        </w:rPr>
        <w:t>隨手可及之處，增設「緊急停止拉繩或按鈕」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11"/>
        </w:numPr>
        <w:tabs>
          <w:tab w:pos="714" w:val="left" w:leader="none"/>
        </w:tabs>
        <w:spacing w:line="225" w:lineRule="auto" w:before="1" w:after="0"/>
        <w:ind w:left="714" w:right="387" w:hanging="360"/>
        <w:jc w:val="left"/>
        <w:rPr>
          <w:sz w:val="24"/>
        </w:rPr>
      </w:pPr>
      <w:r>
        <w:rPr>
          <w:b/>
          <w:sz w:val="24"/>
        </w:rPr>
        <w:t>建立設備採購</w:t>
      </w:r>
      <w:r>
        <w:rPr>
          <w:rFonts w:ascii="Calibri" w:eastAsia="Calibri"/>
          <w:b/>
          <w:sz w:val="24"/>
        </w:rPr>
        <w:t>/</w:t>
      </w:r>
      <w:r>
        <w:rPr>
          <w:b/>
          <w:sz w:val="24"/>
        </w:rPr>
        <w:t>變更的安全審查機制： </w:t>
      </w:r>
      <w:r>
        <w:rPr>
          <w:spacing w:val="-1"/>
          <w:sz w:val="24"/>
        </w:rPr>
        <w:t>未來任何新設備的採購或既有設備的修改， </w:t>
      </w:r>
      <w:r>
        <w:rPr>
          <w:sz w:val="24"/>
        </w:rPr>
        <w:t>都必須將「安全規格審查」列為必要程序，從源頭杜絕引進本質不安全的設備。</w:t>
      </w:r>
    </w:p>
    <w:p>
      <w:pPr>
        <w:pStyle w:val="Heading1"/>
        <w:numPr>
          <w:ilvl w:val="0"/>
          <w:numId w:val="1"/>
        </w:numPr>
        <w:tabs>
          <w:tab w:pos="713" w:val="left" w:leader="none"/>
          <w:tab w:pos="714" w:val="left" w:leader="none"/>
        </w:tabs>
        <w:spacing w:line="409" w:lineRule="exact" w:before="0" w:after="0"/>
        <w:ind w:left="714" w:right="0" w:hanging="360"/>
        <w:jc w:val="left"/>
      </w:pPr>
      <w:r>
        <w:rPr/>
        <w:t>人員層面：</w:t>
      </w:r>
    </w:p>
    <w:p>
      <w:pPr>
        <w:pStyle w:val="ListParagraph"/>
        <w:numPr>
          <w:ilvl w:val="0"/>
          <w:numId w:val="12"/>
        </w:numPr>
        <w:tabs>
          <w:tab w:pos="714" w:val="left" w:leader="none"/>
        </w:tabs>
        <w:spacing w:line="225" w:lineRule="auto" w:before="6" w:after="0"/>
        <w:ind w:left="714" w:right="380" w:hanging="360"/>
        <w:jc w:val="left"/>
        <w:rPr>
          <w:sz w:val="24"/>
        </w:rPr>
      </w:pPr>
      <w:r>
        <w:rPr>
          <w:b/>
          <w:sz w:val="24"/>
        </w:rPr>
        <w:t>實施專項捲夾危害預防再訓練： </w:t>
      </w:r>
      <w:r>
        <w:rPr>
          <w:sz w:val="24"/>
        </w:rPr>
        <w:t>立即將本次事故作為活教材，對全體員工進行專項訓練。訓練重點應包含：</w:t>
      </w:r>
      <w:r>
        <w:rPr>
          <w:rFonts w:ascii="Calibri" w:eastAsia="Calibri"/>
          <w:sz w:val="24"/>
        </w:rPr>
        <w:t>(1)</w:t>
      </w:r>
      <w:r>
        <w:rPr>
          <w:sz w:val="24"/>
        </w:rPr>
        <w:t>辨識捲夾危害點；</w:t>
      </w:r>
      <w:r>
        <w:rPr>
          <w:rFonts w:ascii="Calibri" w:eastAsia="Calibri"/>
          <w:sz w:val="24"/>
        </w:rPr>
        <w:t>(2)</w:t>
      </w:r>
      <w:r>
        <w:rPr>
          <w:spacing w:val="-1"/>
          <w:sz w:val="24"/>
        </w:rPr>
        <w:t>嚴格遵守 </w:t>
      </w:r>
      <w:r>
        <w:rPr>
          <w:rFonts w:ascii="Calibri" w:eastAsia="Calibri"/>
          <w:sz w:val="24"/>
        </w:rPr>
        <w:t>LOTO</w:t>
      </w:r>
      <w:r>
        <w:rPr>
          <w:rFonts w:ascii="Calibri" w:eastAsia="Calibri"/>
          <w:spacing w:val="3"/>
          <w:sz w:val="24"/>
        </w:rPr>
        <w:t> </w:t>
      </w:r>
      <w:r>
        <w:rPr>
          <w:spacing w:val="-2"/>
          <w:sz w:val="24"/>
        </w:rPr>
        <w:t>程序的重要性；</w:t>
      </w:r>
    </w:p>
    <w:p>
      <w:pPr>
        <w:pStyle w:val="BodyText"/>
        <w:spacing w:line="225" w:lineRule="auto"/>
        <w:ind w:left="713" w:right="585"/>
      </w:pPr>
      <w:r>
        <w:rPr>
          <w:rFonts w:ascii="Calibri" w:eastAsia="Calibri"/>
        </w:rPr>
        <w:t>(3)</w:t>
      </w:r>
      <w:r>
        <w:rPr/>
        <w:t>強調在程序或設備不明確時，勞工有權利與責任</w:t>
      </w:r>
      <w:r>
        <w:rPr>
          <w:rFonts w:ascii="Calibri" w:eastAsia="Calibri"/>
        </w:rPr>
        <w:t>**</w:t>
      </w:r>
      <w:r>
        <w:rPr/>
        <w:t>「停止作業」</w:t>
      </w:r>
      <w:r>
        <w:rPr>
          <w:rFonts w:ascii="Calibri" w:eastAsia="Calibri"/>
        </w:rPr>
        <w:t>**</w:t>
      </w:r>
      <w:r>
        <w:rPr/>
        <w:t>並向主管報告。</w:t>
      </w:r>
    </w:p>
    <w:p>
      <w:pPr>
        <w:pStyle w:val="ListParagraph"/>
        <w:numPr>
          <w:ilvl w:val="0"/>
          <w:numId w:val="12"/>
        </w:numPr>
        <w:tabs>
          <w:tab w:pos="714" w:val="left" w:leader="none"/>
        </w:tabs>
        <w:spacing w:line="225" w:lineRule="auto" w:before="1" w:after="0"/>
        <w:ind w:left="714" w:right="490" w:hanging="360"/>
        <w:jc w:val="left"/>
        <w:rPr>
          <w:sz w:val="24"/>
        </w:rPr>
      </w:pPr>
      <w:r>
        <w:rPr>
          <w:b/>
          <w:sz w:val="24"/>
        </w:rPr>
        <w:t>明確現場主管的安全監督職責： </w:t>
      </w:r>
      <w:r>
        <w:rPr>
          <w:spacing w:val="-1"/>
          <w:sz w:val="24"/>
        </w:rPr>
        <w:t>對所有現場管理人員進行再訓練，授予其「立即</w:t>
      </w:r>
      <w:r>
        <w:rPr>
          <w:sz w:val="24"/>
        </w:rPr>
        <w:t>停止不安全作業」的權力與責任，並將安全監督成效列入績效考核。</w:t>
      </w:r>
    </w:p>
    <w:sectPr>
      <w:pgSz w:w="11910" w:h="16840"/>
      <w:pgMar w:header="0" w:footer="724" w:top="1080" w:bottom="920" w:left="10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600006pt;margin-top:794.704956pt;width:9.1pt;height:12.05pt;mso-position-horizontal-relative:page;mso-position-vertical-relative:page;z-index:-14296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714" w:hanging="360"/>
        <w:jc w:val="left"/>
      </w:pPr>
      <w:rPr>
        <w:rFonts w:hint="default" w:ascii="Calibri" w:hAnsi="Calibri" w:eastAsia="Calibri" w:cs="Calibri"/>
        <w:spacing w:val="-1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5" w:hanging="3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14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5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14" w:hanging="360"/>
        <w:jc w:val="left"/>
      </w:pPr>
      <w:rPr>
        <w:rFonts w:hint="default" w:ascii="Calibri" w:hAnsi="Calibri" w:eastAsia="Calibri" w:cs="Calibri"/>
        <w:spacing w:val="-13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5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14" w:hanging="360"/>
        <w:jc w:val="left"/>
      </w:pPr>
      <w:rPr>
        <w:rFonts w:hint="default" w:ascii="Calibri" w:hAnsi="Calibri" w:eastAsia="Calibri" w:cs="Calibri"/>
        <w:spacing w:val="-14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25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55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7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7" w:hanging="269"/>
        <w:jc w:val="left"/>
      </w:pPr>
      <w:rPr>
        <w:rFonts w:hint="default" w:ascii="Segoe UI" w:hAnsi="Segoe UI" w:eastAsia="Segoe UI" w:cs="Segoe UI"/>
        <w:b/>
        <w:bCs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60" w:hanging="2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0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81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41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02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2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2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83" w:hanging="269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7" w:hanging="269"/>
        <w:jc w:val="left"/>
      </w:pPr>
      <w:rPr>
        <w:rFonts w:hint="default" w:ascii="Segoe UI" w:hAnsi="Segoe UI" w:eastAsia="Segoe UI" w:cs="Segoe UI"/>
        <w:b/>
        <w:bCs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560" w:hanging="26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20" w:hanging="26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81" w:hanging="26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41" w:hanging="26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02" w:hanging="26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2" w:hanging="26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22" w:hanging="26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83" w:hanging="269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5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3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2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6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05" w:hanging="25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5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3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2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6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05" w:hanging="25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5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3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6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4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91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29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6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05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4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59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9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9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38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8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58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1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77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14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5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354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14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2025-07-25T00:24:28Z</dcterms:created>
  <dcterms:modified xsi:type="dcterms:W3CDTF">2025-07-25T00:24:28Z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