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8"/>
        <w:ind w:left="3833"/>
      </w:pPr>
      <w:r>
        <w:rPr/>
        <w:t>夾捲案 </w:t>
      </w:r>
      <w:r>
        <w:rPr>
          <w:rFonts w:ascii="Calibri" w:eastAsia="Calibri"/>
        </w:rPr>
        <w:t>2 </w:t>
      </w:r>
      <w:r>
        <w:rPr/>
        <w:t>分析參考</w:t>
      </w:r>
    </w:p>
    <w:p>
      <w:pPr>
        <w:spacing w:before="267"/>
        <w:ind w:left="2213" w:right="0" w:firstLine="0"/>
        <w:jc w:val="left"/>
        <w:rPr>
          <w:b/>
          <w:sz w:val="24"/>
        </w:rPr>
      </w:pPr>
      <w:r>
        <w:rPr>
          <w:b/>
          <w:sz w:val="24"/>
        </w:rPr>
        <w:t>從事金屬材料裁切作業遭切割致死災害調查分析報告</w:t>
      </w:r>
    </w:p>
    <w:p>
      <w:pPr>
        <w:spacing w:line="225" w:lineRule="auto" w:before="286"/>
        <w:ind w:left="475" w:right="228" w:firstLine="0"/>
        <w:jc w:val="left"/>
        <w:rPr>
          <w:sz w:val="24"/>
        </w:rPr>
      </w:pPr>
      <w:r>
        <w:rPr>
          <w:b/>
          <w:spacing w:val="-1"/>
          <w:sz w:val="24"/>
        </w:rPr>
        <w:t>重要提醒：本分析報告是基於所提供案例的有限資訊，並結合事故調查的專業方法論</w:t>
      </w:r>
      <w:r>
        <w:rPr>
          <w:b/>
          <w:sz w:val="24"/>
        </w:rPr>
        <w:t>進行。部分內容為根據邏輯與經驗所做的合理推斷，並會明確標示為</w:t>
      </w:r>
      <w:r>
        <w:rPr>
          <w:rFonts w:ascii="Calibri" w:eastAsia="Calibri"/>
          <w:b/>
          <w:sz w:val="24"/>
        </w:rPr>
        <w:t>(</w:t>
      </w:r>
      <w:r>
        <w:rPr>
          <w:b/>
          <w:sz w:val="24"/>
        </w:rPr>
        <w:t>推斷</w:t>
      </w:r>
      <w:r>
        <w:rPr>
          <w:rFonts w:ascii="Calibri" w:eastAsia="Calibri"/>
          <w:b/>
          <w:sz w:val="24"/>
        </w:rPr>
        <w:t>)</w:t>
      </w:r>
      <w:r>
        <w:rPr>
          <w:sz w:val="24"/>
        </w:rPr>
        <w:t>。一場實際、完整的事故調查，需要更詳盡的現場勘查、人員訪談與物證檢驗來支持所有結 論。</w:t>
      </w:r>
    </w:p>
    <w:p>
      <w:pPr>
        <w:pStyle w:val="BodyText"/>
        <w:spacing w:before="5"/>
        <w:rPr>
          <w:sz w:val="6"/>
        </w:rPr>
      </w:pPr>
      <w:r>
        <w:rPr/>
        <w:pict>
          <v:group style="position:absolute;margin-left:63.779999pt;margin-top:7.7275pt;width:467.85pt;height:1.55pt;mso-position-horizontal-relative:page;mso-position-vertical-relative:paragraph;z-index:-1024;mso-wrap-distance-left:0;mso-wrap-distance-right:0" coordorigin="1276,155" coordsize="9357,31">
            <v:line style="position:absolute" from="1276,170" to="10632,170" stroked="true" strokeweight="1.5pt" strokecolor="#9f9f9f">
              <v:stroke dashstyle="solid"/>
            </v:line>
            <v:rect style="position:absolute;left:1275;top:154;width:5;height:5" filled="true" fillcolor="#9f9f9f" stroked="false">
              <v:fill type="solid"/>
            </v:rect>
            <v:rect style="position:absolute;left:1275;top:154;width:5;height:5" filled="true" fillcolor="#9f9f9f" stroked="false">
              <v:fill type="solid"/>
            </v:rect>
            <v:line style="position:absolute" from="1280,157" to="10627,157" stroked="true" strokeweight=".24pt" strokecolor="#9f9f9f">
              <v:stroke dashstyle="solid"/>
            </v:line>
            <v:rect style="position:absolute;left:10627;top:154;width:5;height:5" filled="true" fillcolor="#e2e2e2" stroked="false">
              <v:fill type="solid"/>
            </v:rect>
            <v:rect style="position:absolute;left:10627;top:154;width:5;height:5" filled="true" fillcolor="#9f9f9f" stroked="false">
              <v:fill type="solid"/>
            </v:rect>
            <v:rect style="position:absolute;left:1275;top:159;width:5;height:21" filled="true" fillcolor="#9f9f9f" stroked="false">
              <v:fill type="solid"/>
            </v:rect>
            <v:rect style="position:absolute;left:10627;top:159;width:5;height:21" filled="true" fillcolor="#e2e2e2" stroked="false">
              <v:fill type="solid"/>
            </v:rect>
            <v:rect style="position:absolute;left:1275;top:180;width:5;height:5" filled="true" fillcolor="#9f9f9f" stroked="false">
              <v:fill type="solid"/>
            </v:rect>
            <v:rect style="position:absolute;left:1275;top:180;width:5;height:5" filled="true" fillcolor="#e2e2e2" stroked="false">
              <v:fill type="solid"/>
            </v:rect>
            <v:line style="position:absolute" from="1280,183" to="10627,183" stroked="true" strokeweight=".24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Heading1"/>
        <w:spacing w:before="7"/>
      </w:pPr>
      <w:r>
        <w:rPr/>
        <w:t>事故基本資料</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行業分類： </w:t>
      </w:r>
      <w:r>
        <w:rPr>
          <w:sz w:val="24"/>
        </w:rPr>
        <w:t>金屬建築組件製造業</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災害類型： </w:t>
      </w:r>
      <w:r>
        <w:rPr>
          <w:sz w:val="24"/>
        </w:rPr>
        <w:t>被刺、割、擦傷</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z w:val="24"/>
        </w:rPr>
        <w:t>媒介物： </w:t>
      </w:r>
      <w:r>
        <w:rPr>
          <w:sz w:val="24"/>
        </w:rPr>
        <w:t>切管機 </w:t>
      </w:r>
      <w:r>
        <w:rPr>
          <w:rFonts w:ascii="Calibri" w:hAnsi="Calibri" w:eastAsia="Calibri"/>
          <w:sz w:val="24"/>
        </w:rPr>
        <w:t>(</w:t>
      </w:r>
      <w:r>
        <w:rPr>
          <w:sz w:val="24"/>
        </w:rPr>
        <w:t>圓盤鋸</w:t>
      </w:r>
      <w:r>
        <w:rPr>
          <w:rFonts w:ascii="Calibri" w:hAnsi="Calibri" w:eastAsia="Calibri"/>
          <w:sz w:val="24"/>
        </w:rPr>
        <w:t>)</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罹災情形： </w:t>
      </w:r>
      <w:r>
        <w:rPr>
          <w:sz w:val="24"/>
        </w:rPr>
        <w:t>死亡 </w:t>
      </w:r>
      <w:r>
        <w:rPr>
          <w:rFonts w:ascii="Calibri" w:hAnsi="Calibri" w:eastAsia="Calibri"/>
          <w:sz w:val="24"/>
        </w:rPr>
        <w:t>1</w:t>
      </w:r>
      <w:r>
        <w:rPr>
          <w:rFonts w:ascii="Calibri" w:hAnsi="Calibri" w:eastAsia="Calibri"/>
          <w:spacing w:val="5"/>
          <w:sz w:val="24"/>
        </w:rPr>
        <w:t> </w:t>
      </w:r>
      <w:r>
        <w:rPr>
          <w:sz w:val="24"/>
        </w:rPr>
        <w:t>人</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pacing w:val="9"/>
          <w:sz w:val="24"/>
        </w:rPr>
        <w:t>事故時間： </w:t>
      </w:r>
      <w:r>
        <w:rPr>
          <w:rFonts w:ascii="Calibri" w:hAnsi="Calibri" w:eastAsia="Calibri"/>
          <w:sz w:val="24"/>
        </w:rPr>
        <w:t>113</w:t>
      </w:r>
      <w:r>
        <w:rPr>
          <w:rFonts w:ascii="Calibri" w:hAnsi="Calibri" w:eastAsia="Calibri"/>
          <w:spacing w:val="5"/>
          <w:sz w:val="24"/>
        </w:rPr>
        <w:t> </w:t>
      </w:r>
      <w:r>
        <w:rPr>
          <w:sz w:val="24"/>
        </w:rPr>
        <w:t>年 </w:t>
      </w:r>
      <w:r>
        <w:rPr>
          <w:rFonts w:ascii="Calibri" w:hAnsi="Calibri" w:eastAsia="Calibri"/>
          <w:sz w:val="24"/>
        </w:rPr>
        <w:t>11</w:t>
      </w:r>
      <w:r>
        <w:rPr>
          <w:rFonts w:ascii="Calibri" w:hAnsi="Calibri" w:eastAsia="Calibri"/>
          <w:spacing w:val="6"/>
          <w:sz w:val="24"/>
        </w:rPr>
        <w:t> </w:t>
      </w:r>
      <w:r>
        <w:rPr>
          <w:sz w:val="24"/>
        </w:rPr>
        <w:t>月</w:t>
      </w:r>
      <w:r>
        <w:rPr>
          <w:rFonts w:ascii="Calibri" w:hAnsi="Calibri" w:eastAsia="Calibri"/>
          <w:sz w:val="24"/>
        </w:rPr>
        <w:t>○○</w:t>
      </w:r>
      <w:r>
        <w:rPr>
          <w:sz w:val="24"/>
        </w:rPr>
        <w:t>日 </w:t>
      </w:r>
      <w:r>
        <w:rPr>
          <w:rFonts w:ascii="Calibri" w:hAnsi="Calibri" w:eastAsia="Calibri"/>
          <w:sz w:val="24"/>
        </w:rPr>
        <w:t>11</w:t>
      </w:r>
      <w:r>
        <w:rPr>
          <w:rFonts w:ascii="Calibri" w:hAnsi="Calibri" w:eastAsia="Calibri"/>
          <w:spacing w:val="6"/>
          <w:sz w:val="24"/>
        </w:rPr>
        <w:t> </w:t>
      </w:r>
      <w:r>
        <w:rPr>
          <w:sz w:val="24"/>
        </w:rPr>
        <w:t>時 </w:t>
      </w:r>
      <w:r>
        <w:rPr>
          <w:rFonts w:ascii="Calibri" w:hAnsi="Calibri" w:eastAsia="Calibri"/>
          <w:sz w:val="24"/>
        </w:rPr>
        <w:t>45</w:t>
      </w:r>
      <w:r>
        <w:rPr>
          <w:rFonts w:ascii="Calibri" w:hAnsi="Calibri" w:eastAsia="Calibri"/>
          <w:spacing w:val="5"/>
          <w:sz w:val="24"/>
        </w:rPr>
        <w:t> </w:t>
      </w:r>
      <w:r>
        <w:rPr>
          <w:sz w:val="24"/>
        </w:rPr>
        <w:t>分許</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事故地點： </w:t>
      </w:r>
      <w:r>
        <w:rPr>
          <w:sz w:val="24"/>
        </w:rPr>
        <w:t>廠內門扇組裝區</w:t>
      </w:r>
    </w:p>
    <w:p>
      <w:pPr>
        <w:pStyle w:val="ListParagraph"/>
        <w:numPr>
          <w:ilvl w:val="0"/>
          <w:numId w:val="1"/>
        </w:numPr>
        <w:tabs>
          <w:tab w:pos="836" w:val="left" w:leader="none"/>
        </w:tabs>
        <w:spacing w:line="225" w:lineRule="auto" w:before="6" w:after="0"/>
        <w:ind w:left="835" w:right="228" w:hanging="360"/>
        <w:jc w:val="both"/>
        <w:rPr>
          <w:sz w:val="24"/>
        </w:rPr>
      </w:pPr>
      <w:r>
        <w:rPr>
          <w:b/>
          <w:sz w:val="24"/>
        </w:rPr>
        <w:t>事故摘要： </w:t>
      </w:r>
      <w:r>
        <w:rPr>
          <w:spacing w:val="-1"/>
          <w:sz w:val="24"/>
        </w:rPr>
        <w:t>移工鄭員於門扇組裝區操作切管機，在按下開關使圓盤鋸運轉後，屈身往前拿取右前方的待切物料。 過程中，其衣物被旋轉中的圓盤鋸捲入，隨後身</w:t>
      </w:r>
      <w:r>
        <w:rPr>
          <w:sz w:val="24"/>
        </w:rPr>
        <w:t>體被衣物牽引撞向鋸台，導致頸部遭鋸片切割，因大量出血當場傷重不治死亡。</w:t>
      </w:r>
    </w:p>
    <w:p>
      <w:pPr>
        <w:pStyle w:val="BodyText"/>
        <w:spacing w:before="5"/>
        <w:rPr>
          <w:sz w:val="6"/>
        </w:rPr>
      </w:pPr>
      <w:r>
        <w:rPr/>
        <w:pict>
          <v:group style="position:absolute;margin-left:63.779999pt;margin-top:7.759496pt;width:467.85pt;height:1.55pt;mso-position-horizontal-relative:page;mso-position-vertical-relative:paragraph;z-index:-1000;mso-wrap-distance-left:0;mso-wrap-distance-right:0" coordorigin="1276,155" coordsize="9357,31">
            <v:line style="position:absolute" from="1276,170" to="10632,170" stroked="true" strokeweight="1.5pt" strokecolor="#9f9f9f">
              <v:stroke dashstyle="solid"/>
            </v:line>
            <v:rect style="position:absolute;left:1275;top:155;width:5;height:5" filled="true" fillcolor="#9f9f9f" stroked="false">
              <v:fill type="solid"/>
            </v:rect>
            <v:rect style="position:absolute;left:1275;top:155;width:5;height:5" filled="true" fillcolor="#9f9f9f" stroked="false">
              <v:fill type="solid"/>
            </v:rect>
            <v:line style="position:absolute" from="1280,158" to="10627,158" stroked="true" strokeweight=".239pt" strokecolor="#9f9f9f">
              <v:stroke dashstyle="solid"/>
            </v:line>
            <v:rect style="position:absolute;left:10627;top:155;width:5;height:5" filled="true" fillcolor="#e2e2e2" stroked="false">
              <v:fill type="solid"/>
            </v:rect>
            <v:rect style="position:absolute;left:10627;top:155;width:5;height:5" filled="true" fillcolor="#9f9f9f" stroked="false">
              <v:fill type="solid"/>
            </v:rect>
            <v:rect style="position:absolute;left:1275;top:160;width:5;height:21" filled="true" fillcolor="#9f9f9f" stroked="false">
              <v:fill type="solid"/>
            </v:rect>
            <v:rect style="position:absolute;left:10627;top:160;width:5;height:21" filled="true" fillcolor="#e2e2e2" stroked="false">
              <v:fill type="solid"/>
            </v:rect>
            <v:rect style="position:absolute;left:1275;top:180;width:5;height:5" filled="true" fillcolor="#9f9f9f" stroked="false">
              <v:fill type="solid"/>
            </v:rect>
            <v:rect style="position:absolute;left:1275;top:180;width:5;height:5" filled="true" fillcolor="#e2e2e2" stroked="false">
              <v:fill type="solid"/>
            </v:rect>
            <v:line style="position:absolute" from="1280,183" to="10627,183" stroked="true" strokeweight=".239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Heading1"/>
        <w:spacing w:before="7"/>
        <w:rPr>
          <w:rFonts w:ascii="Calibri" w:eastAsia="Calibri"/>
        </w:rPr>
      </w:pPr>
      <w:r>
        <w:rPr/>
        <w:t>一、 事件成因分析圖  </w:t>
      </w:r>
      <w:r>
        <w:rPr>
          <w:rFonts w:ascii="Calibri" w:eastAsia="Calibri"/>
        </w:rPr>
        <w:t>(ECFC)</w:t>
      </w:r>
    </w:p>
    <w:p>
      <w:pPr>
        <w:pStyle w:val="BodyText"/>
        <w:spacing w:line="225" w:lineRule="auto" w:before="6"/>
        <w:ind w:left="475" w:right="228"/>
      </w:pPr>
      <w:r>
        <w:rPr/>
        <w:t>此圖將事故發生的事件及相關條件按時間順序，由左至右呈現，以視覺化方式釐清因果關係。</w:t>
      </w:r>
    </w:p>
    <w:p>
      <w:pPr>
        <w:pStyle w:val="BodyText"/>
        <w:spacing w:before="17"/>
        <w:rPr>
          <w:sz w:val="13"/>
        </w:rPr>
      </w:pPr>
      <w:r>
        <w:rPr/>
        <w:drawing>
          <wp:anchor distT="0" distB="0" distL="0" distR="0" allowOverlap="1" layoutInCell="1" locked="0" behindDoc="0" simplePos="0" relativeHeight="2">
            <wp:simplePos x="0" y="0"/>
            <wp:positionH relativeFrom="page">
              <wp:posOffset>810260</wp:posOffset>
            </wp:positionH>
            <wp:positionV relativeFrom="paragraph">
              <wp:posOffset>187484</wp:posOffset>
            </wp:positionV>
            <wp:extent cx="5942520" cy="1554861"/>
            <wp:effectExtent l="0" t="0" r="0" b="0"/>
            <wp:wrapTopAndBottom/>
            <wp:docPr id="1" name="image1.png" descr="一張含有 文字, 字型, 行, Rectangle 的圖片  AI 產生的內容可能不正確。"/>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42520" cy="1554861"/>
                    </a:xfrm>
                    <a:prstGeom prst="rect">
                      <a:avLst/>
                    </a:prstGeom>
                  </pic:spPr>
                </pic:pic>
              </a:graphicData>
            </a:graphic>
          </wp:anchor>
        </w:drawing>
      </w:r>
      <w:r>
        <w:rPr/>
        <w:pict>
          <v:group style="position:absolute;margin-left:63.779999pt;margin-top:160.341461pt;width:467.85pt;height:1.55pt;mso-position-horizontal-relative:page;mso-position-vertical-relative:paragraph;z-index:-952;mso-wrap-distance-left:0;mso-wrap-distance-right:0" coordorigin="1276,3207" coordsize="9357,31">
            <v:line style="position:absolute" from="1276,3222" to="10632,3222" stroked="true" strokeweight="1.5pt" strokecolor="#9f9f9f">
              <v:stroke dashstyle="solid"/>
            </v:line>
            <v:rect style="position:absolute;left:1275;top:3207;width:5;height:5" filled="true" fillcolor="#9f9f9f" stroked="false">
              <v:fill type="solid"/>
            </v:rect>
            <v:rect style="position:absolute;left:1275;top:3207;width:5;height:5" filled="true" fillcolor="#9f9f9f" stroked="false">
              <v:fill type="solid"/>
            </v:rect>
            <v:line style="position:absolute" from="1280,3210" to="10627,3210" stroked="true" strokeweight=".24pt" strokecolor="#9f9f9f">
              <v:stroke dashstyle="solid"/>
            </v:line>
            <v:rect style="position:absolute;left:10627;top:3207;width:5;height:5" filled="true" fillcolor="#e2e2e2" stroked="false">
              <v:fill type="solid"/>
            </v:rect>
            <v:rect style="position:absolute;left:10627;top:3207;width:5;height:5" filled="true" fillcolor="#9f9f9f" stroked="false">
              <v:fill type="solid"/>
            </v:rect>
            <v:rect style="position:absolute;left:1275;top:3212;width:5;height:21" filled="true" fillcolor="#9f9f9f" stroked="false">
              <v:fill type="solid"/>
            </v:rect>
            <v:rect style="position:absolute;left:10627;top:3212;width:5;height:21" filled="true" fillcolor="#e2e2e2" stroked="false">
              <v:fill type="solid"/>
            </v:rect>
            <v:rect style="position:absolute;left:1275;top:3232;width:5;height:5" filled="true" fillcolor="#9f9f9f" stroked="false">
              <v:fill type="solid"/>
            </v:rect>
            <v:rect style="position:absolute;left:1275;top:3232;width:5;height:5" filled="true" fillcolor="#e2e2e2" stroked="false">
              <v:fill type="solid"/>
            </v:rect>
            <v:line style="position:absolute" from="1280,3235" to="10627,3235" stroked="true" strokeweight=".24pt" strokecolor="#e2e2e2">
              <v:stroke dashstyle="solid"/>
            </v:line>
            <v:rect style="position:absolute;left:10627;top:3232;width:5;height:5" filled="true" fillcolor="#e2e2e2" stroked="false">
              <v:fill type="solid"/>
            </v:rect>
            <v:rect style="position:absolute;left:10627;top:3232;width:5;height:5" filled="true" fillcolor="#e2e2e2" stroked="false">
              <v:fill type="solid"/>
            </v:rect>
            <w10:wrap type="topAndBottom"/>
          </v:group>
        </w:pict>
      </w:r>
    </w:p>
    <w:p>
      <w:pPr>
        <w:pStyle w:val="BodyText"/>
        <w:spacing w:before="8"/>
        <w:rPr>
          <w:sz w:val="21"/>
        </w:rPr>
      </w:pPr>
    </w:p>
    <w:p>
      <w:pPr>
        <w:pStyle w:val="Heading1"/>
        <w:spacing w:before="7"/>
      </w:pPr>
      <w:r>
        <w:rPr/>
        <w:t>二、 時間序列表</w:t>
      </w:r>
    </w:p>
    <w:p>
      <w:pPr>
        <w:pStyle w:val="BodyText"/>
        <w:spacing w:line="428" w:lineRule="exact"/>
        <w:ind w:left="475"/>
      </w:pPr>
      <w:r>
        <w:rPr/>
        <w:t>此表以表格形式記錄事故發生的先後順序和相關條件，為後續分析奠定基礎。</w:t>
      </w:r>
    </w:p>
    <w:p>
      <w:pPr>
        <w:spacing w:after="0" w:line="428" w:lineRule="exact"/>
        <w:sectPr>
          <w:type w:val="continuous"/>
          <w:pgSz w:w="11910" w:h="16840"/>
          <w:pgMar w:top="13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2271"/>
        <w:gridCol w:w="609"/>
        <w:gridCol w:w="875"/>
        <w:gridCol w:w="1901"/>
        <w:gridCol w:w="2526"/>
      </w:tblGrid>
      <w:tr>
        <w:trPr>
          <w:trHeight w:val="1383" w:hRule="atLeast"/>
        </w:trPr>
        <w:tc>
          <w:tcPr>
            <w:tcW w:w="1160" w:type="dxa"/>
          </w:tcPr>
          <w:p>
            <w:pPr>
              <w:pStyle w:val="TableParagraph"/>
              <w:spacing w:line="356" w:lineRule="exact"/>
              <w:rPr>
                <w:sz w:val="20"/>
              </w:rPr>
            </w:pPr>
            <w:r>
              <w:rPr>
                <w:sz w:val="20"/>
              </w:rPr>
              <w:t>日期</w:t>
            </w:r>
            <w:r>
              <w:rPr>
                <w:rFonts w:ascii="Segoe UI" w:eastAsia="Segoe UI"/>
                <w:sz w:val="20"/>
              </w:rPr>
              <w:t>/</w:t>
            </w:r>
            <w:r>
              <w:rPr>
                <w:sz w:val="20"/>
              </w:rPr>
              <w:t>時間</w:t>
            </w:r>
          </w:p>
        </w:tc>
        <w:tc>
          <w:tcPr>
            <w:tcW w:w="2271" w:type="dxa"/>
          </w:tcPr>
          <w:p>
            <w:pPr>
              <w:pStyle w:val="TableParagraph"/>
              <w:spacing w:line="356" w:lineRule="exact"/>
              <w:ind w:left="108"/>
              <w:rPr>
                <w:sz w:val="20"/>
              </w:rPr>
            </w:pPr>
            <w:r>
              <w:rPr>
                <w:sz w:val="20"/>
              </w:rPr>
              <w:t>事件描述</w:t>
            </w:r>
          </w:p>
        </w:tc>
        <w:tc>
          <w:tcPr>
            <w:tcW w:w="609" w:type="dxa"/>
          </w:tcPr>
          <w:p>
            <w:pPr>
              <w:pStyle w:val="TableParagraph"/>
              <w:spacing w:line="225" w:lineRule="auto" w:before="4"/>
              <w:ind w:left="110" w:right="208"/>
              <w:jc w:val="both"/>
              <w:rPr>
                <w:sz w:val="20"/>
              </w:rPr>
            </w:pPr>
            <w:r>
              <w:rPr>
                <w:sz w:val="20"/>
              </w:rPr>
              <w:t>事實</w:t>
            </w:r>
            <w:r>
              <w:rPr>
                <w:rFonts w:ascii="Segoe UI" w:eastAsia="Segoe UI"/>
                <w:sz w:val="20"/>
              </w:rPr>
              <w:t>/ </w:t>
            </w:r>
            <w:r>
              <w:rPr>
                <w:sz w:val="20"/>
              </w:rPr>
              <w:t>推</w:t>
            </w:r>
          </w:p>
          <w:p>
            <w:pPr>
              <w:pStyle w:val="TableParagraph"/>
              <w:spacing w:line="322" w:lineRule="exact"/>
              <w:ind w:left="110"/>
              <w:jc w:val="both"/>
              <w:rPr>
                <w:sz w:val="20"/>
              </w:rPr>
            </w:pPr>
            <w:r>
              <w:rPr>
                <w:w w:val="100"/>
                <w:sz w:val="20"/>
              </w:rPr>
              <w:t>斷</w:t>
            </w:r>
          </w:p>
        </w:tc>
        <w:tc>
          <w:tcPr>
            <w:tcW w:w="875" w:type="dxa"/>
          </w:tcPr>
          <w:p>
            <w:pPr>
              <w:pStyle w:val="TableParagraph"/>
              <w:spacing w:line="345" w:lineRule="exact"/>
              <w:ind w:left="109"/>
              <w:rPr>
                <w:rFonts w:ascii="Segoe UI" w:eastAsia="Segoe UI"/>
                <w:sz w:val="20"/>
              </w:rPr>
            </w:pPr>
            <w:r>
              <w:rPr>
                <w:sz w:val="20"/>
              </w:rPr>
              <w:t>主</w:t>
            </w:r>
            <w:r>
              <w:rPr>
                <w:rFonts w:ascii="Segoe UI" w:eastAsia="Segoe UI"/>
                <w:sz w:val="20"/>
              </w:rPr>
              <w:t>(P)/</w:t>
            </w:r>
          </w:p>
          <w:p>
            <w:pPr>
              <w:pStyle w:val="TableParagraph"/>
              <w:spacing w:line="225" w:lineRule="auto" w:before="5"/>
              <w:ind w:left="109" w:right="125"/>
              <w:rPr>
                <w:sz w:val="20"/>
              </w:rPr>
            </w:pPr>
            <w:r>
              <w:rPr>
                <w:sz w:val="20"/>
              </w:rPr>
              <w:t>次</w:t>
            </w:r>
            <w:r>
              <w:rPr>
                <w:rFonts w:ascii="Segoe UI" w:eastAsia="Segoe UI"/>
                <w:sz w:val="20"/>
              </w:rPr>
              <w:t>(S)</w:t>
            </w:r>
            <w:r>
              <w:rPr>
                <w:sz w:val="20"/>
              </w:rPr>
              <w:t>事件軸</w:t>
            </w:r>
          </w:p>
        </w:tc>
        <w:tc>
          <w:tcPr>
            <w:tcW w:w="1901" w:type="dxa"/>
          </w:tcPr>
          <w:p>
            <w:pPr>
              <w:pStyle w:val="TableParagraph"/>
              <w:spacing w:line="225" w:lineRule="auto" w:before="4"/>
              <w:ind w:left="110" w:right="104" w:hanging="1"/>
              <w:rPr>
                <w:rFonts w:ascii="Segoe UI" w:eastAsia="Segoe UI"/>
                <w:sz w:val="20"/>
              </w:rPr>
            </w:pPr>
            <w:r>
              <w:rPr>
                <w:sz w:val="20"/>
              </w:rPr>
              <w:t>相關條件 </w:t>
            </w:r>
            <w:r>
              <w:rPr>
                <w:rFonts w:ascii="Segoe UI" w:eastAsia="Segoe UI"/>
                <w:sz w:val="20"/>
              </w:rPr>
              <w:t>1 (</w:t>
            </w:r>
            <w:r>
              <w:rPr>
                <w:sz w:val="20"/>
              </w:rPr>
              <w:t>直接條件</w:t>
            </w:r>
            <w:r>
              <w:rPr>
                <w:rFonts w:ascii="Segoe UI" w:eastAsia="Segoe UI"/>
                <w:sz w:val="20"/>
              </w:rPr>
              <w:t>)</w:t>
            </w:r>
          </w:p>
        </w:tc>
        <w:tc>
          <w:tcPr>
            <w:tcW w:w="2526" w:type="dxa"/>
          </w:tcPr>
          <w:p>
            <w:pPr>
              <w:pStyle w:val="TableParagraph"/>
              <w:spacing w:line="225" w:lineRule="auto" w:before="4"/>
              <w:ind w:left="111" w:right="80"/>
              <w:rPr>
                <w:rFonts w:ascii="Segoe UI" w:eastAsia="Segoe UI"/>
                <w:sz w:val="20"/>
              </w:rPr>
            </w:pPr>
            <w:r>
              <w:rPr>
                <w:sz w:val="20"/>
              </w:rPr>
              <w:t>相關條件 </w:t>
            </w:r>
            <w:r>
              <w:rPr>
                <w:rFonts w:ascii="Segoe UI" w:eastAsia="Segoe UI"/>
                <w:sz w:val="20"/>
              </w:rPr>
              <w:t>2 (</w:t>
            </w:r>
            <w:r>
              <w:rPr>
                <w:sz w:val="20"/>
              </w:rPr>
              <w:t>條件 </w:t>
            </w:r>
            <w:r>
              <w:rPr>
                <w:rFonts w:ascii="Segoe UI" w:eastAsia="Segoe UI"/>
                <w:sz w:val="20"/>
              </w:rPr>
              <w:t>1 </w:t>
            </w:r>
            <w:r>
              <w:rPr>
                <w:sz w:val="20"/>
              </w:rPr>
              <w:t>的背景或前提</w:t>
            </w:r>
            <w:r>
              <w:rPr>
                <w:rFonts w:ascii="Segoe UI" w:eastAsia="Segoe UI"/>
                <w:sz w:val="20"/>
              </w:rPr>
              <w:t>)</w:t>
            </w:r>
          </w:p>
        </w:tc>
      </w:tr>
      <w:tr>
        <w:trPr>
          <w:trHeight w:val="1384" w:hRule="atLeast"/>
        </w:trPr>
        <w:tc>
          <w:tcPr>
            <w:tcW w:w="1160" w:type="dxa"/>
          </w:tcPr>
          <w:p>
            <w:pPr>
              <w:pStyle w:val="TableParagraph"/>
              <w:spacing w:line="260" w:lineRule="exact"/>
              <w:rPr>
                <w:rFonts w:ascii="Segoe UI"/>
                <w:sz w:val="20"/>
              </w:rPr>
            </w:pPr>
            <w:r>
              <w:rPr>
                <w:rFonts w:ascii="Segoe UI"/>
                <w:sz w:val="20"/>
              </w:rPr>
              <w:t>113/11/XX</w:t>
            </w:r>
          </w:p>
          <w:p>
            <w:pPr>
              <w:pStyle w:val="TableParagraph"/>
              <w:spacing w:line="362" w:lineRule="exact"/>
              <w:rPr>
                <w:sz w:val="20"/>
              </w:rPr>
            </w:pPr>
            <w:r>
              <w:rPr>
                <w:rFonts w:ascii="Segoe UI" w:eastAsia="Segoe UI"/>
                <w:sz w:val="20"/>
              </w:rPr>
              <w:t>11:45 </w:t>
            </w:r>
            <w:r>
              <w:rPr>
                <w:sz w:val="20"/>
              </w:rPr>
              <w:t>許</w:t>
            </w:r>
          </w:p>
        </w:tc>
        <w:tc>
          <w:tcPr>
            <w:tcW w:w="2271" w:type="dxa"/>
          </w:tcPr>
          <w:p>
            <w:pPr>
              <w:pStyle w:val="TableParagraph"/>
              <w:spacing w:line="225" w:lineRule="auto" w:before="5"/>
              <w:ind w:left="108" w:right="149"/>
              <w:jc w:val="both"/>
              <w:rPr>
                <w:sz w:val="20"/>
              </w:rPr>
            </w:pPr>
            <w:r>
              <w:rPr>
                <w:sz w:val="20"/>
              </w:rPr>
              <w:t>罹災者鄭員按下切管機之按鈕開關，使圓盤鋸進入運轉狀態。</w:t>
            </w:r>
          </w:p>
        </w:tc>
        <w:tc>
          <w:tcPr>
            <w:tcW w:w="609" w:type="dxa"/>
          </w:tcPr>
          <w:p>
            <w:pPr>
              <w:pStyle w:val="TableParagraph"/>
              <w:spacing w:line="225" w:lineRule="auto" w:before="5"/>
              <w:ind w:left="109" w:right="286"/>
              <w:rPr>
                <w:sz w:val="20"/>
              </w:rPr>
            </w:pPr>
            <w:r>
              <w:rPr>
                <w:sz w:val="20"/>
              </w:rPr>
              <w:t>事實</w:t>
            </w:r>
          </w:p>
        </w:tc>
        <w:tc>
          <w:tcPr>
            <w:tcW w:w="875" w:type="dxa"/>
          </w:tcPr>
          <w:p>
            <w:pPr>
              <w:pStyle w:val="TableParagraph"/>
              <w:ind w:left="109"/>
              <w:rPr>
                <w:rFonts w:ascii="Segoe UI"/>
                <w:sz w:val="20"/>
              </w:rPr>
            </w:pPr>
            <w:r>
              <w:rPr>
                <w:rFonts w:ascii="Segoe UI"/>
                <w:w w:val="100"/>
                <w:sz w:val="20"/>
              </w:rPr>
              <w:t>P</w:t>
            </w:r>
          </w:p>
        </w:tc>
        <w:tc>
          <w:tcPr>
            <w:tcW w:w="1901" w:type="dxa"/>
          </w:tcPr>
          <w:p>
            <w:pPr>
              <w:pStyle w:val="TableParagraph"/>
              <w:spacing w:line="225" w:lineRule="auto" w:before="5"/>
              <w:ind w:left="110" w:right="116"/>
              <w:jc w:val="both"/>
              <w:rPr>
                <w:sz w:val="20"/>
              </w:rPr>
            </w:pPr>
            <w:r>
              <w:rPr>
                <w:sz w:val="20"/>
              </w:rPr>
              <w:t>機器於待料、取料期間，危險源</w:t>
            </w:r>
            <w:r>
              <w:rPr>
                <w:rFonts w:ascii="Segoe UI" w:eastAsia="Segoe UI"/>
                <w:sz w:val="20"/>
              </w:rPr>
              <w:t>(</w:t>
            </w:r>
            <w:r>
              <w:rPr>
                <w:sz w:val="20"/>
              </w:rPr>
              <w:t>轉動的鋸片</w:t>
            </w:r>
            <w:r>
              <w:rPr>
                <w:rFonts w:ascii="Segoe UI" w:eastAsia="Segoe UI"/>
                <w:sz w:val="20"/>
              </w:rPr>
              <w:t>)</w:t>
            </w:r>
            <w:r>
              <w:rPr>
                <w:sz w:val="20"/>
              </w:rPr>
              <w:t>持續暴露。</w:t>
            </w:r>
          </w:p>
        </w:tc>
        <w:tc>
          <w:tcPr>
            <w:tcW w:w="2526" w:type="dxa"/>
          </w:tcPr>
          <w:p>
            <w:pPr>
              <w:pStyle w:val="TableParagraph"/>
              <w:spacing w:line="225" w:lineRule="auto" w:before="5"/>
              <w:ind w:left="111" w:right="201"/>
              <w:rPr>
                <w:sz w:val="20"/>
              </w:rPr>
            </w:pPr>
            <w:r>
              <w:rPr>
                <w:sz w:val="20"/>
              </w:rPr>
              <w:t>未建立或未落實「人離 </w:t>
            </w:r>
            <w:r>
              <w:rPr>
                <w:spacing w:val="-2"/>
                <w:sz w:val="20"/>
              </w:rPr>
              <w:t>機、機暫停」或「取料前</w:t>
            </w:r>
            <w:r>
              <w:rPr>
                <w:sz w:val="20"/>
              </w:rPr>
              <w:t>應停機」的安全作業程</w:t>
            </w:r>
          </w:p>
          <w:p>
            <w:pPr>
              <w:pStyle w:val="TableParagraph"/>
              <w:spacing w:line="322" w:lineRule="exact"/>
              <w:ind w:left="111"/>
              <w:rPr>
                <w:rFonts w:ascii="Segoe UI" w:eastAsia="Segoe UI"/>
                <w:sz w:val="20"/>
              </w:rPr>
            </w:pPr>
            <w:r>
              <w:rPr>
                <w:sz w:val="20"/>
              </w:rPr>
              <w:t>序。</w:t>
            </w:r>
            <w:r>
              <w:rPr>
                <w:rFonts w:ascii="Segoe UI" w:eastAsia="Segoe UI"/>
                <w:sz w:val="20"/>
              </w:rPr>
              <w:t>(</w:t>
            </w:r>
            <w:r>
              <w:rPr>
                <w:sz w:val="20"/>
              </w:rPr>
              <w:t>推斷</w:t>
            </w:r>
            <w:r>
              <w:rPr>
                <w:rFonts w:ascii="Segoe UI" w:eastAsia="Segoe UI"/>
                <w:sz w:val="20"/>
              </w:rPr>
              <w:t>)</w:t>
            </w:r>
          </w:p>
        </w:tc>
      </w:tr>
      <w:tr>
        <w:trPr>
          <w:trHeight w:val="2074" w:hRule="atLeast"/>
        </w:trPr>
        <w:tc>
          <w:tcPr>
            <w:tcW w:w="1160" w:type="dxa"/>
          </w:tcPr>
          <w:p>
            <w:pPr>
              <w:pStyle w:val="TableParagraph"/>
              <w:spacing w:line="260" w:lineRule="exact"/>
              <w:rPr>
                <w:rFonts w:ascii="Segoe UI"/>
                <w:sz w:val="20"/>
              </w:rPr>
            </w:pPr>
            <w:r>
              <w:rPr>
                <w:rFonts w:ascii="Segoe UI"/>
                <w:sz w:val="20"/>
              </w:rPr>
              <w:t>113/11/XX</w:t>
            </w:r>
          </w:p>
          <w:p>
            <w:pPr>
              <w:pStyle w:val="TableParagraph"/>
              <w:spacing w:line="362" w:lineRule="exact"/>
              <w:rPr>
                <w:sz w:val="20"/>
              </w:rPr>
            </w:pPr>
            <w:r>
              <w:rPr>
                <w:rFonts w:ascii="Segoe UI" w:eastAsia="Segoe UI"/>
                <w:sz w:val="20"/>
              </w:rPr>
              <w:t>11:45 </w:t>
            </w:r>
            <w:r>
              <w:rPr>
                <w:sz w:val="20"/>
              </w:rPr>
              <w:t>許</w:t>
            </w:r>
          </w:p>
        </w:tc>
        <w:tc>
          <w:tcPr>
            <w:tcW w:w="2271" w:type="dxa"/>
          </w:tcPr>
          <w:p>
            <w:pPr>
              <w:pStyle w:val="TableParagraph"/>
              <w:spacing w:line="225" w:lineRule="auto" w:before="4"/>
              <w:ind w:left="108" w:right="149"/>
              <w:rPr>
                <w:sz w:val="20"/>
              </w:rPr>
            </w:pPr>
            <w:r>
              <w:rPr>
                <w:sz w:val="20"/>
              </w:rPr>
              <w:t>鄭員屈身往前拿取右前方尚未裁切之封邊料。</w:t>
            </w:r>
          </w:p>
        </w:tc>
        <w:tc>
          <w:tcPr>
            <w:tcW w:w="609" w:type="dxa"/>
          </w:tcPr>
          <w:p>
            <w:pPr>
              <w:pStyle w:val="TableParagraph"/>
              <w:spacing w:line="225" w:lineRule="auto" w:before="4"/>
              <w:ind w:left="110" w:right="286"/>
              <w:rPr>
                <w:sz w:val="20"/>
              </w:rPr>
            </w:pPr>
            <w:r>
              <w:rPr>
                <w:sz w:val="20"/>
              </w:rPr>
              <w:t>事實</w:t>
            </w:r>
          </w:p>
        </w:tc>
        <w:tc>
          <w:tcPr>
            <w:tcW w:w="875" w:type="dxa"/>
          </w:tcPr>
          <w:p>
            <w:pPr>
              <w:pStyle w:val="TableParagraph"/>
              <w:ind w:left="109"/>
              <w:rPr>
                <w:rFonts w:ascii="Segoe UI"/>
                <w:sz w:val="20"/>
              </w:rPr>
            </w:pPr>
            <w:r>
              <w:rPr>
                <w:rFonts w:ascii="Segoe UI"/>
                <w:w w:val="100"/>
                <w:sz w:val="20"/>
              </w:rPr>
              <w:t>P</w:t>
            </w:r>
          </w:p>
        </w:tc>
        <w:tc>
          <w:tcPr>
            <w:tcW w:w="1901" w:type="dxa"/>
          </w:tcPr>
          <w:p>
            <w:pPr>
              <w:pStyle w:val="TableParagraph"/>
              <w:spacing w:line="225" w:lineRule="auto" w:before="4"/>
              <w:ind w:left="110" w:right="177"/>
              <w:jc w:val="both"/>
              <w:rPr>
                <w:sz w:val="20"/>
              </w:rPr>
            </w:pPr>
            <w:r>
              <w:rPr>
                <w:sz w:val="20"/>
              </w:rPr>
              <w:t>身體活動範圍與運轉中的危險區域重疊。</w:t>
            </w:r>
          </w:p>
        </w:tc>
        <w:tc>
          <w:tcPr>
            <w:tcW w:w="2526" w:type="dxa"/>
          </w:tcPr>
          <w:p>
            <w:pPr>
              <w:pStyle w:val="TableParagraph"/>
              <w:numPr>
                <w:ilvl w:val="0"/>
                <w:numId w:val="2"/>
              </w:numPr>
              <w:tabs>
                <w:tab w:pos="364" w:val="left" w:leader="none"/>
              </w:tabs>
              <w:spacing w:line="225" w:lineRule="auto" w:before="4" w:after="0"/>
              <w:ind w:left="111" w:right="150" w:firstLine="0"/>
              <w:jc w:val="both"/>
              <w:rPr>
                <w:rFonts w:ascii="Segoe UI" w:eastAsia="Segoe UI"/>
                <w:sz w:val="20"/>
              </w:rPr>
            </w:pPr>
            <w:r>
              <w:rPr>
                <w:spacing w:val="-2"/>
                <w:sz w:val="20"/>
              </w:rPr>
              <w:t>作業動線規劃不良，物</w:t>
            </w:r>
            <w:r>
              <w:rPr>
                <w:sz w:val="20"/>
              </w:rPr>
              <w:t>料放置在需跨越危險區才能取得的位置。</w:t>
            </w:r>
            <w:r>
              <w:rPr>
                <w:rFonts w:ascii="Segoe UI" w:eastAsia="Segoe UI"/>
                <w:sz w:val="20"/>
              </w:rPr>
              <w:t>(</w:t>
            </w:r>
            <w:r>
              <w:rPr>
                <w:sz w:val="20"/>
              </w:rPr>
              <w:t>推斷</w:t>
            </w:r>
            <w:r>
              <w:rPr>
                <w:rFonts w:ascii="Segoe UI" w:eastAsia="Segoe UI"/>
                <w:sz w:val="20"/>
              </w:rPr>
              <w:t>)</w:t>
            </w:r>
          </w:p>
          <w:p>
            <w:pPr>
              <w:pStyle w:val="TableParagraph"/>
              <w:numPr>
                <w:ilvl w:val="0"/>
                <w:numId w:val="2"/>
              </w:numPr>
              <w:tabs>
                <w:tab w:pos="364" w:val="left" w:leader="none"/>
              </w:tabs>
              <w:spacing w:line="225" w:lineRule="auto" w:before="1" w:after="0"/>
              <w:ind w:left="111" w:right="140" w:firstLine="0"/>
              <w:jc w:val="both"/>
              <w:rPr>
                <w:sz w:val="20"/>
              </w:rPr>
            </w:pPr>
            <w:r>
              <w:rPr>
                <w:sz w:val="20"/>
              </w:rPr>
              <w:t>安全意識不足，低估了靠近運轉機具的風險。</w:t>
            </w:r>
            <w:r>
              <w:rPr>
                <w:rFonts w:ascii="Segoe UI" w:eastAsia="Segoe UI"/>
                <w:sz w:val="20"/>
              </w:rPr>
              <w:t>(</w:t>
            </w:r>
            <w:r>
              <w:rPr>
                <w:spacing w:val="-15"/>
                <w:sz w:val="20"/>
              </w:rPr>
              <w:t>推</w:t>
            </w:r>
          </w:p>
          <w:p>
            <w:pPr>
              <w:pStyle w:val="TableParagraph"/>
              <w:spacing w:line="321" w:lineRule="exact"/>
              <w:ind w:left="111"/>
              <w:jc w:val="both"/>
              <w:rPr>
                <w:rFonts w:ascii="Segoe UI" w:eastAsia="Segoe UI"/>
                <w:sz w:val="20"/>
              </w:rPr>
            </w:pPr>
            <w:r>
              <w:rPr>
                <w:sz w:val="20"/>
              </w:rPr>
              <w:t>斷</w:t>
            </w:r>
            <w:r>
              <w:rPr>
                <w:rFonts w:ascii="Segoe UI" w:eastAsia="Segoe UI"/>
                <w:sz w:val="20"/>
              </w:rPr>
              <w:t>)</w:t>
            </w:r>
          </w:p>
        </w:tc>
      </w:tr>
      <w:tr>
        <w:trPr>
          <w:trHeight w:val="2075" w:hRule="atLeast"/>
        </w:trPr>
        <w:tc>
          <w:tcPr>
            <w:tcW w:w="1160" w:type="dxa"/>
          </w:tcPr>
          <w:p>
            <w:pPr>
              <w:pStyle w:val="TableParagraph"/>
              <w:spacing w:line="260" w:lineRule="exact"/>
              <w:rPr>
                <w:rFonts w:ascii="Segoe UI"/>
                <w:sz w:val="20"/>
              </w:rPr>
            </w:pPr>
            <w:r>
              <w:rPr>
                <w:rFonts w:ascii="Segoe UI"/>
                <w:sz w:val="20"/>
              </w:rPr>
              <w:t>113/11/XX</w:t>
            </w:r>
          </w:p>
          <w:p>
            <w:pPr>
              <w:pStyle w:val="TableParagraph"/>
              <w:spacing w:line="362" w:lineRule="exact"/>
              <w:rPr>
                <w:sz w:val="20"/>
              </w:rPr>
            </w:pPr>
            <w:r>
              <w:rPr>
                <w:rFonts w:ascii="Segoe UI" w:eastAsia="Segoe UI"/>
                <w:sz w:val="20"/>
              </w:rPr>
              <w:t>11:45 </w:t>
            </w:r>
            <w:r>
              <w:rPr>
                <w:sz w:val="20"/>
              </w:rPr>
              <w:t>許</w:t>
            </w:r>
          </w:p>
        </w:tc>
        <w:tc>
          <w:tcPr>
            <w:tcW w:w="2271" w:type="dxa"/>
          </w:tcPr>
          <w:p>
            <w:pPr>
              <w:pStyle w:val="TableParagraph"/>
              <w:spacing w:line="225" w:lineRule="auto" w:before="5"/>
              <w:ind w:left="108" w:right="149"/>
              <w:rPr>
                <w:sz w:val="20"/>
              </w:rPr>
            </w:pPr>
            <w:r>
              <w:rPr>
                <w:b/>
                <w:sz w:val="20"/>
              </w:rPr>
              <w:t>其衣服被旋轉中圓盤鋸捲入</w:t>
            </w:r>
            <w:r>
              <w:rPr>
                <w:sz w:val="20"/>
              </w:rPr>
              <w:t>。</w:t>
            </w:r>
          </w:p>
        </w:tc>
        <w:tc>
          <w:tcPr>
            <w:tcW w:w="609" w:type="dxa"/>
          </w:tcPr>
          <w:p>
            <w:pPr>
              <w:pStyle w:val="TableParagraph"/>
              <w:spacing w:line="225" w:lineRule="auto" w:before="5"/>
              <w:ind w:left="109" w:right="286"/>
              <w:rPr>
                <w:sz w:val="20"/>
              </w:rPr>
            </w:pPr>
            <w:r>
              <w:rPr>
                <w:sz w:val="20"/>
              </w:rPr>
              <w:t>事實</w:t>
            </w:r>
          </w:p>
        </w:tc>
        <w:tc>
          <w:tcPr>
            <w:tcW w:w="875" w:type="dxa"/>
          </w:tcPr>
          <w:p>
            <w:pPr>
              <w:pStyle w:val="TableParagraph"/>
              <w:ind w:left="109"/>
              <w:rPr>
                <w:rFonts w:ascii="Segoe UI"/>
                <w:sz w:val="20"/>
              </w:rPr>
            </w:pPr>
            <w:r>
              <w:rPr>
                <w:rFonts w:ascii="Segoe UI"/>
                <w:w w:val="100"/>
                <w:sz w:val="20"/>
              </w:rPr>
              <w:t>P</w:t>
            </w:r>
          </w:p>
        </w:tc>
        <w:tc>
          <w:tcPr>
            <w:tcW w:w="1901" w:type="dxa"/>
          </w:tcPr>
          <w:p>
            <w:pPr>
              <w:pStyle w:val="TableParagraph"/>
              <w:numPr>
                <w:ilvl w:val="0"/>
                <w:numId w:val="3"/>
              </w:numPr>
              <w:tabs>
                <w:tab w:pos="363" w:val="left" w:leader="none"/>
              </w:tabs>
              <w:spacing w:line="225" w:lineRule="auto" w:before="5" w:after="0"/>
              <w:ind w:left="110" w:right="126" w:firstLine="0"/>
              <w:jc w:val="left"/>
              <w:rPr>
                <w:sz w:val="20"/>
              </w:rPr>
            </w:pPr>
            <w:r>
              <w:rPr>
                <w:spacing w:val="-2"/>
                <w:sz w:val="20"/>
              </w:rPr>
              <w:t>身體過於靠近鋸</w:t>
            </w:r>
            <w:r>
              <w:rPr>
                <w:sz w:val="20"/>
              </w:rPr>
              <w:t>片。</w:t>
            </w:r>
          </w:p>
          <w:p>
            <w:pPr>
              <w:pStyle w:val="TableParagraph"/>
              <w:numPr>
                <w:ilvl w:val="0"/>
                <w:numId w:val="3"/>
              </w:numPr>
              <w:tabs>
                <w:tab w:pos="363" w:val="left" w:leader="none"/>
              </w:tabs>
              <w:spacing w:line="225" w:lineRule="auto" w:before="0" w:after="0"/>
              <w:ind w:left="110" w:right="126" w:firstLine="0"/>
              <w:jc w:val="left"/>
              <w:rPr>
                <w:rFonts w:ascii="Segoe UI" w:eastAsia="Segoe UI"/>
                <w:sz w:val="20"/>
              </w:rPr>
            </w:pPr>
            <w:r>
              <w:rPr>
                <w:spacing w:val="-2"/>
                <w:sz w:val="20"/>
              </w:rPr>
              <w:t>穿著的衣物可能</w:t>
            </w:r>
            <w:r>
              <w:rPr>
                <w:sz w:val="20"/>
              </w:rPr>
              <w:t>不夠合身。</w:t>
            </w:r>
            <w:r>
              <w:rPr>
                <w:rFonts w:ascii="Segoe UI" w:eastAsia="Segoe UI"/>
                <w:sz w:val="20"/>
              </w:rPr>
              <w:t>(</w:t>
            </w:r>
            <w:r>
              <w:rPr>
                <w:sz w:val="20"/>
              </w:rPr>
              <w:t>推斷</w:t>
            </w:r>
            <w:r>
              <w:rPr>
                <w:rFonts w:ascii="Segoe UI" w:eastAsia="Segoe UI"/>
                <w:sz w:val="20"/>
              </w:rPr>
              <w:t>)</w:t>
            </w:r>
          </w:p>
        </w:tc>
        <w:tc>
          <w:tcPr>
            <w:tcW w:w="2526" w:type="dxa"/>
          </w:tcPr>
          <w:p>
            <w:pPr>
              <w:pStyle w:val="TableParagraph"/>
              <w:numPr>
                <w:ilvl w:val="0"/>
                <w:numId w:val="4"/>
              </w:numPr>
              <w:tabs>
                <w:tab w:pos="364" w:val="left" w:leader="none"/>
              </w:tabs>
              <w:spacing w:line="225" w:lineRule="auto" w:before="5" w:after="0"/>
              <w:ind w:left="111" w:right="150" w:firstLine="0"/>
              <w:jc w:val="left"/>
              <w:rPr>
                <w:rFonts w:ascii="Segoe UI" w:eastAsia="Segoe UI"/>
                <w:sz w:val="20"/>
              </w:rPr>
            </w:pPr>
            <w:r>
              <w:rPr>
                <w:spacing w:val="-2"/>
                <w:sz w:val="20"/>
              </w:rPr>
              <w:t>圓盤鋸的固定式護罩開</w:t>
            </w:r>
            <w:r>
              <w:rPr>
                <w:sz w:val="20"/>
              </w:rPr>
              <w:t>口過大或防護範圍不足， 未能有效隔離鋸片。</w:t>
            </w:r>
            <w:r>
              <w:rPr>
                <w:rFonts w:ascii="Segoe UI" w:eastAsia="Segoe UI"/>
                <w:sz w:val="20"/>
              </w:rPr>
              <w:t>(</w:t>
            </w:r>
            <w:r>
              <w:rPr>
                <w:sz w:val="20"/>
              </w:rPr>
              <w:t>推斷</w:t>
            </w:r>
            <w:r>
              <w:rPr>
                <w:rFonts w:ascii="Segoe UI" w:eastAsia="Segoe UI"/>
                <w:sz w:val="20"/>
              </w:rPr>
              <w:t>)</w:t>
            </w:r>
          </w:p>
          <w:p>
            <w:pPr>
              <w:pStyle w:val="TableParagraph"/>
              <w:numPr>
                <w:ilvl w:val="0"/>
                <w:numId w:val="4"/>
              </w:numPr>
              <w:tabs>
                <w:tab w:pos="364" w:val="left" w:leader="none"/>
              </w:tabs>
              <w:spacing w:line="342" w:lineRule="exact" w:before="0" w:after="0"/>
              <w:ind w:left="363" w:right="0" w:hanging="252"/>
              <w:jc w:val="left"/>
              <w:rPr>
                <w:sz w:val="20"/>
              </w:rPr>
            </w:pPr>
            <w:r>
              <w:rPr>
                <w:sz w:val="20"/>
              </w:rPr>
              <w:t>缺乏穿著合身工作服的</w:t>
            </w:r>
          </w:p>
          <w:p>
            <w:pPr>
              <w:pStyle w:val="TableParagraph"/>
              <w:spacing w:line="326" w:lineRule="exact"/>
              <w:ind w:left="111"/>
              <w:rPr>
                <w:sz w:val="20"/>
              </w:rPr>
            </w:pPr>
            <w:r>
              <w:rPr>
                <w:sz w:val="20"/>
              </w:rPr>
              <w:t>規定與監督。</w:t>
            </w:r>
          </w:p>
        </w:tc>
      </w:tr>
      <w:tr>
        <w:trPr>
          <w:trHeight w:val="1037" w:hRule="atLeast"/>
        </w:trPr>
        <w:tc>
          <w:tcPr>
            <w:tcW w:w="1160" w:type="dxa"/>
          </w:tcPr>
          <w:p>
            <w:pPr>
              <w:pStyle w:val="TableParagraph"/>
              <w:spacing w:line="260" w:lineRule="exact"/>
              <w:rPr>
                <w:rFonts w:ascii="Segoe UI"/>
                <w:sz w:val="20"/>
              </w:rPr>
            </w:pPr>
            <w:r>
              <w:rPr>
                <w:rFonts w:ascii="Segoe UI"/>
                <w:sz w:val="20"/>
              </w:rPr>
              <w:t>113/11/XX</w:t>
            </w:r>
          </w:p>
          <w:p>
            <w:pPr>
              <w:pStyle w:val="TableParagraph"/>
              <w:spacing w:line="352" w:lineRule="exact"/>
              <w:rPr>
                <w:sz w:val="20"/>
              </w:rPr>
            </w:pPr>
            <w:r>
              <w:rPr>
                <w:rFonts w:ascii="Segoe UI" w:eastAsia="Segoe UI"/>
                <w:sz w:val="20"/>
              </w:rPr>
              <w:t>11:45 </w:t>
            </w:r>
            <w:r>
              <w:rPr>
                <w:sz w:val="20"/>
              </w:rPr>
              <w:t>許</w:t>
            </w:r>
          </w:p>
          <w:p>
            <w:pPr>
              <w:pStyle w:val="TableParagraph"/>
              <w:spacing w:line="357" w:lineRule="exact"/>
              <w:rPr>
                <w:sz w:val="20"/>
              </w:rPr>
            </w:pPr>
            <w:r>
              <w:rPr>
                <w:w w:val="100"/>
                <w:sz w:val="20"/>
              </w:rPr>
              <w:t>後</w:t>
            </w:r>
          </w:p>
        </w:tc>
        <w:tc>
          <w:tcPr>
            <w:tcW w:w="2271" w:type="dxa"/>
          </w:tcPr>
          <w:p>
            <w:pPr>
              <w:pStyle w:val="TableParagraph"/>
              <w:spacing w:line="225" w:lineRule="auto" w:before="5"/>
              <w:ind w:left="108" w:right="149"/>
              <w:rPr>
                <w:sz w:val="20"/>
              </w:rPr>
            </w:pPr>
            <w:r>
              <w:rPr>
                <w:spacing w:val="-2"/>
                <w:sz w:val="20"/>
              </w:rPr>
              <w:t>衣服隨即牽引鄭員身體</w:t>
            </w:r>
            <w:r>
              <w:rPr>
                <w:spacing w:val="-3"/>
                <w:sz w:val="20"/>
              </w:rPr>
              <w:t>靠向圓盤鋸，導致其頸</w:t>
            </w:r>
          </w:p>
          <w:p>
            <w:pPr>
              <w:pStyle w:val="TableParagraph"/>
              <w:spacing w:line="321" w:lineRule="exact"/>
              <w:ind w:left="108"/>
              <w:rPr>
                <w:sz w:val="20"/>
              </w:rPr>
            </w:pPr>
            <w:r>
              <w:rPr>
                <w:spacing w:val="-1"/>
                <w:sz w:val="20"/>
              </w:rPr>
              <w:t>部左側遭圓盤鋸切割。</w:t>
            </w:r>
          </w:p>
        </w:tc>
        <w:tc>
          <w:tcPr>
            <w:tcW w:w="609" w:type="dxa"/>
          </w:tcPr>
          <w:p>
            <w:pPr>
              <w:pStyle w:val="TableParagraph"/>
              <w:spacing w:line="225" w:lineRule="auto" w:before="5"/>
              <w:ind w:left="110" w:right="286"/>
              <w:rPr>
                <w:sz w:val="20"/>
              </w:rPr>
            </w:pPr>
            <w:r>
              <w:rPr>
                <w:sz w:val="20"/>
              </w:rPr>
              <w:t>事實</w:t>
            </w:r>
          </w:p>
        </w:tc>
        <w:tc>
          <w:tcPr>
            <w:tcW w:w="875" w:type="dxa"/>
          </w:tcPr>
          <w:p>
            <w:pPr>
              <w:pStyle w:val="TableParagraph"/>
              <w:ind w:left="109"/>
              <w:rPr>
                <w:rFonts w:ascii="Segoe UI"/>
                <w:sz w:val="20"/>
              </w:rPr>
            </w:pPr>
            <w:r>
              <w:rPr>
                <w:rFonts w:ascii="Segoe UI"/>
                <w:w w:val="100"/>
                <w:sz w:val="20"/>
              </w:rPr>
              <w:t>P</w:t>
            </w:r>
          </w:p>
        </w:tc>
        <w:tc>
          <w:tcPr>
            <w:tcW w:w="1901" w:type="dxa"/>
          </w:tcPr>
          <w:p>
            <w:pPr>
              <w:pStyle w:val="TableParagraph"/>
              <w:spacing w:line="225" w:lineRule="auto" w:before="5"/>
              <w:ind w:left="110" w:right="177"/>
              <w:rPr>
                <w:sz w:val="20"/>
              </w:rPr>
            </w:pPr>
            <w:r>
              <w:rPr>
                <w:sz w:val="20"/>
              </w:rPr>
              <w:t>捲入的力量巨大且快速，人員無法反</w:t>
            </w:r>
          </w:p>
          <w:p>
            <w:pPr>
              <w:pStyle w:val="TableParagraph"/>
              <w:spacing w:line="321" w:lineRule="exact"/>
              <w:ind w:left="110"/>
              <w:rPr>
                <w:sz w:val="20"/>
              </w:rPr>
            </w:pPr>
            <w:r>
              <w:rPr>
                <w:sz w:val="20"/>
              </w:rPr>
              <w:t>應。</w:t>
            </w:r>
          </w:p>
        </w:tc>
        <w:tc>
          <w:tcPr>
            <w:tcW w:w="2526" w:type="dxa"/>
          </w:tcPr>
          <w:p>
            <w:pPr>
              <w:pStyle w:val="TableParagraph"/>
              <w:spacing w:line="225" w:lineRule="auto" w:before="5"/>
              <w:ind w:left="111" w:right="201"/>
              <w:rPr>
                <w:sz w:val="20"/>
              </w:rPr>
            </w:pPr>
            <w:r>
              <w:rPr>
                <w:sz w:val="20"/>
              </w:rPr>
              <w:t>機械能量遠大於人體所能抗衡。</w:t>
            </w:r>
          </w:p>
        </w:tc>
      </w:tr>
      <w:tr>
        <w:trPr>
          <w:trHeight w:val="1384" w:hRule="atLeast"/>
        </w:trPr>
        <w:tc>
          <w:tcPr>
            <w:tcW w:w="1160" w:type="dxa"/>
          </w:tcPr>
          <w:p>
            <w:pPr>
              <w:pStyle w:val="TableParagraph"/>
              <w:spacing w:line="260" w:lineRule="exact"/>
              <w:rPr>
                <w:rFonts w:ascii="Segoe UI"/>
                <w:sz w:val="20"/>
              </w:rPr>
            </w:pPr>
            <w:r>
              <w:rPr>
                <w:rFonts w:ascii="Segoe UI"/>
                <w:sz w:val="20"/>
              </w:rPr>
              <w:t>113/11/XX</w:t>
            </w:r>
          </w:p>
          <w:p>
            <w:pPr>
              <w:pStyle w:val="TableParagraph"/>
              <w:spacing w:line="352" w:lineRule="exact"/>
              <w:rPr>
                <w:sz w:val="20"/>
              </w:rPr>
            </w:pPr>
            <w:r>
              <w:rPr>
                <w:rFonts w:ascii="Segoe UI" w:eastAsia="Segoe UI"/>
                <w:sz w:val="20"/>
              </w:rPr>
              <w:t>11:45 </w:t>
            </w:r>
            <w:r>
              <w:rPr>
                <w:sz w:val="20"/>
              </w:rPr>
              <w:t>許</w:t>
            </w:r>
          </w:p>
          <w:p>
            <w:pPr>
              <w:pStyle w:val="TableParagraph"/>
              <w:spacing w:line="357" w:lineRule="exact"/>
              <w:rPr>
                <w:sz w:val="20"/>
              </w:rPr>
            </w:pPr>
            <w:r>
              <w:rPr>
                <w:w w:val="100"/>
                <w:sz w:val="20"/>
              </w:rPr>
              <w:t>後</w:t>
            </w:r>
          </w:p>
        </w:tc>
        <w:tc>
          <w:tcPr>
            <w:tcW w:w="2271" w:type="dxa"/>
          </w:tcPr>
          <w:p>
            <w:pPr>
              <w:pStyle w:val="TableParagraph"/>
              <w:spacing w:line="346" w:lineRule="exact"/>
              <w:ind w:left="108"/>
              <w:rPr>
                <w:sz w:val="20"/>
              </w:rPr>
            </w:pPr>
            <w:r>
              <w:rPr>
                <w:sz w:val="20"/>
              </w:rPr>
              <w:t>罹災者因大量出血，經</w:t>
            </w:r>
          </w:p>
          <w:p>
            <w:pPr>
              <w:pStyle w:val="TableParagraph"/>
              <w:spacing w:line="225" w:lineRule="auto" w:before="5"/>
              <w:ind w:left="108" w:right="134"/>
              <w:rPr>
                <w:sz w:val="20"/>
              </w:rPr>
            </w:pPr>
            <w:r>
              <w:rPr>
                <w:rFonts w:ascii="Segoe UI" w:eastAsia="Segoe UI"/>
                <w:sz w:val="20"/>
              </w:rPr>
              <w:t>119 </w:t>
            </w:r>
            <w:r>
              <w:rPr>
                <w:sz w:val="20"/>
              </w:rPr>
              <w:t>救護人員現場急救後，仍因傷重不治死</w:t>
            </w:r>
          </w:p>
          <w:p>
            <w:pPr>
              <w:pStyle w:val="TableParagraph"/>
              <w:spacing w:line="322" w:lineRule="exact"/>
              <w:ind w:left="108"/>
              <w:rPr>
                <w:sz w:val="20"/>
              </w:rPr>
            </w:pPr>
            <w:r>
              <w:rPr>
                <w:sz w:val="20"/>
              </w:rPr>
              <w:t>亡。</w:t>
            </w:r>
          </w:p>
        </w:tc>
        <w:tc>
          <w:tcPr>
            <w:tcW w:w="609" w:type="dxa"/>
          </w:tcPr>
          <w:p>
            <w:pPr>
              <w:pStyle w:val="TableParagraph"/>
              <w:spacing w:line="225" w:lineRule="auto" w:before="5"/>
              <w:ind w:left="109" w:right="286"/>
              <w:rPr>
                <w:sz w:val="20"/>
              </w:rPr>
            </w:pPr>
            <w:r>
              <w:rPr>
                <w:sz w:val="20"/>
              </w:rPr>
              <w:t>事實</w:t>
            </w:r>
          </w:p>
        </w:tc>
        <w:tc>
          <w:tcPr>
            <w:tcW w:w="875" w:type="dxa"/>
          </w:tcPr>
          <w:p>
            <w:pPr>
              <w:pStyle w:val="TableParagraph"/>
              <w:ind w:left="109"/>
              <w:rPr>
                <w:rFonts w:ascii="Segoe UI"/>
                <w:sz w:val="20"/>
              </w:rPr>
            </w:pPr>
            <w:r>
              <w:rPr>
                <w:rFonts w:ascii="Segoe UI"/>
                <w:w w:val="100"/>
                <w:sz w:val="20"/>
              </w:rPr>
              <w:t>P</w:t>
            </w:r>
          </w:p>
        </w:tc>
        <w:tc>
          <w:tcPr>
            <w:tcW w:w="1901" w:type="dxa"/>
          </w:tcPr>
          <w:p>
            <w:pPr>
              <w:pStyle w:val="TableParagraph"/>
              <w:spacing w:line="225" w:lineRule="auto" w:before="5"/>
              <w:ind w:left="110" w:right="177"/>
              <w:rPr>
                <w:sz w:val="20"/>
              </w:rPr>
            </w:pPr>
            <w:r>
              <w:rPr>
                <w:spacing w:val="-2"/>
                <w:sz w:val="20"/>
              </w:rPr>
              <w:t>頸部動脈遭切割， </w:t>
            </w:r>
            <w:r>
              <w:rPr>
                <w:sz w:val="20"/>
              </w:rPr>
              <w:t>造成急速大量失 血。</w:t>
            </w:r>
          </w:p>
        </w:tc>
        <w:tc>
          <w:tcPr>
            <w:tcW w:w="2526" w:type="dxa"/>
          </w:tcPr>
          <w:p>
            <w:pPr>
              <w:pStyle w:val="TableParagraph"/>
              <w:spacing w:line="225" w:lineRule="auto" w:before="5"/>
              <w:ind w:left="111" w:right="201"/>
              <w:rPr>
                <w:sz w:val="20"/>
              </w:rPr>
            </w:pPr>
            <w:r>
              <w:rPr>
                <w:spacing w:val="-2"/>
                <w:sz w:val="20"/>
              </w:rPr>
              <w:t>高速旋轉的切割工具對人</w:t>
            </w:r>
            <w:r>
              <w:rPr>
                <w:sz w:val="20"/>
              </w:rPr>
              <w:t>體造成的傷害是毀滅性 的。</w:t>
            </w:r>
          </w:p>
        </w:tc>
      </w:tr>
    </w:tbl>
    <w:p>
      <w:pPr>
        <w:pStyle w:val="BodyText"/>
        <w:spacing w:before="8"/>
        <w:rPr>
          <w:sz w:val="22"/>
        </w:rPr>
      </w:pPr>
      <w:r>
        <w:rPr/>
        <w:pict>
          <v:group style="position:absolute;margin-left:63.779999pt;margin-top:22.620001pt;width:467.85pt;height:1.55pt;mso-position-horizontal-relative:page;mso-position-vertical-relative:paragraph;z-index:-928;mso-wrap-distance-left:0;mso-wrap-distance-right:0" coordorigin="1276,452" coordsize="9357,31">
            <v:line style="position:absolute" from="1276,468" to="10632,468"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4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4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before="7"/>
        <w:rPr>
          <w:rFonts w:ascii="Calibri" w:eastAsia="Calibri"/>
        </w:rPr>
      </w:pPr>
      <w:r>
        <w:rPr/>
        <w:t>三、 為何樹分析  </w:t>
      </w:r>
      <w:r>
        <w:rPr>
          <w:rFonts w:ascii="Calibri" w:eastAsia="Calibri"/>
        </w:rPr>
        <w:t>(Why-Tree)</w:t>
      </w:r>
    </w:p>
    <w:p>
      <w:pPr>
        <w:pStyle w:val="BodyText"/>
        <w:spacing w:line="428" w:lineRule="exact"/>
        <w:ind w:left="475"/>
      </w:pPr>
      <w:r>
        <w:rPr/>
        <w:t>本分析從最終的傷害事件開始，透過不斷追問「為什麼」來探究事件的根本原因。</w:t>
      </w:r>
    </w:p>
    <w:p>
      <w:pPr>
        <w:spacing w:after="0" w:line="428" w:lineRule="exact"/>
        <w:sectPr>
          <w:pgSz w:w="11910" w:h="16840"/>
          <w:pgMar w:top="1420" w:bottom="280" w:left="1160" w:right="1160"/>
        </w:sectPr>
      </w:pPr>
    </w:p>
    <w:p>
      <w:pPr>
        <w:pStyle w:val="BodyText"/>
        <w:spacing w:before="6"/>
        <w:rPr>
          <w:sz w:val="9"/>
        </w:rPr>
      </w:pPr>
    </w:p>
    <w:p>
      <w:pPr>
        <w:pStyle w:val="BodyText"/>
        <w:ind w:left="1410"/>
        <w:rPr>
          <w:sz w:val="20"/>
        </w:rPr>
      </w:pPr>
      <w:r>
        <w:rPr>
          <w:sz w:val="20"/>
        </w:rPr>
        <w:drawing>
          <wp:inline distT="0" distB="0" distL="0" distR="0">
            <wp:extent cx="4613806" cy="4767262"/>
            <wp:effectExtent l="0" t="0" r="0" b="0"/>
            <wp:docPr id="3" name="image2.png" descr="一張含有 文字, 螢幕擷取畫面, 圖表, 字型 的圖片  AI 產生的內容可能不正確。"/>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613806" cy="4767262"/>
                    </a:xfrm>
                    <a:prstGeom prst="rect">
                      <a:avLst/>
                    </a:prstGeom>
                  </pic:spPr>
                </pic:pic>
              </a:graphicData>
            </a:graphic>
          </wp:inline>
        </w:drawing>
      </w:r>
      <w:r>
        <w:rPr>
          <w:sz w:val="20"/>
        </w:rPr>
      </w:r>
    </w:p>
    <w:p>
      <w:pPr>
        <w:pStyle w:val="BodyText"/>
        <w:spacing w:before="11"/>
        <w:rPr>
          <w:sz w:val="23"/>
        </w:rPr>
      </w:pPr>
      <w:r>
        <w:rPr/>
        <w:pict>
          <v:group style="position:absolute;margin-left:63.779999pt;margin-top:23.699984pt;width:467.85pt;height:1.55pt;mso-position-horizontal-relative:page;mso-position-vertical-relative:paragraph;z-index:-904;mso-wrap-distance-left:0;mso-wrap-distance-right:0" coordorigin="1276,474" coordsize="9357,31">
            <v:line style="position:absolute" from="1276,489" to="10632,489" stroked="true" strokeweight="1.5pt" strokecolor="#9f9f9f">
              <v:stroke dashstyle="solid"/>
            </v:line>
            <v:rect style="position:absolute;left:1275;top:474;width:5;height:5" filled="true" fillcolor="#9f9f9f" stroked="false">
              <v:fill type="solid"/>
            </v:rect>
            <v:rect style="position:absolute;left:1275;top:474;width:5;height:5" filled="true" fillcolor="#9f9f9f" stroked="false">
              <v:fill type="solid"/>
            </v:rect>
            <v:line style="position:absolute" from="1280,477" to="10627,477" stroked="true" strokeweight=".24pt" strokecolor="#9f9f9f">
              <v:stroke dashstyle="solid"/>
            </v:line>
            <v:rect style="position:absolute;left:10627;top:474;width:5;height:5" filled="true" fillcolor="#e2e2e2" stroked="false">
              <v:fill type="solid"/>
            </v:rect>
            <v:rect style="position:absolute;left:10627;top:474;width:5;height:5" filled="true" fillcolor="#9f9f9f" stroked="false">
              <v:fill type="solid"/>
            </v:rect>
            <v:rect style="position:absolute;left:1275;top:479;width:5;height:21" filled="true" fillcolor="#9f9f9f" stroked="false">
              <v:fill type="solid"/>
            </v:rect>
            <v:rect style="position:absolute;left:10627;top:479;width:5;height:21" filled="true" fillcolor="#e2e2e2" stroked="false">
              <v:fill type="solid"/>
            </v:rect>
            <v:rect style="position:absolute;left:1275;top:499;width:5;height:5" filled="true" fillcolor="#9f9f9f" stroked="false">
              <v:fill type="solid"/>
            </v:rect>
            <v:rect style="position:absolute;left:1275;top:499;width:5;height:5" filled="true" fillcolor="#e2e2e2" stroked="false">
              <v:fill type="solid"/>
            </v:rect>
            <v:line style="position:absolute" from="1280,502" to="10627,502" stroked="true" strokeweight=".24pt" strokecolor="#e2e2e2">
              <v:stroke dashstyle="solid"/>
            </v:line>
            <v:rect style="position:absolute;left:10627;top:499;width:5;height:5" filled="true" fillcolor="#e2e2e2" stroked="false">
              <v:fill type="solid"/>
            </v:rect>
            <v:rect style="position:absolute;left:10627;top:499;width:5;height:5" filled="true" fillcolor="#e2e2e2" stroked="false">
              <v:fill type="solid"/>
            </v:rect>
            <w10:wrap type="topAndBottom"/>
          </v:group>
        </w:pict>
      </w:r>
    </w:p>
    <w:p>
      <w:pPr>
        <w:pStyle w:val="Heading1"/>
        <w:spacing w:before="7"/>
        <w:rPr>
          <w:rFonts w:ascii="Calibri" w:eastAsia="Calibri"/>
        </w:rPr>
      </w:pPr>
      <w:r>
        <w:rPr/>
        <w:t>四、 屏障分析  </w:t>
      </w:r>
      <w:r>
        <w:rPr>
          <w:rFonts w:ascii="Calibri" w:eastAsia="Calibri"/>
        </w:rPr>
        <w:t>(Barrier Analysis)</w:t>
      </w:r>
    </w:p>
    <w:p>
      <w:pPr>
        <w:pStyle w:val="BodyText"/>
        <w:spacing w:line="415" w:lineRule="exact"/>
        <w:ind w:left="475"/>
      </w:pPr>
      <w:r>
        <w:rPr/>
        <w:t>本分析旨在識別應有但失效、缺失或不足的屏障，導致危害接觸到目標。</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z w:val="24"/>
        </w:rPr>
        <w:t>危害： </w:t>
      </w:r>
      <w:r>
        <w:rPr>
          <w:sz w:val="24"/>
        </w:rPr>
        <w:t>機械能 </w:t>
      </w:r>
      <w:r>
        <w:rPr>
          <w:rFonts w:ascii="Calibri" w:hAnsi="Calibri" w:eastAsia="Calibri"/>
          <w:sz w:val="24"/>
        </w:rPr>
        <w:t>(</w:t>
      </w:r>
      <w:r>
        <w:rPr>
          <w:sz w:val="24"/>
        </w:rPr>
        <w:t>高速旋轉的圓盤鋸切割動能</w:t>
      </w:r>
      <w:r>
        <w:rPr>
          <w:rFonts w:ascii="Calibri" w:hAnsi="Calibri" w:eastAsia="Calibri"/>
          <w:sz w:val="24"/>
        </w:rPr>
        <w:t>)</w:t>
      </w:r>
    </w:p>
    <w:p>
      <w:pPr>
        <w:pStyle w:val="ListParagraph"/>
        <w:numPr>
          <w:ilvl w:val="0"/>
          <w:numId w:val="1"/>
        </w:numPr>
        <w:tabs>
          <w:tab w:pos="835" w:val="left" w:leader="none"/>
          <w:tab w:pos="836" w:val="left" w:leader="none"/>
        </w:tabs>
        <w:spacing w:line="428" w:lineRule="exact" w:before="0" w:after="0"/>
        <w:ind w:left="835" w:right="0" w:hanging="360"/>
        <w:jc w:val="left"/>
        <w:rPr>
          <w:sz w:val="24"/>
        </w:rPr>
      </w:pPr>
      <w:r>
        <w:rPr>
          <w:b/>
          <w:sz w:val="24"/>
        </w:rPr>
        <w:t>目標： </w:t>
      </w:r>
      <w:r>
        <w:rPr>
          <w:sz w:val="24"/>
        </w:rPr>
        <w:t>罹災者鄭員</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1"/>
        <w:gridCol w:w="1655"/>
        <w:gridCol w:w="837"/>
        <w:gridCol w:w="2845"/>
        <w:gridCol w:w="3282"/>
      </w:tblGrid>
      <w:tr>
        <w:trPr>
          <w:trHeight w:val="1383" w:hRule="atLeast"/>
        </w:trPr>
        <w:tc>
          <w:tcPr>
            <w:tcW w:w="731" w:type="dxa"/>
          </w:tcPr>
          <w:p>
            <w:pPr>
              <w:pStyle w:val="TableParagraph"/>
              <w:spacing w:line="225" w:lineRule="auto"/>
              <w:ind w:right="210"/>
              <w:rPr>
                <w:sz w:val="20"/>
              </w:rPr>
            </w:pPr>
            <w:r>
              <w:rPr>
                <w:sz w:val="20"/>
              </w:rPr>
              <w:t>屏障類型</w:t>
            </w:r>
          </w:p>
        </w:tc>
        <w:tc>
          <w:tcPr>
            <w:tcW w:w="1655" w:type="dxa"/>
          </w:tcPr>
          <w:p>
            <w:pPr>
              <w:pStyle w:val="TableParagraph"/>
              <w:spacing w:line="344" w:lineRule="exact"/>
              <w:rPr>
                <w:sz w:val="20"/>
              </w:rPr>
            </w:pPr>
            <w:r>
              <w:rPr>
                <w:sz w:val="20"/>
              </w:rPr>
              <w:t>屏障</w:t>
            </w:r>
          </w:p>
        </w:tc>
        <w:tc>
          <w:tcPr>
            <w:tcW w:w="837" w:type="dxa"/>
          </w:tcPr>
          <w:p>
            <w:pPr>
              <w:pStyle w:val="TableParagraph"/>
              <w:spacing w:line="225" w:lineRule="auto"/>
              <w:ind w:right="116"/>
              <w:jc w:val="both"/>
              <w:rPr>
                <w:sz w:val="20"/>
              </w:rPr>
            </w:pPr>
            <w:r>
              <w:rPr>
                <w:sz w:val="20"/>
              </w:rPr>
              <w:t>屏障表現 </w:t>
            </w:r>
            <w:r>
              <w:rPr>
                <w:rFonts w:ascii="Segoe UI" w:eastAsia="Segoe UI"/>
                <w:sz w:val="20"/>
              </w:rPr>
              <w:t>( </w:t>
            </w:r>
            <w:r>
              <w:rPr>
                <w:sz w:val="20"/>
              </w:rPr>
              <w:t>事故時狀</w:t>
            </w:r>
          </w:p>
          <w:p>
            <w:pPr>
              <w:pStyle w:val="TableParagraph"/>
              <w:spacing w:line="334" w:lineRule="exact"/>
              <w:jc w:val="both"/>
              <w:rPr>
                <w:rFonts w:ascii="Segoe UI" w:eastAsia="Segoe UI"/>
                <w:sz w:val="20"/>
              </w:rPr>
            </w:pPr>
            <w:r>
              <w:rPr>
                <w:sz w:val="20"/>
              </w:rPr>
              <w:t>態</w:t>
            </w:r>
            <w:r>
              <w:rPr>
                <w:rFonts w:ascii="Segoe UI" w:eastAsia="Segoe UI"/>
                <w:sz w:val="20"/>
              </w:rPr>
              <w:t>)</w:t>
            </w:r>
          </w:p>
        </w:tc>
        <w:tc>
          <w:tcPr>
            <w:tcW w:w="2845" w:type="dxa"/>
          </w:tcPr>
          <w:p>
            <w:pPr>
              <w:pStyle w:val="TableParagraph"/>
              <w:spacing w:line="344" w:lineRule="exact"/>
              <w:rPr>
                <w:sz w:val="20"/>
              </w:rPr>
            </w:pPr>
            <w:r>
              <w:rPr>
                <w:sz w:val="20"/>
              </w:rPr>
              <w:t>屏障失效原因</w:t>
            </w:r>
          </w:p>
        </w:tc>
        <w:tc>
          <w:tcPr>
            <w:tcW w:w="3282" w:type="dxa"/>
          </w:tcPr>
          <w:p>
            <w:pPr>
              <w:pStyle w:val="TableParagraph"/>
              <w:spacing w:line="344" w:lineRule="exact"/>
              <w:rPr>
                <w:rFonts w:ascii="Segoe UI" w:eastAsia="Segoe UI"/>
                <w:sz w:val="20"/>
              </w:rPr>
            </w:pPr>
            <w:r>
              <w:rPr>
                <w:sz w:val="20"/>
              </w:rPr>
              <w:t>屏障如何影響事故 </w:t>
            </w:r>
            <w:r>
              <w:rPr>
                <w:rFonts w:ascii="Segoe UI" w:eastAsia="Segoe UI"/>
                <w:sz w:val="20"/>
              </w:rPr>
              <w:t>(</w:t>
            </w:r>
            <w:r>
              <w:rPr>
                <w:sz w:val="20"/>
              </w:rPr>
              <w:t>失效的後果</w:t>
            </w:r>
            <w:r>
              <w:rPr>
                <w:rFonts w:ascii="Segoe UI" w:eastAsia="Segoe UI"/>
                <w:sz w:val="20"/>
              </w:rPr>
              <w:t>)</w:t>
            </w:r>
          </w:p>
        </w:tc>
      </w:tr>
      <w:tr>
        <w:trPr>
          <w:trHeight w:val="1729" w:hRule="atLeast"/>
        </w:trPr>
        <w:tc>
          <w:tcPr>
            <w:tcW w:w="731" w:type="dxa"/>
          </w:tcPr>
          <w:p>
            <w:pPr>
              <w:pStyle w:val="TableParagraph"/>
              <w:spacing w:line="225" w:lineRule="auto"/>
              <w:ind w:right="210"/>
              <w:rPr>
                <w:b/>
                <w:sz w:val="20"/>
              </w:rPr>
            </w:pPr>
            <w:r>
              <w:rPr>
                <w:b/>
                <w:spacing w:val="-9"/>
                <w:sz w:val="20"/>
              </w:rPr>
              <w:t>工程控制</w:t>
            </w:r>
          </w:p>
          <w:p>
            <w:pPr>
              <w:pStyle w:val="TableParagraph"/>
              <w:spacing w:line="225" w:lineRule="auto"/>
              <w:ind w:right="136"/>
              <w:rPr>
                <w:b/>
                <w:sz w:val="20"/>
              </w:rPr>
            </w:pPr>
            <w:r>
              <w:rPr>
                <w:rFonts w:ascii="Segoe UI" w:eastAsia="Segoe UI"/>
                <w:b/>
                <w:sz w:val="20"/>
              </w:rPr>
              <w:t>(</w:t>
            </w:r>
            <w:r>
              <w:rPr>
                <w:b/>
                <w:spacing w:val="-9"/>
                <w:sz w:val="20"/>
              </w:rPr>
              <w:t>最關</w:t>
            </w:r>
            <w:r>
              <w:rPr>
                <w:b/>
                <w:sz w:val="20"/>
              </w:rPr>
              <w:t>鍵屏</w:t>
            </w:r>
          </w:p>
          <w:p>
            <w:pPr>
              <w:pStyle w:val="TableParagraph"/>
              <w:spacing w:line="334" w:lineRule="exact"/>
              <w:rPr>
                <w:rFonts w:ascii="Segoe UI" w:eastAsia="Segoe UI"/>
                <w:b/>
                <w:sz w:val="20"/>
              </w:rPr>
            </w:pPr>
            <w:r>
              <w:rPr>
                <w:b/>
                <w:sz w:val="20"/>
              </w:rPr>
              <w:t>障</w:t>
            </w:r>
            <w:r>
              <w:rPr>
                <w:rFonts w:ascii="Segoe UI" w:eastAsia="Segoe UI"/>
                <w:b/>
                <w:sz w:val="20"/>
              </w:rPr>
              <w:t>)</w:t>
            </w:r>
          </w:p>
        </w:tc>
        <w:tc>
          <w:tcPr>
            <w:tcW w:w="1655" w:type="dxa"/>
          </w:tcPr>
          <w:p>
            <w:pPr>
              <w:pStyle w:val="TableParagraph"/>
              <w:spacing w:line="225" w:lineRule="auto"/>
              <w:ind w:right="134" w:hanging="1"/>
              <w:jc w:val="both"/>
              <w:rPr>
                <w:rFonts w:ascii="Segoe UI" w:eastAsia="Segoe UI"/>
                <w:sz w:val="20"/>
              </w:rPr>
            </w:pPr>
            <w:r>
              <w:rPr>
                <w:rFonts w:ascii="Segoe UI" w:eastAsia="Segoe UI"/>
                <w:b/>
                <w:sz w:val="20"/>
              </w:rPr>
              <w:t>1. </w:t>
            </w:r>
            <w:r>
              <w:rPr>
                <w:b/>
                <w:sz w:val="20"/>
              </w:rPr>
              <w:t>有效的物理護罩 </w:t>
            </w:r>
            <w:r>
              <w:rPr>
                <w:rFonts w:ascii="Segoe UI" w:eastAsia="Segoe UI"/>
                <w:sz w:val="20"/>
              </w:rPr>
              <w:t>(</w:t>
            </w:r>
            <w:r>
              <w:rPr>
                <w:sz w:val="20"/>
              </w:rPr>
              <w:t>如：自閉式護罩、與進料連鎖的護罩</w:t>
            </w:r>
            <w:r>
              <w:rPr>
                <w:rFonts w:ascii="Segoe UI" w:eastAsia="Segoe UI"/>
                <w:sz w:val="20"/>
              </w:rPr>
              <w:t>)</w:t>
            </w:r>
          </w:p>
        </w:tc>
        <w:tc>
          <w:tcPr>
            <w:tcW w:w="837" w:type="dxa"/>
          </w:tcPr>
          <w:p>
            <w:pPr>
              <w:pStyle w:val="TableParagraph"/>
              <w:spacing w:line="225" w:lineRule="auto"/>
              <w:ind w:right="116"/>
              <w:rPr>
                <w:b/>
                <w:sz w:val="20"/>
              </w:rPr>
            </w:pPr>
            <w:r>
              <w:rPr>
                <w:b/>
                <w:sz w:val="20"/>
              </w:rPr>
              <w:t>不足或失效</w:t>
            </w:r>
          </w:p>
        </w:tc>
        <w:tc>
          <w:tcPr>
            <w:tcW w:w="2845" w:type="dxa"/>
          </w:tcPr>
          <w:p>
            <w:pPr>
              <w:pStyle w:val="TableParagraph"/>
              <w:spacing w:line="225" w:lineRule="auto"/>
              <w:ind w:left="108" w:right="124"/>
              <w:jc w:val="both"/>
              <w:rPr>
                <w:rFonts w:ascii="Segoe UI" w:eastAsia="Segoe UI"/>
                <w:sz w:val="20"/>
              </w:rPr>
            </w:pPr>
            <w:r>
              <w:rPr>
                <w:sz w:val="20"/>
              </w:rPr>
              <w:t>採用了固定式護罩，但其開口過大或防護範圍不足，在作業員靠近取料時，仍將危害的鋸片暴露在外。 </w:t>
            </w:r>
            <w:r>
              <w:rPr>
                <w:rFonts w:ascii="Segoe UI" w:eastAsia="Segoe UI"/>
                <w:sz w:val="20"/>
              </w:rPr>
              <w:t>(</w:t>
            </w:r>
            <w:r>
              <w:rPr>
                <w:sz w:val="20"/>
              </w:rPr>
              <w:t>推斷</w:t>
            </w:r>
            <w:r>
              <w:rPr>
                <w:rFonts w:ascii="Segoe UI" w:eastAsia="Segoe UI"/>
                <w:sz w:val="20"/>
              </w:rPr>
              <w:t>)</w:t>
            </w:r>
          </w:p>
        </w:tc>
        <w:tc>
          <w:tcPr>
            <w:tcW w:w="3282" w:type="dxa"/>
          </w:tcPr>
          <w:p>
            <w:pPr>
              <w:pStyle w:val="TableParagraph"/>
              <w:spacing w:line="225" w:lineRule="auto"/>
              <w:ind w:right="161" w:hanging="1"/>
              <w:rPr>
                <w:sz w:val="20"/>
              </w:rPr>
            </w:pPr>
            <w:r>
              <w:rPr>
                <w:b/>
                <w:sz w:val="20"/>
              </w:rPr>
              <w:t>最關鍵的屏障功能不足。 </w:t>
            </w:r>
            <w:r>
              <w:rPr>
                <w:sz w:val="20"/>
              </w:rPr>
              <w:t>未能依據作業員的實際動作範圍來設計防護，導致防護形同虛設，讓身體部位有機會接觸到危險源。</w:t>
            </w:r>
          </w:p>
        </w:tc>
      </w:tr>
    </w:tbl>
    <w:p>
      <w:pPr>
        <w:spacing w:after="0" w:line="225" w:lineRule="auto"/>
        <w:rPr>
          <w:sz w:val="20"/>
        </w:rPr>
        <w:sectPr>
          <w:pgSz w:w="11910" w:h="16840"/>
          <w:pgMar w:top="15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1"/>
        <w:gridCol w:w="1655"/>
        <w:gridCol w:w="837"/>
        <w:gridCol w:w="2845"/>
        <w:gridCol w:w="3282"/>
      </w:tblGrid>
      <w:tr>
        <w:trPr>
          <w:trHeight w:val="1730" w:hRule="atLeast"/>
        </w:trPr>
        <w:tc>
          <w:tcPr>
            <w:tcW w:w="731" w:type="dxa"/>
          </w:tcPr>
          <w:p>
            <w:pPr>
              <w:pStyle w:val="TableParagraph"/>
              <w:spacing w:line="225" w:lineRule="auto" w:before="4"/>
              <w:ind w:right="121"/>
              <w:jc w:val="both"/>
              <w:rPr>
                <w:b/>
                <w:sz w:val="20"/>
              </w:rPr>
            </w:pPr>
            <w:r>
              <w:rPr>
                <w:b/>
                <w:sz w:val="20"/>
              </w:rPr>
              <w:t>行政管理</w:t>
            </w:r>
            <w:r>
              <w:rPr>
                <w:rFonts w:ascii="Segoe UI" w:eastAsia="Segoe UI"/>
                <w:b/>
                <w:sz w:val="20"/>
              </w:rPr>
              <w:t>/ </w:t>
            </w:r>
            <w:r>
              <w:rPr>
                <w:b/>
                <w:sz w:val="20"/>
              </w:rPr>
              <w:t>程序性</w:t>
            </w:r>
          </w:p>
        </w:tc>
        <w:tc>
          <w:tcPr>
            <w:tcW w:w="1655" w:type="dxa"/>
          </w:tcPr>
          <w:p>
            <w:pPr>
              <w:pStyle w:val="TableParagraph"/>
              <w:spacing w:line="225" w:lineRule="auto" w:before="4"/>
              <w:ind w:right="265"/>
              <w:jc w:val="both"/>
              <w:rPr>
                <w:rFonts w:ascii="Segoe UI" w:eastAsia="Segoe UI"/>
                <w:sz w:val="20"/>
              </w:rPr>
            </w:pPr>
            <w:r>
              <w:rPr>
                <w:rFonts w:ascii="Segoe UI" w:eastAsia="Segoe UI"/>
                <w:b/>
                <w:sz w:val="20"/>
              </w:rPr>
              <w:t>2. </w:t>
            </w:r>
            <w:r>
              <w:rPr>
                <w:b/>
                <w:sz w:val="20"/>
              </w:rPr>
              <w:t>安全作業程序</w:t>
            </w:r>
            <w:r>
              <w:rPr>
                <w:rFonts w:ascii="Segoe UI" w:eastAsia="Segoe UI"/>
                <w:b/>
                <w:sz w:val="20"/>
              </w:rPr>
              <w:t>(SOP) </w:t>
            </w:r>
            <w:r>
              <w:rPr>
                <w:rFonts w:ascii="Segoe UI" w:eastAsia="Segoe UI"/>
                <w:sz w:val="20"/>
              </w:rPr>
              <w:t>(</w:t>
            </w:r>
            <w:r>
              <w:rPr>
                <w:sz w:val="20"/>
              </w:rPr>
              <w:t>包含取料、置料規範</w:t>
            </w:r>
            <w:r>
              <w:rPr>
                <w:rFonts w:ascii="Segoe UI" w:eastAsia="Segoe UI"/>
                <w:sz w:val="20"/>
              </w:rPr>
              <w:t>)</w:t>
            </w:r>
          </w:p>
        </w:tc>
        <w:tc>
          <w:tcPr>
            <w:tcW w:w="837" w:type="dxa"/>
          </w:tcPr>
          <w:p>
            <w:pPr>
              <w:pStyle w:val="TableParagraph"/>
              <w:spacing w:line="225" w:lineRule="auto" w:before="4"/>
              <w:ind w:right="116"/>
              <w:rPr>
                <w:b/>
                <w:sz w:val="20"/>
              </w:rPr>
            </w:pPr>
            <w:r>
              <w:rPr>
                <w:b/>
                <w:spacing w:val="-7"/>
                <w:sz w:val="20"/>
              </w:rPr>
              <w:t>不存在或無效</w:t>
            </w:r>
          </w:p>
          <w:p>
            <w:pPr>
              <w:pStyle w:val="TableParagraph"/>
              <w:spacing w:line="353" w:lineRule="exact"/>
              <w:rPr>
                <w:rFonts w:ascii="Segoe UI" w:eastAsia="Segoe UI"/>
                <w:b/>
                <w:sz w:val="20"/>
              </w:rPr>
            </w:pPr>
            <w:r>
              <w:rPr>
                <w:rFonts w:ascii="Segoe UI" w:eastAsia="Segoe UI"/>
                <w:b/>
                <w:spacing w:val="-1"/>
                <w:sz w:val="20"/>
              </w:rPr>
              <w:t>(</w:t>
            </w:r>
            <w:r>
              <w:rPr>
                <w:b/>
                <w:spacing w:val="-1"/>
                <w:sz w:val="20"/>
              </w:rPr>
              <w:t>推斷</w:t>
            </w:r>
            <w:r>
              <w:rPr>
                <w:rFonts w:ascii="Segoe UI" w:eastAsia="Segoe UI"/>
                <w:b/>
                <w:sz w:val="20"/>
              </w:rPr>
              <w:t>)</w:t>
            </w:r>
          </w:p>
        </w:tc>
        <w:tc>
          <w:tcPr>
            <w:tcW w:w="2845" w:type="dxa"/>
          </w:tcPr>
          <w:p>
            <w:pPr>
              <w:pStyle w:val="TableParagraph"/>
              <w:spacing w:line="346" w:lineRule="exact"/>
              <w:rPr>
                <w:sz w:val="20"/>
              </w:rPr>
            </w:pPr>
            <w:r>
              <w:rPr>
                <w:sz w:val="20"/>
              </w:rPr>
              <w:t>未針對此作業流程制定標準化</w:t>
            </w:r>
          </w:p>
          <w:p>
            <w:pPr>
              <w:pStyle w:val="TableParagraph"/>
              <w:spacing w:line="225" w:lineRule="auto" w:before="5"/>
              <w:ind w:right="156"/>
              <w:rPr>
                <w:sz w:val="20"/>
              </w:rPr>
            </w:pPr>
            <w:r>
              <w:rPr>
                <w:rFonts w:ascii="Segoe UI" w:eastAsia="Segoe UI"/>
                <w:sz w:val="20"/>
              </w:rPr>
              <w:t>SOP</w:t>
            </w:r>
            <w:r>
              <w:rPr>
                <w:sz w:val="20"/>
              </w:rPr>
              <w:t>，特別是「禁止身體任何部位跨越運轉中的機台」、</w:t>
            </w:r>
          </w:p>
          <w:p>
            <w:pPr>
              <w:pStyle w:val="TableParagraph"/>
              <w:spacing w:line="341" w:lineRule="exact"/>
              <w:rPr>
                <w:sz w:val="20"/>
              </w:rPr>
            </w:pPr>
            <w:r>
              <w:rPr>
                <w:sz w:val="20"/>
              </w:rPr>
              <w:t>「取放物料應先停機」等關鍵</w:t>
            </w:r>
          </w:p>
          <w:p>
            <w:pPr>
              <w:pStyle w:val="TableParagraph"/>
              <w:spacing w:line="326" w:lineRule="exact"/>
              <w:rPr>
                <w:sz w:val="20"/>
              </w:rPr>
            </w:pPr>
            <w:r>
              <w:rPr>
                <w:sz w:val="20"/>
              </w:rPr>
              <w:t>規定。</w:t>
            </w:r>
          </w:p>
        </w:tc>
        <w:tc>
          <w:tcPr>
            <w:tcW w:w="3282" w:type="dxa"/>
          </w:tcPr>
          <w:p>
            <w:pPr>
              <w:pStyle w:val="TableParagraph"/>
              <w:spacing w:line="225" w:lineRule="auto" w:before="5"/>
              <w:ind w:left="106" w:right="162"/>
              <w:rPr>
                <w:sz w:val="20"/>
              </w:rPr>
            </w:pPr>
            <w:r>
              <w:rPr>
                <w:spacing w:val="-1"/>
                <w:sz w:val="20"/>
              </w:rPr>
              <w:t>缺乏明確的作業指南，導致勞工僅憑直覺進行操作，採取了「彎腰、</w:t>
            </w:r>
            <w:r>
              <w:rPr>
                <w:sz w:val="20"/>
              </w:rPr>
              <w:t>伸手、跨越」等一系列高風險動 作。</w:t>
            </w:r>
          </w:p>
        </w:tc>
      </w:tr>
      <w:tr>
        <w:trPr>
          <w:trHeight w:val="1728" w:hRule="atLeast"/>
        </w:trPr>
        <w:tc>
          <w:tcPr>
            <w:tcW w:w="731" w:type="dxa"/>
          </w:tcPr>
          <w:p>
            <w:pPr>
              <w:pStyle w:val="TableParagraph"/>
              <w:spacing w:line="225" w:lineRule="auto" w:before="4"/>
              <w:ind w:right="210"/>
              <w:rPr>
                <w:b/>
                <w:sz w:val="20"/>
              </w:rPr>
            </w:pPr>
            <w:r>
              <w:rPr>
                <w:b/>
                <w:sz w:val="20"/>
              </w:rPr>
              <w:t>行政管理</w:t>
            </w:r>
          </w:p>
        </w:tc>
        <w:tc>
          <w:tcPr>
            <w:tcW w:w="1655" w:type="dxa"/>
          </w:tcPr>
          <w:p>
            <w:pPr>
              <w:pStyle w:val="TableParagraph"/>
              <w:spacing w:line="225" w:lineRule="auto" w:before="4"/>
              <w:ind w:right="265" w:hanging="1"/>
              <w:rPr>
                <w:b/>
                <w:sz w:val="20"/>
              </w:rPr>
            </w:pPr>
            <w:r>
              <w:rPr>
                <w:rFonts w:ascii="Segoe UI" w:eastAsia="Segoe UI"/>
                <w:b/>
                <w:sz w:val="20"/>
              </w:rPr>
              <w:t>3. </w:t>
            </w:r>
            <w:r>
              <w:rPr>
                <w:b/>
                <w:sz w:val="20"/>
              </w:rPr>
              <w:t>作業環境與動線規劃</w:t>
            </w:r>
          </w:p>
        </w:tc>
        <w:tc>
          <w:tcPr>
            <w:tcW w:w="837" w:type="dxa"/>
          </w:tcPr>
          <w:p>
            <w:pPr>
              <w:pStyle w:val="TableParagraph"/>
              <w:spacing w:line="225" w:lineRule="auto" w:before="4"/>
              <w:ind w:right="116"/>
              <w:rPr>
                <w:b/>
                <w:sz w:val="20"/>
              </w:rPr>
            </w:pPr>
            <w:r>
              <w:rPr>
                <w:b/>
                <w:sz w:val="20"/>
              </w:rPr>
              <w:t>嚴重不足 </w:t>
            </w:r>
            <w:r>
              <w:rPr>
                <w:rFonts w:ascii="Segoe UI" w:eastAsia="Segoe UI"/>
                <w:b/>
                <w:sz w:val="20"/>
              </w:rPr>
              <w:t>( </w:t>
            </w:r>
            <w:r>
              <w:rPr>
                <w:b/>
                <w:sz w:val="20"/>
              </w:rPr>
              <w:t>推</w:t>
            </w:r>
          </w:p>
          <w:p>
            <w:pPr>
              <w:pStyle w:val="TableParagraph"/>
              <w:spacing w:line="352" w:lineRule="exact"/>
              <w:rPr>
                <w:rFonts w:ascii="Segoe UI" w:eastAsia="Segoe UI"/>
                <w:b/>
                <w:sz w:val="20"/>
              </w:rPr>
            </w:pPr>
            <w:r>
              <w:rPr>
                <w:b/>
                <w:sz w:val="20"/>
              </w:rPr>
              <w:t>斷</w:t>
            </w:r>
            <w:r>
              <w:rPr>
                <w:rFonts w:ascii="Segoe UI" w:eastAsia="Segoe UI"/>
                <w:b/>
                <w:sz w:val="20"/>
              </w:rPr>
              <w:t>)</w:t>
            </w:r>
          </w:p>
        </w:tc>
        <w:tc>
          <w:tcPr>
            <w:tcW w:w="2845" w:type="dxa"/>
          </w:tcPr>
          <w:p>
            <w:pPr>
              <w:pStyle w:val="TableParagraph"/>
              <w:spacing w:line="225" w:lineRule="auto" w:before="4"/>
              <w:ind w:right="124"/>
              <w:jc w:val="both"/>
              <w:rPr>
                <w:sz w:val="20"/>
              </w:rPr>
            </w:pPr>
            <w:r>
              <w:rPr>
                <w:sz w:val="20"/>
              </w:rPr>
              <w:t>將待切物料放置在需要作業員彎腰並伸手跨越危險區才能取得的地方。</w:t>
            </w:r>
          </w:p>
        </w:tc>
        <w:tc>
          <w:tcPr>
            <w:tcW w:w="3282" w:type="dxa"/>
          </w:tcPr>
          <w:p>
            <w:pPr>
              <w:pStyle w:val="TableParagraph"/>
              <w:spacing w:line="225" w:lineRule="auto" w:before="4"/>
              <w:ind w:right="161" w:hanging="1"/>
              <w:rPr>
                <w:sz w:val="20"/>
              </w:rPr>
            </w:pPr>
            <w:r>
              <w:rPr>
                <w:b/>
                <w:sz w:val="20"/>
              </w:rPr>
              <w:t>創造了不必要的暴露。 </w:t>
            </w:r>
            <w:r>
              <w:rPr>
                <w:sz w:val="20"/>
              </w:rPr>
              <w:t>不良的佈局迫使作業員必須將身體置於險境才能完成工作，是典型的「人去配合機器」而非「機器配合人」的不</w:t>
            </w:r>
          </w:p>
          <w:p>
            <w:pPr>
              <w:pStyle w:val="TableParagraph"/>
              <w:spacing w:line="321" w:lineRule="exact"/>
              <w:rPr>
                <w:sz w:val="20"/>
              </w:rPr>
            </w:pPr>
            <w:r>
              <w:rPr>
                <w:sz w:val="20"/>
              </w:rPr>
              <w:t>安全規劃。</w:t>
            </w:r>
          </w:p>
        </w:tc>
      </w:tr>
      <w:tr>
        <w:trPr>
          <w:trHeight w:val="1730" w:hRule="atLeast"/>
        </w:trPr>
        <w:tc>
          <w:tcPr>
            <w:tcW w:w="731" w:type="dxa"/>
          </w:tcPr>
          <w:p>
            <w:pPr>
              <w:pStyle w:val="TableParagraph"/>
              <w:spacing w:line="225" w:lineRule="auto" w:before="4"/>
              <w:ind w:right="210"/>
              <w:rPr>
                <w:b/>
                <w:sz w:val="20"/>
              </w:rPr>
            </w:pPr>
            <w:r>
              <w:rPr>
                <w:b/>
                <w:sz w:val="20"/>
              </w:rPr>
              <w:t>行政管理</w:t>
            </w:r>
          </w:p>
        </w:tc>
        <w:tc>
          <w:tcPr>
            <w:tcW w:w="1655" w:type="dxa"/>
          </w:tcPr>
          <w:p>
            <w:pPr>
              <w:pStyle w:val="TableParagraph"/>
              <w:spacing w:line="225" w:lineRule="auto" w:before="4"/>
              <w:ind w:right="134" w:hanging="1"/>
              <w:rPr>
                <w:b/>
                <w:sz w:val="20"/>
              </w:rPr>
            </w:pPr>
            <w:r>
              <w:rPr>
                <w:rFonts w:ascii="Segoe UI" w:eastAsia="Segoe UI"/>
                <w:b/>
                <w:sz w:val="20"/>
              </w:rPr>
              <w:t>4. </w:t>
            </w:r>
            <w:r>
              <w:rPr>
                <w:b/>
                <w:sz w:val="20"/>
              </w:rPr>
              <w:t>作業前風險評估與危害告知</w:t>
            </w:r>
          </w:p>
        </w:tc>
        <w:tc>
          <w:tcPr>
            <w:tcW w:w="837" w:type="dxa"/>
          </w:tcPr>
          <w:p>
            <w:pPr>
              <w:pStyle w:val="TableParagraph"/>
              <w:spacing w:line="225" w:lineRule="auto" w:before="4"/>
              <w:ind w:right="116"/>
              <w:rPr>
                <w:b/>
                <w:sz w:val="20"/>
              </w:rPr>
            </w:pPr>
            <w:r>
              <w:rPr>
                <w:b/>
                <w:spacing w:val="-7"/>
                <w:sz w:val="20"/>
              </w:rPr>
              <w:t>不存在或無效</w:t>
            </w:r>
          </w:p>
          <w:p>
            <w:pPr>
              <w:pStyle w:val="TableParagraph"/>
              <w:spacing w:line="353" w:lineRule="exact"/>
              <w:rPr>
                <w:rFonts w:ascii="Segoe UI" w:eastAsia="Segoe UI"/>
                <w:b/>
                <w:sz w:val="20"/>
              </w:rPr>
            </w:pPr>
            <w:r>
              <w:rPr>
                <w:rFonts w:ascii="Segoe UI" w:eastAsia="Segoe UI"/>
                <w:b/>
                <w:spacing w:val="-1"/>
                <w:sz w:val="20"/>
              </w:rPr>
              <w:t>(</w:t>
            </w:r>
            <w:r>
              <w:rPr>
                <w:b/>
                <w:spacing w:val="-1"/>
                <w:sz w:val="20"/>
              </w:rPr>
              <w:t>推斷</w:t>
            </w:r>
            <w:r>
              <w:rPr>
                <w:rFonts w:ascii="Segoe UI" w:eastAsia="Segoe UI"/>
                <w:b/>
                <w:sz w:val="20"/>
              </w:rPr>
              <w:t>)</w:t>
            </w:r>
          </w:p>
        </w:tc>
        <w:tc>
          <w:tcPr>
            <w:tcW w:w="2845" w:type="dxa"/>
          </w:tcPr>
          <w:p>
            <w:pPr>
              <w:pStyle w:val="TableParagraph"/>
              <w:spacing w:line="225" w:lineRule="auto" w:before="4"/>
              <w:ind w:right="124"/>
              <w:jc w:val="both"/>
              <w:rPr>
                <w:sz w:val="20"/>
              </w:rPr>
            </w:pPr>
            <w:r>
              <w:rPr>
                <w:sz w:val="20"/>
              </w:rPr>
              <w:t>管理階層與作業人員未能辨識出「彎腰取料」這個動作會造成致命的捲入風險。</w:t>
            </w:r>
          </w:p>
        </w:tc>
        <w:tc>
          <w:tcPr>
            <w:tcW w:w="3282" w:type="dxa"/>
          </w:tcPr>
          <w:p>
            <w:pPr>
              <w:pStyle w:val="TableParagraph"/>
              <w:spacing w:line="225" w:lineRule="auto" w:before="4"/>
              <w:ind w:left="106" w:right="101"/>
              <w:jc w:val="both"/>
              <w:rPr>
                <w:sz w:val="20"/>
              </w:rPr>
            </w:pPr>
            <w:r>
              <w:rPr>
                <w:sz w:val="20"/>
              </w:rPr>
              <w:t>因為沒有辨識出風險，所以完全沒有規劃任何對應的控制措施</w:t>
            </w:r>
            <w:r>
              <w:rPr>
                <w:rFonts w:ascii="Segoe UI" w:eastAsia="Segoe UI"/>
                <w:sz w:val="20"/>
              </w:rPr>
              <w:t>(</w:t>
            </w:r>
            <w:r>
              <w:rPr>
                <w:sz w:val="20"/>
              </w:rPr>
              <w:t>如：改善物料位置、更新護罩、修訂</w:t>
            </w:r>
          </w:p>
          <w:p>
            <w:pPr>
              <w:pStyle w:val="TableParagraph"/>
              <w:spacing w:line="342" w:lineRule="exact"/>
              <w:ind w:left="106"/>
              <w:jc w:val="both"/>
              <w:rPr>
                <w:sz w:val="20"/>
              </w:rPr>
            </w:pPr>
            <w:r>
              <w:rPr>
                <w:rFonts w:ascii="Segoe UI" w:eastAsia="Segoe UI"/>
                <w:sz w:val="20"/>
              </w:rPr>
              <w:t>SOP)</w:t>
            </w:r>
            <w:r>
              <w:rPr>
                <w:sz w:val="20"/>
              </w:rPr>
              <w:t>，導致作業在高度風險下進</w:t>
            </w:r>
          </w:p>
          <w:p>
            <w:pPr>
              <w:pStyle w:val="TableParagraph"/>
              <w:spacing w:line="326" w:lineRule="exact"/>
              <w:ind w:left="106"/>
              <w:jc w:val="both"/>
              <w:rPr>
                <w:sz w:val="20"/>
              </w:rPr>
            </w:pPr>
            <w:r>
              <w:rPr>
                <w:sz w:val="20"/>
              </w:rPr>
              <w:t>行。</w:t>
            </w:r>
          </w:p>
        </w:tc>
      </w:tr>
      <w:tr>
        <w:trPr>
          <w:trHeight w:val="1383" w:hRule="atLeast"/>
        </w:trPr>
        <w:tc>
          <w:tcPr>
            <w:tcW w:w="731" w:type="dxa"/>
          </w:tcPr>
          <w:p>
            <w:pPr>
              <w:pStyle w:val="TableParagraph"/>
              <w:spacing w:line="225" w:lineRule="auto" w:before="4"/>
              <w:ind w:right="210"/>
              <w:rPr>
                <w:b/>
                <w:sz w:val="20"/>
              </w:rPr>
            </w:pPr>
            <w:r>
              <w:rPr>
                <w:b/>
                <w:sz w:val="20"/>
              </w:rPr>
              <w:t>個人層面</w:t>
            </w:r>
          </w:p>
        </w:tc>
        <w:tc>
          <w:tcPr>
            <w:tcW w:w="1655" w:type="dxa"/>
          </w:tcPr>
          <w:p>
            <w:pPr>
              <w:pStyle w:val="TableParagraph"/>
              <w:spacing w:line="225" w:lineRule="auto" w:before="4"/>
              <w:ind w:right="265" w:hanging="1"/>
              <w:rPr>
                <w:b/>
                <w:sz w:val="20"/>
              </w:rPr>
            </w:pPr>
            <w:r>
              <w:rPr>
                <w:rFonts w:ascii="Segoe UI" w:eastAsia="Segoe UI"/>
                <w:b/>
                <w:sz w:val="20"/>
              </w:rPr>
              <w:t>5. </w:t>
            </w:r>
            <w:r>
              <w:rPr>
                <w:b/>
                <w:sz w:val="20"/>
              </w:rPr>
              <w:t>合身的工作服</w:t>
            </w:r>
          </w:p>
        </w:tc>
        <w:tc>
          <w:tcPr>
            <w:tcW w:w="837" w:type="dxa"/>
          </w:tcPr>
          <w:p>
            <w:pPr>
              <w:pStyle w:val="TableParagraph"/>
              <w:spacing w:line="225" w:lineRule="auto" w:before="4"/>
              <w:ind w:right="116"/>
              <w:rPr>
                <w:b/>
                <w:sz w:val="20"/>
              </w:rPr>
            </w:pPr>
            <w:r>
              <w:rPr>
                <w:b/>
                <w:sz w:val="20"/>
              </w:rPr>
              <w:t>不足或失效</w:t>
            </w:r>
          </w:p>
          <w:p>
            <w:pPr>
              <w:pStyle w:val="TableParagraph"/>
              <w:spacing w:line="353" w:lineRule="exact"/>
              <w:rPr>
                <w:rFonts w:ascii="Segoe UI" w:eastAsia="Segoe UI"/>
                <w:b/>
                <w:sz w:val="20"/>
              </w:rPr>
            </w:pPr>
            <w:r>
              <w:rPr>
                <w:rFonts w:ascii="Segoe UI" w:eastAsia="Segoe UI"/>
                <w:b/>
                <w:sz w:val="20"/>
              </w:rPr>
              <w:t>(</w:t>
            </w:r>
            <w:r>
              <w:rPr>
                <w:b/>
                <w:sz w:val="20"/>
              </w:rPr>
              <w:t>推斷</w:t>
            </w:r>
            <w:r>
              <w:rPr>
                <w:rFonts w:ascii="Segoe UI" w:eastAsia="Segoe UI"/>
                <w:b/>
                <w:sz w:val="20"/>
              </w:rPr>
              <w:t>)</w:t>
            </w:r>
          </w:p>
        </w:tc>
        <w:tc>
          <w:tcPr>
            <w:tcW w:w="2845" w:type="dxa"/>
          </w:tcPr>
          <w:p>
            <w:pPr>
              <w:pStyle w:val="TableParagraph"/>
              <w:spacing w:line="225" w:lineRule="auto" w:before="4"/>
              <w:ind w:right="124"/>
              <w:jc w:val="both"/>
              <w:rPr>
                <w:sz w:val="20"/>
              </w:rPr>
            </w:pPr>
            <w:r>
              <w:rPr>
                <w:sz w:val="20"/>
              </w:rPr>
              <w:t>作業員可能穿著寬鬆或不合身的工作服，增加了被捲入的機率。</w:t>
            </w:r>
          </w:p>
        </w:tc>
        <w:tc>
          <w:tcPr>
            <w:tcW w:w="3282" w:type="dxa"/>
          </w:tcPr>
          <w:p>
            <w:pPr>
              <w:pStyle w:val="TableParagraph"/>
              <w:spacing w:line="225" w:lineRule="auto" w:before="4"/>
              <w:ind w:left="106" w:right="161"/>
              <w:jc w:val="both"/>
              <w:rPr>
                <w:sz w:val="20"/>
              </w:rPr>
            </w:pPr>
            <w:r>
              <w:rPr>
                <w:sz w:val="20"/>
              </w:rPr>
              <w:t>成為危害的媒介。寬鬆的衣物下襬或袖口，大幅增加了被旋轉機具勾到或捲入的機會，最終將人員帶向</w:t>
            </w:r>
          </w:p>
          <w:p>
            <w:pPr>
              <w:pStyle w:val="TableParagraph"/>
              <w:spacing w:line="322" w:lineRule="exact"/>
              <w:ind w:left="106"/>
              <w:jc w:val="both"/>
              <w:rPr>
                <w:sz w:val="20"/>
              </w:rPr>
            </w:pPr>
            <w:r>
              <w:rPr>
                <w:sz w:val="20"/>
              </w:rPr>
              <w:t>危害源。</w:t>
            </w:r>
          </w:p>
        </w:tc>
      </w:tr>
    </w:tbl>
    <w:p>
      <w:pPr>
        <w:pStyle w:val="BodyText"/>
        <w:spacing w:before="9"/>
        <w:rPr>
          <w:sz w:val="22"/>
        </w:rPr>
      </w:pPr>
      <w:r>
        <w:rPr/>
        <w:pict>
          <v:group style="position:absolute;margin-left:63.779999pt;margin-top:22.67pt;width:467.85pt;height:1.55pt;mso-position-horizontal-relative:page;mso-position-vertical-relative:paragraph;z-index:-880;mso-wrap-distance-left:0;mso-wrap-distance-right:0" coordorigin="1276,453" coordsize="9357,31">
            <v:line style="position:absolute" from="1276,468" to="10632,468" stroked="true" strokeweight="1.5pt" strokecolor="#9f9f9f">
              <v:stroke dashstyle="solid"/>
            </v:line>
            <v:rect style="position:absolute;left:1275;top:453;width:5;height:5" filled="true" fillcolor="#9f9f9f" stroked="false">
              <v:fill type="solid"/>
            </v:rect>
            <v:rect style="position:absolute;left:1275;top:453;width:5;height:5" filled="true" fillcolor="#9f9f9f" stroked="false">
              <v:fill type="solid"/>
            </v:rect>
            <v:line style="position:absolute" from="1280,456" to="10627,456" stroked="true" strokeweight=".24pt" strokecolor="#9f9f9f">
              <v:stroke dashstyle="solid"/>
            </v:line>
            <v:rect style="position:absolute;left:10627;top:453;width:5;height:5" filled="true" fillcolor="#e2e2e2" stroked="false">
              <v:fill type="solid"/>
            </v:rect>
            <v:rect style="position:absolute;left:10627;top:453;width:5;height:5" filled="true" fillcolor="#9f9f9f" stroked="false">
              <v:fill type="solid"/>
            </v:rect>
            <v:rect style="position:absolute;left:1275;top:458;width:5;height:21" filled="true" fillcolor="#9f9f9f" stroked="false">
              <v:fill type="solid"/>
            </v:rect>
            <v:rect style="position:absolute;left:10627;top:458;width:5;height:21" filled="true" fillcolor="#e2e2e2" stroked="false">
              <v:fill type="solid"/>
            </v:rect>
            <v:rect style="position:absolute;left:1275;top:478;width:5;height:5" filled="true" fillcolor="#9f9f9f" stroked="false">
              <v:fill type="solid"/>
            </v:rect>
            <v:rect style="position:absolute;left:1275;top:478;width:5;height:5" filled="true" fillcolor="#e2e2e2" stroked="false">
              <v:fill type="solid"/>
            </v:rect>
            <v:line style="position:absolute" from="1280,481" to="10627,481" stroked="true" strokeweight=".24pt" strokecolor="#e2e2e2">
              <v:stroke dashstyle="solid"/>
            </v:line>
            <v:rect style="position:absolute;left:10627;top:478;width:5;height:5" filled="true" fillcolor="#e2e2e2" stroked="false">
              <v:fill type="solid"/>
            </v:rect>
            <v:rect style="position:absolute;left:10627;top:478;width:5;height:5" filled="true" fillcolor="#e2e2e2" stroked="false">
              <v:fill type="solid"/>
            </v:rect>
            <w10:wrap type="topAndBottom"/>
          </v:group>
        </w:pict>
      </w:r>
    </w:p>
    <w:p>
      <w:pPr>
        <w:pStyle w:val="Heading1"/>
        <w:spacing w:before="6"/>
        <w:rPr>
          <w:rFonts w:ascii="Calibri" w:eastAsia="Calibri"/>
        </w:rPr>
      </w:pPr>
      <w:r>
        <w:rPr/>
        <w:t>五、 變更分析  </w:t>
      </w:r>
      <w:r>
        <w:rPr>
          <w:rFonts w:ascii="Calibri" w:eastAsia="Calibri"/>
        </w:rPr>
        <w:t>(Change Analysis)</w:t>
      </w:r>
    </w:p>
    <w:p>
      <w:pPr>
        <w:pStyle w:val="BodyText"/>
        <w:spacing w:line="225" w:lineRule="auto" w:before="6"/>
        <w:ind w:left="475" w:right="468"/>
      </w:pPr>
      <w:r>
        <w:rPr/>
        <w:t>本分析比較「事故狀況」與一個「理想的無事故狀況」，以識別導致事故的關鍵差異。</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780"/>
        <w:gridCol w:w="2294"/>
        <w:gridCol w:w="1480"/>
        <w:gridCol w:w="2590"/>
      </w:tblGrid>
      <w:tr>
        <w:trPr>
          <w:trHeight w:val="692" w:hRule="atLeast"/>
        </w:trPr>
        <w:tc>
          <w:tcPr>
            <w:tcW w:w="1205" w:type="dxa"/>
          </w:tcPr>
          <w:p>
            <w:pPr>
              <w:pStyle w:val="TableParagraph"/>
              <w:spacing w:line="347" w:lineRule="exact"/>
              <w:rPr>
                <w:sz w:val="20"/>
              </w:rPr>
            </w:pPr>
            <w:r>
              <w:rPr>
                <w:sz w:val="20"/>
              </w:rPr>
              <w:t>因素</w:t>
            </w:r>
          </w:p>
          <w:p>
            <w:pPr>
              <w:pStyle w:val="TableParagraph"/>
              <w:spacing w:line="260" w:lineRule="exact"/>
              <w:rPr>
                <w:rFonts w:ascii="Segoe UI"/>
                <w:sz w:val="20"/>
              </w:rPr>
            </w:pPr>
            <w:r>
              <w:rPr>
                <w:rFonts w:ascii="Segoe UI"/>
                <w:sz w:val="20"/>
              </w:rPr>
              <w:t>(Factor)</w:t>
            </w:r>
          </w:p>
        </w:tc>
        <w:tc>
          <w:tcPr>
            <w:tcW w:w="1780" w:type="dxa"/>
          </w:tcPr>
          <w:p>
            <w:pPr>
              <w:pStyle w:val="TableParagraph"/>
              <w:spacing w:line="352" w:lineRule="exact"/>
              <w:ind w:left="108"/>
              <w:rPr>
                <w:sz w:val="20"/>
              </w:rPr>
            </w:pPr>
            <w:r>
              <w:rPr>
                <w:sz w:val="20"/>
              </w:rPr>
              <w:t>事故狀況</w:t>
            </w:r>
          </w:p>
        </w:tc>
        <w:tc>
          <w:tcPr>
            <w:tcW w:w="2294" w:type="dxa"/>
          </w:tcPr>
          <w:p>
            <w:pPr>
              <w:pStyle w:val="TableParagraph"/>
              <w:spacing w:line="341" w:lineRule="exact"/>
              <w:rPr>
                <w:sz w:val="20"/>
              </w:rPr>
            </w:pPr>
            <w:r>
              <w:rPr>
                <w:sz w:val="20"/>
              </w:rPr>
              <w:t>先前、理想或未發生事</w:t>
            </w:r>
          </w:p>
          <w:p>
            <w:pPr>
              <w:pStyle w:val="TableParagraph"/>
              <w:spacing w:line="331" w:lineRule="exact"/>
              <w:rPr>
                <w:rFonts w:ascii="Segoe UI" w:eastAsia="Segoe UI"/>
                <w:sz w:val="20"/>
              </w:rPr>
            </w:pPr>
            <w:r>
              <w:rPr>
                <w:sz w:val="20"/>
              </w:rPr>
              <w:t>故狀況 </w:t>
            </w:r>
            <w:r>
              <w:rPr>
                <w:rFonts w:ascii="Segoe UI" w:eastAsia="Segoe UI"/>
                <w:sz w:val="20"/>
              </w:rPr>
              <w:t>(</w:t>
            </w:r>
            <w:r>
              <w:rPr>
                <w:sz w:val="20"/>
              </w:rPr>
              <w:t>比較基準</w:t>
            </w:r>
            <w:r>
              <w:rPr>
                <w:rFonts w:ascii="Segoe UI" w:eastAsia="Segoe UI"/>
                <w:sz w:val="20"/>
              </w:rPr>
              <w:t>)</w:t>
            </w:r>
          </w:p>
        </w:tc>
        <w:tc>
          <w:tcPr>
            <w:tcW w:w="1480" w:type="dxa"/>
          </w:tcPr>
          <w:p>
            <w:pPr>
              <w:pStyle w:val="TableParagraph"/>
              <w:spacing w:line="352" w:lineRule="exact"/>
              <w:ind w:left="106"/>
              <w:rPr>
                <w:rFonts w:ascii="Segoe UI" w:eastAsia="Segoe UI"/>
                <w:sz w:val="20"/>
              </w:rPr>
            </w:pPr>
            <w:r>
              <w:rPr>
                <w:sz w:val="20"/>
              </w:rPr>
              <w:t>差異</w:t>
            </w:r>
            <w:r>
              <w:rPr>
                <w:rFonts w:ascii="Segoe UI" w:eastAsia="Segoe UI"/>
                <w:sz w:val="20"/>
              </w:rPr>
              <w:t>(</w:t>
            </w:r>
            <w:r>
              <w:rPr>
                <w:sz w:val="20"/>
              </w:rPr>
              <w:t>變更</w:t>
            </w:r>
            <w:r>
              <w:rPr>
                <w:rFonts w:ascii="Segoe UI" w:eastAsia="Segoe UI"/>
                <w:sz w:val="20"/>
              </w:rPr>
              <w:t>)</w:t>
            </w:r>
          </w:p>
        </w:tc>
        <w:tc>
          <w:tcPr>
            <w:tcW w:w="2590" w:type="dxa"/>
          </w:tcPr>
          <w:p>
            <w:pPr>
              <w:pStyle w:val="TableParagraph"/>
              <w:spacing w:line="341" w:lineRule="exact"/>
              <w:ind w:left="105"/>
              <w:rPr>
                <w:sz w:val="20"/>
              </w:rPr>
            </w:pPr>
            <w:r>
              <w:rPr>
                <w:sz w:val="20"/>
              </w:rPr>
              <w:t>效果評估 </w:t>
            </w:r>
            <w:r>
              <w:rPr>
                <w:rFonts w:ascii="Segoe UI" w:eastAsia="Segoe UI"/>
                <w:sz w:val="20"/>
              </w:rPr>
              <w:t>(</w:t>
            </w:r>
            <w:r>
              <w:rPr>
                <w:sz w:val="20"/>
              </w:rPr>
              <w:t>此差異對事故的</w:t>
            </w:r>
          </w:p>
          <w:p>
            <w:pPr>
              <w:pStyle w:val="TableParagraph"/>
              <w:spacing w:line="331" w:lineRule="exact"/>
              <w:ind w:left="106"/>
              <w:rPr>
                <w:rFonts w:ascii="Segoe UI" w:eastAsia="Segoe UI"/>
                <w:sz w:val="20"/>
              </w:rPr>
            </w:pPr>
            <w:r>
              <w:rPr>
                <w:sz w:val="20"/>
              </w:rPr>
              <w:t>影響</w:t>
            </w:r>
            <w:r>
              <w:rPr>
                <w:rFonts w:ascii="Segoe UI" w:eastAsia="Segoe UI"/>
                <w:sz w:val="20"/>
              </w:rPr>
              <w:t>)</w:t>
            </w:r>
          </w:p>
        </w:tc>
      </w:tr>
      <w:tr>
        <w:trPr>
          <w:trHeight w:val="1730" w:hRule="atLeast"/>
        </w:trPr>
        <w:tc>
          <w:tcPr>
            <w:tcW w:w="1205" w:type="dxa"/>
          </w:tcPr>
          <w:p>
            <w:pPr>
              <w:pStyle w:val="TableParagraph"/>
              <w:spacing w:line="256" w:lineRule="exact"/>
              <w:rPr>
                <w:rFonts w:ascii="Segoe UI"/>
                <w:b/>
                <w:sz w:val="20"/>
              </w:rPr>
            </w:pPr>
            <w:r>
              <w:rPr>
                <w:rFonts w:ascii="Segoe UI"/>
                <w:b/>
                <w:sz w:val="20"/>
              </w:rPr>
              <w:t>WHERE</w:t>
            </w:r>
          </w:p>
          <w:p>
            <w:pPr>
              <w:pStyle w:val="TableParagraph"/>
              <w:spacing w:line="351" w:lineRule="exact"/>
              <w:rPr>
                <w:rFonts w:ascii="Segoe UI" w:eastAsia="Segoe UI"/>
                <w:b/>
                <w:sz w:val="20"/>
              </w:rPr>
            </w:pPr>
            <w:r>
              <w:rPr>
                <w:rFonts w:ascii="Segoe UI" w:eastAsia="Segoe UI"/>
                <w:b/>
                <w:sz w:val="20"/>
              </w:rPr>
              <w:t>(</w:t>
            </w:r>
            <w:r>
              <w:rPr>
                <w:b/>
                <w:sz w:val="20"/>
              </w:rPr>
              <w:t>物料位置</w:t>
            </w:r>
            <w:r>
              <w:rPr>
                <w:rFonts w:ascii="Segoe UI" w:eastAsia="Segoe UI"/>
                <w:b/>
                <w:sz w:val="20"/>
              </w:rPr>
              <w:t>/</w:t>
            </w:r>
          </w:p>
          <w:p>
            <w:pPr>
              <w:pStyle w:val="TableParagraph"/>
              <w:spacing w:line="357" w:lineRule="exact"/>
              <w:rPr>
                <w:rFonts w:ascii="Segoe UI" w:eastAsia="Segoe UI"/>
                <w:b/>
                <w:sz w:val="20"/>
              </w:rPr>
            </w:pPr>
            <w:r>
              <w:rPr>
                <w:b/>
                <w:sz w:val="20"/>
              </w:rPr>
              <w:t>動線</w:t>
            </w:r>
            <w:r>
              <w:rPr>
                <w:rFonts w:ascii="Segoe UI" w:eastAsia="Segoe UI"/>
                <w:b/>
                <w:sz w:val="20"/>
              </w:rPr>
              <w:t>)</w:t>
            </w:r>
          </w:p>
        </w:tc>
        <w:tc>
          <w:tcPr>
            <w:tcW w:w="1780" w:type="dxa"/>
          </w:tcPr>
          <w:p>
            <w:pPr>
              <w:pStyle w:val="TableParagraph"/>
              <w:spacing w:line="225" w:lineRule="auto"/>
              <w:ind w:left="108" w:right="258"/>
              <w:jc w:val="both"/>
              <w:rPr>
                <w:sz w:val="20"/>
              </w:rPr>
            </w:pPr>
            <w:r>
              <w:rPr>
                <w:sz w:val="20"/>
              </w:rPr>
              <w:t>待切物料被放置在需</w:t>
            </w:r>
            <w:r>
              <w:rPr>
                <w:b/>
                <w:sz w:val="20"/>
              </w:rPr>
              <w:t>跨越運轉中機台</w:t>
            </w:r>
            <w:r>
              <w:rPr>
                <w:sz w:val="20"/>
              </w:rPr>
              <w:t>才能取得的右前方</w:t>
            </w:r>
          </w:p>
        </w:tc>
        <w:tc>
          <w:tcPr>
            <w:tcW w:w="2294" w:type="dxa"/>
          </w:tcPr>
          <w:p>
            <w:pPr>
              <w:pStyle w:val="TableParagraph"/>
              <w:spacing w:line="225" w:lineRule="auto"/>
              <w:ind w:right="113"/>
              <w:jc w:val="both"/>
              <w:rPr>
                <w:sz w:val="20"/>
              </w:rPr>
            </w:pPr>
            <w:r>
              <w:rPr>
                <w:sz w:val="20"/>
              </w:rPr>
              <w:t>物料被放置在作業員無需移動或彎腰跨越即可安全拿到的位置</w:t>
            </w:r>
            <w:r>
              <w:rPr>
                <w:rFonts w:ascii="Segoe UI" w:eastAsia="Segoe UI"/>
                <w:sz w:val="20"/>
              </w:rPr>
              <w:t>(</w:t>
            </w:r>
            <w:r>
              <w:rPr>
                <w:sz w:val="20"/>
              </w:rPr>
              <w:t>如左側或後方</w:t>
            </w:r>
            <w:r>
              <w:rPr>
                <w:rFonts w:ascii="Segoe UI" w:eastAsia="Segoe UI"/>
                <w:sz w:val="20"/>
              </w:rPr>
              <w:t>)</w:t>
            </w:r>
            <w:r>
              <w:rPr>
                <w:sz w:val="20"/>
              </w:rPr>
              <w:t>。</w:t>
            </w:r>
          </w:p>
        </w:tc>
        <w:tc>
          <w:tcPr>
            <w:tcW w:w="1480" w:type="dxa"/>
          </w:tcPr>
          <w:p>
            <w:pPr>
              <w:pStyle w:val="TableParagraph"/>
              <w:spacing w:line="341" w:lineRule="exact"/>
              <w:ind w:left="106"/>
              <w:rPr>
                <w:b/>
                <w:sz w:val="20"/>
              </w:rPr>
            </w:pPr>
            <w:r>
              <w:rPr>
                <w:b/>
                <w:sz w:val="20"/>
              </w:rPr>
              <w:t>物料位置由</w:t>
            </w:r>
          </w:p>
          <w:p>
            <w:pPr>
              <w:pStyle w:val="TableParagraph"/>
              <w:spacing w:line="225" w:lineRule="auto" w:before="5"/>
              <w:ind w:left="106" w:right="160"/>
              <w:rPr>
                <w:b/>
                <w:sz w:val="20"/>
              </w:rPr>
            </w:pPr>
            <w:r>
              <w:rPr>
                <w:b/>
                <w:sz w:val="20"/>
              </w:rPr>
              <w:t>「安全區」變為「危險</w:t>
            </w:r>
          </w:p>
          <w:p>
            <w:pPr>
              <w:pStyle w:val="TableParagraph"/>
              <w:spacing w:line="352" w:lineRule="exact"/>
              <w:ind w:left="106"/>
              <w:rPr>
                <w:b/>
                <w:sz w:val="20"/>
              </w:rPr>
            </w:pPr>
            <w:r>
              <w:rPr>
                <w:b/>
                <w:sz w:val="20"/>
              </w:rPr>
              <w:t>區」。</w:t>
            </w:r>
          </w:p>
        </w:tc>
        <w:tc>
          <w:tcPr>
            <w:tcW w:w="2590" w:type="dxa"/>
          </w:tcPr>
          <w:p>
            <w:pPr>
              <w:pStyle w:val="TableParagraph"/>
              <w:spacing w:line="225" w:lineRule="auto"/>
              <w:ind w:left="106" w:right="170" w:hanging="1"/>
              <w:rPr>
                <w:sz w:val="20"/>
              </w:rPr>
            </w:pPr>
            <w:r>
              <w:rPr>
                <w:b/>
                <w:sz w:val="20"/>
              </w:rPr>
              <w:t>核心佈局差異。 </w:t>
            </w:r>
            <w:r>
              <w:rPr>
                <w:sz w:val="20"/>
              </w:rPr>
              <w:t>這個變更迫使作業員必須執行「彎腰跨越」這個極度危險的動作，是後續所有不安全</w:t>
            </w:r>
          </w:p>
          <w:p>
            <w:pPr>
              <w:pStyle w:val="TableParagraph"/>
              <w:spacing w:line="327" w:lineRule="exact"/>
              <w:ind w:left="106"/>
              <w:rPr>
                <w:sz w:val="20"/>
              </w:rPr>
            </w:pPr>
            <w:r>
              <w:rPr>
                <w:sz w:val="20"/>
              </w:rPr>
              <w:t>行為的直接起因。</w:t>
            </w:r>
          </w:p>
        </w:tc>
      </w:tr>
      <w:tr>
        <w:trPr>
          <w:trHeight w:val="1728" w:hRule="atLeast"/>
        </w:trPr>
        <w:tc>
          <w:tcPr>
            <w:tcW w:w="1205" w:type="dxa"/>
          </w:tcPr>
          <w:p>
            <w:pPr>
              <w:pStyle w:val="TableParagraph"/>
              <w:spacing w:line="340" w:lineRule="exact"/>
              <w:rPr>
                <w:b/>
                <w:sz w:val="20"/>
              </w:rPr>
            </w:pPr>
            <w:r>
              <w:rPr>
                <w:rFonts w:ascii="Segoe UI" w:eastAsia="Segoe UI"/>
                <w:b/>
                <w:sz w:val="20"/>
              </w:rPr>
              <w:t>HOW (</w:t>
            </w:r>
            <w:r>
              <w:rPr>
                <w:b/>
                <w:sz w:val="20"/>
              </w:rPr>
              <w:t>方</w:t>
            </w:r>
          </w:p>
          <w:p>
            <w:pPr>
              <w:pStyle w:val="TableParagraph"/>
              <w:spacing w:line="357" w:lineRule="exact"/>
              <w:rPr>
                <w:rFonts w:ascii="Segoe UI" w:eastAsia="Segoe UI"/>
                <w:b/>
                <w:sz w:val="20"/>
              </w:rPr>
            </w:pPr>
            <w:r>
              <w:rPr>
                <w:b/>
                <w:sz w:val="20"/>
              </w:rPr>
              <w:t>法</w:t>
            </w:r>
            <w:r>
              <w:rPr>
                <w:rFonts w:ascii="Segoe UI" w:eastAsia="Segoe UI"/>
                <w:b/>
                <w:sz w:val="20"/>
              </w:rPr>
              <w:t>/</w:t>
            </w:r>
            <w:r>
              <w:rPr>
                <w:b/>
                <w:sz w:val="20"/>
              </w:rPr>
              <w:t>程序</w:t>
            </w:r>
            <w:r>
              <w:rPr>
                <w:rFonts w:ascii="Segoe UI" w:eastAsia="Segoe UI"/>
                <w:b/>
                <w:sz w:val="20"/>
              </w:rPr>
              <w:t>)</w:t>
            </w:r>
          </w:p>
        </w:tc>
        <w:tc>
          <w:tcPr>
            <w:tcW w:w="1780" w:type="dxa"/>
          </w:tcPr>
          <w:p>
            <w:pPr>
              <w:pStyle w:val="TableParagraph"/>
              <w:spacing w:line="225" w:lineRule="auto"/>
              <w:ind w:left="108" w:right="258" w:hanging="1"/>
              <w:jc w:val="both"/>
              <w:rPr>
                <w:sz w:val="20"/>
              </w:rPr>
            </w:pPr>
            <w:r>
              <w:rPr>
                <w:sz w:val="20"/>
              </w:rPr>
              <w:t>在機器</w:t>
            </w:r>
            <w:r>
              <w:rPr>
                <w:rFonts w:ascii="Segoe UI" w:eastAsia="Segoe UI"/>
                <w:sz w:val="20"/>
              </w:rPr>
              <w:t>**</w:t>
            </w:r>
            <w:r>
              <w:rPr>
                <w:sz w:val="20"/>
              </w:rPr>
              <w:t>「持續運轉」</w:t>
            </w:r>
            <w:r>
              <w:rPr>
                <w:rFonts w:ascii="Segoe UI" w:eastAsia="Segoe UI"/>
                <w:sz w:val="20"/>
              </w:rPr>
              <w:t>**</w:t>
            </w:r>
            <w:r>
              <w:rPr>
                <w:sz w:val="20"/>
              </w:rPr>
              <w:t>的狀態下，進行非切割的「取料」動</w:t>
            </w:r>
          </w:p>
          <w:p>
            <w:pPr>
              <w:pStyle w:val="TableParagraph"/>
              <w:spacing w:line="327" w:lineRule="exact"/>
              <w:ind w:left="108"/>
              <w:jc w:val="both"/>
              <w:rPr>
                <w:sz w:val="20"/>
              </w:rPr>
            </w:pPr>
            <w:r>
              <w:rPr>
                <w:sz w:val="20"/>
              </w:rPr>
              <w:t>作。</w:t>
            </w:r>
          </w:p>
        </w:tc>
        <w:tc>
          <w:tcPr>
            <w:tcW w:w="2294" w:type="dxa"/>
          </w:tcPr>
          <w:p>
            <w:pPr>
              <w:pStyle w:val="TableParagraph"/>
              <w:spacing w:line="225" w:lineRule="auto"/>
              <w:ind w:right="173"/>
              <w:rPr>
                <w:sz w:val="20"/>
              </w:rPr>
            </w:pPr>
            <w:r>
              <w:rPr>
                <w:sz w:val="20"/>
              </w:rPr>
              <w:t>遵循「一動作、一指 </w:t>
            </w:r>
            <w:r>
              <w:rPr>
                <w:spacing w:val="-2"/>
                <w:sz w:val="20"/>
              </w:rPr>
              <w:t>令」原則，在進行非切</w:t>
            </w:r>
            <w:r>
              <w:rPr>
                <w:sz w:val="20"/>
              </w:rPr>
              <w:t>割動作</w:t>
            </w:r>
            <w:r>
              <w:rPr>
                <w:rFonts w:ascii="Segoe UI" w:eastAsia="Segoe UI"/>
                <w:sz w:val="20"/>
              </w:rPr>
              <w:t>(</w:t>
            </w:r>
            <w:r>
              <w:rPr>
                <w:sz w:val="20"/>
              </w:rPr>
              <w:t>如取料</w:t>
            </w:r>
            <w:r>
              <w:rPr>
                <w:rFonts w:ascii="Segoe UI" w:eastAsia="Segoe UI"/>
                <w:sz w:val="20"/>
              </w:rPr>
              <w:t>)</w:t>
            </w:r>
            <w:r>
              <w:rPr>
                <w:sz w:val="20"/>
              </w:rPr>
              <w:t>前，應先</w:t>
            </w:r>
            <w:r>
              <w:rPr>
                <w:rFonts w:ascii="Segoe UI" w:eastAsia="Segoe UI"/>
                <w:sz w:val="20"/>
              </w:rPr>
              <w:t>**</w:t>
            </w:r>
            <w:r>
              <w:rPr>
                <w:sz w:val="20"/>
              </w:rPr>
              <w:t>「停止機器」</w:t>
            </w:r>
            <w:r>
              <w:rPr>
                <w:rFonts w:ascii="Segoe UI" w:eastAsia="Segoe UI"/>
                <w:sz w:val="20"/>
              </w:rPr>
              <w:t>**</w:t>
            </w:r>
            <w:r>
              <w:rPr>
                <w:sz w:val="20"/>
              </w:rPr>
              <w:t>。</w:t>
            </w:r>
          </w:p>
        </w:tc>
        <w:tc>
          <w:tcPr>
            <w:tcW w:w="1480" w:type="dxa"/>
          </w:tcPr>
          <w:p>
            <w:pPr>
              <w:pStyle w:val="TableParagraph"/>
              <w:spacing w:line="341" w:lineRule="exact"/>
              <w:ind w:left="105"/>
              <w:rPr>
                <w:sz w:val="20"/>
              </w:rPr>
            </w:pPr>
            <w:r>
              <w:rPr>
                <w:sz w:val="20"/>
              </w:rPr>
              <w:t>作業程序由</w:t>
            </w:r>
          </w:p>
          <w:p>
            <w:pPr>
              <w:pStyle w:val="TableParagraph"/>
              <w:spacing w:line="225" w:lineRule="auto" w:before="5"/>
              <w:ind w:left="105" w:right="160"/>
              <w:jc w:val="both"/>
              <w:rPr>
                <w:sz w:val="20"/>
              </w:rPr>
            </w:pPr>
            <w:r>
              <w:rPr>
                <w:sz w:val="20"/>
              </w:rPr>
              <w:t>「動靜分離」變為「持續運轉」。</w:t>
            </w:r>
          </w:p>
        </w:tc>
        <w:tc>
          <w:tcPr>
            <w:tcW w:w="2590" w:type="dxa"/>
          </w:tcPr>
          <w:p>
            <w:pPr>
              <w:pStyle w:val="TableParagraph"/>
              <w:spacing w:line="225" w:lineRule="auto"/>
              <w:ind w:left="105" w:right="271"/>
              <w:jc w:val="both"/>
              <w:rPr>
                <w:sz w:val="20"/>
              </w:rPr>
            </w:pPr>
            <w:r>
              <w:rPr>
                <w:sz w:val="20"/>
              </w:rPr>
              <w:t>允許了危害能量在不必要時持續存在，大幅增加了人員暴露於危害下的時間與機率，剝奪了安全的緩</w:t>
            </w:r>
          </w:p>
          <w:p>
            <w:pPr>
              <w:pStyle w:val="TableParagraph"/>
              <w:spacing w:line="326" w:lineRule="exact"/>
              <w:ind w:left="105"/>
              <w:jc w:val="both"/>
              <w:rPr>
                <w:sz w:val="20"/>
              </w:rPr>
            </w:pPr>
            <w:r>
              <w:rPr>
                <w:sz w:val="20"/>
              </w:rPr>
              <w:t>衝時間。</w:t>
            </w:r>
          </w:p>
        </w:tc>
      </w:tr>
      <w:tr>
        <w:trPr>
          <w:trHeight w:val="1038" w:hRule="atLeast"/>
        </w:trPr>
        <w:tc>
          <w:tcPr>
            <w:tcW w:w="1205" w:type="dxa"/>
          </w:tcPr>
          <w:p>
            <w:pPr>
              <w:pStyle w:val="TableParagraph"/>
              <w:spacing w:line="341" w:lineRule="exact"/>
              <w:rPr>
                <w:sz w:val="20"/>
              </w:rPr>
            </w:pPr>
            <w:r>
              <w:rPr>
                <w:rFonts w:ascii="Segoe UI" w:eastAsia="Segoe UI"/>
                <w:sz w:val="20"/>
              </w:rPr>
              <w:t>WHAT (</w:t>
            </w:r>
            <w:r>
              <w:rPr>
                <w:sz w:val="20"/>
              </w:rPr>
              <w:t>設</w:t>
            </w:r>
          </w:p>
          <w:p>
            <w:pPr>
              <w:pStyle w:val="TableParagraph"/>
              <w:spacing w:line="357" w:lineRule="exact"/>
              <w:rPr>
                <w:rFonts w:ascii="Segoe UI" w:eastAsia="Segoe UI"/>
                <w:sz w:val="20"/>
              </w:rPr>
            </w:pPr>
            <w:r>
              <w:rPr>
                <w:sz w:val="20"/>
              </w:rPr>
              <w:t>備</w:t>
            </w:r>
            <w:r>
              <w:rPr>
                <w:rFonts w:ascii="Segoe UI" w:eastAsia="Segoe UI"/>
                <w:sz w:val="20"/>
              </w:rPr>
              <w:t>/</w:t>
            </w:r>
            <w:r>
              <w:rPr>
                <w:sz w:val="20"/>
              </w:rPr>
              <w:t>防護</w:t>
            </w:r>
            <w:r>
              <w:rPr>
                <w:rFonts w:ascii="Segoe UI" w:eastAsia="Segoe UI"/>
                <w:sz w:val="20"/>
              </w:rPr>
              <w:t>)</w:t>
            </w:r>
          </w:p>
        </w:tc>
        <w:tc>
          <w:tcPr>
            <w:tcW w:w="1780" w:type="dxa"/>
          </w:tcPr>
          <w:p>
            <w:pPr>
              <w:pStyle w:val="TableParagraph"/>
              <w:spacing w:line="225" w:lineRule="auto"/>
              <w:ind w:left="108" w:right="292" w:hanging="1"/>
              <w:rPr>
                <w:sz w:val="20"/>
              </w:rPr>
            </w:pPr>
            <w:r>
              <w:rPr>
                <w:sz w:val="20"/>
              </w:rPr>
              <w:t>圓盤鋸的</w:t>
            </w:r>
            <w:r>
              <w:rPr>
                <w:rFonts w:ascii="Segoe UI" w:eastAsia="Segoe UI"/>
                <w:sz w:val="20"/>
              </w:rPr>
              <w:t>**</w:t>
            </w:r>
            <w:r>
              <w:rPr>
                <w:spacing w:val="-7"/>
                <w:sz w:val="20"/>
              </w:rPr>
              <w:t>「固</w:t>
            </w:r>
            <w:r>
              <w:rPr>
                <w:spacing w:val="-1"/>
                <w:sz w:val="20"/>
              </w:rPr>
              <w:t>定式護罩」</w:t>
            </w:r>
            <w:r>
              <w:rPr>
                <w:rFonts w:ascii="Segoe UI" w:eastAsia="Segoe UI"/>
                <w:sz w:val="20"/>
              </w:rPr>
              <w:t>**</w:t>
            </w:r>
            <w:r>
              <w:rPr>
                <w:spacing w:val="-16"/>
                <w:sz w:val="20"/>
              </w:rPr>
              <w:t>存</w:t>
            </w:r>
          </w:p>
          <w:p>
            <w:pPr>
              <w:pStyle w:val="TableParagraph"/>
              <w:spacing w:line="327" w:lineRule="exact"/>
              <w:ind w:left="108"/>
              <w:rPr>
                <w:sz w:val="20"/>
              </w:rPr>
            </w:pPr>
            <w:r>
              <w:rPr>
                <w:spacing w:val="-1"/>
                <w:sz w:val="20"/>
              </w:rPr>
              <w:t>在防護死角，未</w:t>
            </w:r>
          </w:p>
        </w:tc>
        <w:tc>
          <w:tcPr>
            <w:tcW w:w="2294" w:type="dxa"/>
          </w:tcPr>
          <w:p>
            <w:pPr>
              <w:pStyle w:val="TableParagraph"/>
              <w:spacing w:line="225" w:lineRule="auto"/>
              <w:ind w:right="206" w:hanging="1"/>
              <w:rPr>
                <w:sz w:val="20"/>
              </w:rPr>
            </w:pPr>
            <w:r>
              <w:rPr>
                <w:sz w:val="20"/>
              </w:rPr>
              <w:t>設備應配備</w:t>
            </w:r>
            <w:r>
              <w:rPr>
                <w:rFonts w:ascii="Segoe UI" w:eastAsia="Segoe UI"/>
                <w:sz w:val="20"/>
              </w:rPr>
              <w:t>**</w:t>
            </w:r>
            <w:r>
              <w:rPr>
                <w:spacing w:val="-4"/>
                <w:sz w:val="20"/>
              </w:rPr>
              <w:t>「全方位</w:t>
            </w:r>
            <w:r>
              <w:rPr>
                <w:spacing w:val="-1"/>
                <w:sz w:val="20"/>
              </w:rPr>
              <w:t>或隨動式護罩」</w:t>
            </w:r>
            <w:r>
              <w:rPr>
                <w:rFonts w:ascii="Segoe UI" w:eastAsia="Segoe UI"/>
                <w:sz w:val="20"/>
              </w:rPr>
              <w:t>**</w:t>
            </w:r>
            <w:r>
              <w:rPr>
                <w:spacing w:val="-8"/>
                <w:sz w:val="20"/>
              </w:rPr>
              <w:t>，確</w:t>
            </w:r>
          </w:p>
          <w:p>
            <w:pPr>
              <w:pStyle w:val="TableParagraph"/>
              <w:spacing w:line="327" w:lineRule="exact"/>
              <w:rPr>
                <w:sz w:val="20"/>
              </w:rPr>
            </w:pPr>
            <w:r>
              <w:rPr>
                <w:spacing w:val="-1"/>
                <w:sz w:val="20"/>
              </w:rPr>
              <w:t>保在任何作業角度下，</w:t>
            </w:r>
          </w:p>
        </w:tc>
        <w:tc>
          <w:tcPr>
            <w:tcW w:w="1480" w:type="dxa"/>
          </w:tcPr>
          <w:p>
            <w:pPr>
              <w:pStyle w:val="TableParagraph"/>
              <w:spacing w:line="342" w:lineRule="exact"/>
              <w:ind w:left="106"/>
              <w:rPr>
                <w:b/>
                <w:sz w:val="20"/>
              </w:rPr>
            </w:pPr>
            <w:r>
              <w:rPr>
                <w:b/>
                <w:sz w:val="20"/>
              </w:rPr>
              <w:t>設備防護由</w:t>
            </w:r>
          </w:p>
          <w:p>
            <w:pPr>
              <w:pStyle w:val="TableParagraph"/>
              <w:spacing w:line="357" w:lineRule="exact"/>
              <w:ind w:left="106"/>
              <w:rPr>
                <w:b/>
                <w:sz w:val="20"/>
              </w:rPr>
            </w:pPr>
            <w:r>
              <w:rPr>
                <w:b/>
                <w:sz w:val="20"/>
              </w:rPr>
              <w:t>「有效隔離」</w:t>
            </w:r>
          </w:p>
        </w:tc>
        <w:tc>
          <w:tcPr>
            <w:tcW w:w="2590" w:type="dxa"/>
          </w:tcPr>
          <w:p>
            <w:pPr>
              <w:pStyle w:val="TableParagraph"/>
              <w:spacing w:line="225" w:lineRule="auto"/>
              <w:ind w:left="106" w:right="271"/>
              <w:rPr>
                <w:sz w:val="20"/>
              </w:rPr>
            </w:pPr>
            <w:r>
              <w:rPr>
                <w:spacing w:val="-2"/>
                <w:sz w:val="20"/>
              </w:rPr>
              <w:t>屏障的有效性出現漏洞。</w:t>
            </w:r>
            <w:r>
              <w:rPr>
                <w:spacing w:val="-3"/>
                <w:sz w:val="20"/>
              </w:rPr>
              <w:t>一個看似有防護的設備，</w:t>
            </w:r>
          </w:p>
          <w:p>
            <w:pPr>
              <w:pStyle w:val="TableParagraph"/>
              <w:spacing w:line="327" w:lineRule="exact"/>
              <w:ind w:left="106"/>
              <w:rPr>
                <w:sz w:val="20"/>
              </w:rPr>
            </w:pPr>
            <w:r>
              <w:rPr>
                <w:spacing w:val="-1"/>
                <w:sz w:val="20"/>
              </w:rPr>
              <w:t>實際上卻因設計不當而存</w:t>
            </w:r>
          </w:p>
        </w:tc>
      </w:tr>
    </w:tbl>
    <w:p>
      <w:pPr>
        <w:spacing w:after="0" w:line="327" w:lineRule="exact"/>
        <w:rPr>
          <w:sz w:val="20"/>
        </w:rPr>
        <w:sectPr>
          <w:pgSz w:w="11910" w:h="16840"/>
          <w:pgMar w:top="142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780"/>
        <w:gridCol w:w="2294"/>
        <w:gridCol w:w="1480"/>
        <w:gridCol w:w="2590"/>
      </w:tblGrid>
      <w:tr>
        <w:trPr>
          <w:trHeight w:val="692" w:hRule="atLeast"/>
        </w:trPr>
        <w:tc>
          <w:tcPr>
            <w:tcW w:w="1205" w:type="dxa"/>
          </w:tcPr>
          <w:p>
            <w:pPr>
              <w:pStyle w:val="TableParagraph"/>
              <w:ind w:left="0"/>
              <w:rPr>
                <w:rFonts w:ascii="Times New Roman"/>
                <w:sz w:val="20"/>
              </w:rPr>
            </w:pPr>
          </w:p>
        </w:tc>
        <w:tc>
          <w:tcPr>
            <w:tcW w:w="1780" w:type="dxa"/>
          </w:tcPr>
          <w:p>
            <w:pPr>
              <w:pStyle w:val="TableParagraph"/>
              <w:spacing w:line="346" w:lineRule="exact"/>
              <w:ind w:left="108"/>
              <w:rPr>
                <w:sz w:val="20"/>
              </w:rPr>
            </w:pPr>
            <w:r>
              <w:rPr>
                <w:sz w:val="20"/>
              </w:rPr>
              <w:t>能完全隔離危</w:t>
            </w:r>
          </w:p>
          <w:p>
            <w:pPr>
              <w:pStyle w:val="TableParagraph"/>
              <w:spacing w:line="326" w:lineRule="exact"/>
              <w:ind w:left="108"/>
              <w:rPr>
                <w:rFonts w:ascii="Segoe UI" w:eastAsia="Segoe UI"/>
                <w:sz w:val="20"/>
              </w:rPr>
            </w:pPr>
            <w:r>
              <w:rPr>
                <w:sz w:val="20"/>
              </w:rPr>
              <w:t>害。 </w:t>
            </w:r>
            <w:r>
              <w:rPr>
                <w:rFonts w:ascii="Segoe UI" w:eastAsia="Segoe UI"/>
                <w:sz w:val="20"/>
              </w:rPr>
              <w:t>(</w:t>
            </w:r>
            <w:r>
              <w:rPr>
                <w:sz w:val="20"/>
              </w:rPr>
              <w:t>推斷</w:t>
            </w:r>
            <w:r>
              <w:rPr>
                <w:rFonts w:ascii="Segoe UI" w:eastAsia="Segoe UI"/>
                <w:sz w:val="20"/>
              </w:rPr>
              <w:t>)</w:t>
            </w:r>
          </w:p>
        </w:tc>
        <w:tc>
          <w:tcPr>
            <w:tcW w:w="2294" w:type="dxa"/>
          </w:tcPr>
          <w:p>
            <w:pPr>
              <w:pStyle w:val="TableParagraph"/>
              <w:spacing w:line="346" w:lineRule="exact"/>
              <w:ind w:left="106"/>
              <w:rPr>
                <w:sz w:val="20"/>
              </w:rPr>
            </w:pPr>
            <w:r>
              <w:rPr>
                <w:sz w:val="20"/>
              </w:rPr>
              <w:t>鋸片非切割部分均被有</w:t>
            </w:r>
          </w:p>
          <w:p>
            <w:pPr>
              <w:pStyle w:val="TableParagraph"/>
              <w:spacing w:line="326" w:lineRule="exact"/>
              <w:ind w:left="106"/>
              <w:rPr>
                <w:sz w:val="20"/>
              </w:rPr>
            </w:pPr>
            <w:r>
              <w:rPr>
                <w:sz w:val="20"/>
              </w:rPr>
              <w:t>效遮蔽。</w:t>
            </w:r>
          </w:p>
        </w:tc>
        <w:tc>
          <w:tcPr>
            <w:tcW w:w="1480" w:type="dxa"/>
          </w:tcPr>
          <w:p>
            <w:pPr>
              <w:pStyle w:val="TableParagraph"/>
              <w:spacing w:line="346" w:lineRule="exact"/>
              <w:ind w:left="106"/>
              <w:rPr>
                <w:b/>
                <w:sz w:val="20"/>
              </w:rPr>
            </w:pPr>
            <w:r>
              <w:rPr>
                <w:b/>
                <w:sz w:val="20"/>
              </w:rPr>
              <w:t>變為「存在間</w:t>
            </w:r>
          </w:p>
          <w:p>
            <w:pPr>
              <w:pStyle w:val="TableParagraph"/>
              <w:spacing w:line="326" w:lineRule="exact"/>
              <w:ind w:left="106"/>
              <w:rPr>
                <w:b/>
                <w:sz w:val="20"/>
              </w:rPr>
            </w:pPr>
            <w:r>
              <w:rPr>
                <w:b/>
                <w:sz w:val="20"/>
              </w:rPr>
              <w:t>隙」。</w:t>
            </w:r>
          </w:p>
        </w:tc>
        <w:tc>
          <w:tcPr>
            <w:tcW w:w="2590" w:type="dxa"/>
          </w:tcPr>
          <w:p>
            <w:pPr>
              <w:pStyle w:val="TableParagraph"/>
              <w:spacing w:line="346" w:lineRule="exact"/>
              <w:ind w:left="105"/>
              <w:rPr>
                <w:sz w:val="20"/>
              </w:rPr>
            </w:pPr>
            <w:r>
              <w:rPr>
                <w:sz w:val="20"/>
              </w:rPr>
              <w:t>在致命缺陷，給予了作業</w:t>
            </w:r>
          </w:p>
          <w:p>
            <w:pPr>
              <w:pStyle w:val="TableParagraph"/>
              <w:spacing w:line="326" w:lineRule="exact"/>
              <w:ind w:left="105"/>
              <w:rPr>
                <w:sz w:val="20"/>
              </w:rPr>
            </w:pPr>
            <w:r>
              <w:rPr>
                <w:sz w:val="20"/>
              </w:rPr>
              <w:t>員虛假的安全感。</w:t>
            </w:r>
          </w:p>
        </w:tc>
      </w:tr>
    </w:tbl>
    <w:p>
      <w:pPr>
        <w:pStyle w:val="BodyText"/>
        <w:spacing w:before="8"/>
        <w:rPr>
          <w:sz w:val="22"/>
        </w:rPr>
      </w:pPr>
      <w:r>
        <w:rPr/>
        <w:pict>
          <v:group style="position:absolute;margin-left:63.779999pt;margin-top:22.620001pt;width:467.85pt;height:1.5pt;mso-position-horizontal-relative:page;mso-position-vertical-relative:paragraph;z-index:-856;mso-wrap-distance-left:0;mso-wrap-distance-right:0" coordorigin="1276,452" coordsize="9357,30">
            <v:line style="position:absolute" from="1276,467" to="10632,467"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4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4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before="7"/>
        <w:rPr>
          <w:rFonts w:ascii="Calibri" w:eastAsia="Calibri"/>
        </w:rPr>
      </w:pPr>
      <w:r>
        <w:rPr/>
        <w:t>六、 人為失誤分析  </w:t>
      </w:r>
      <w:r>
        <w:rPr>
          <w:rFonts w:ascii="Calibri" w:eastAsia="Calibri"/>
        </w:rPr>
        <w:t>(Human Failure Analysis)</w:t>
      </w:r>
    </w:p>
    <w:p>
      <w:pPr>
        <w:pStyle w:val="BodyText"/>
        <w:spacing w:line="428" w:lineRule="exact"/>
        <w:ind w:left="475"/>
      </w:pPr>
      <w:r>
        <w:rPr/>
        <w:t>本分析探討影響人員行為的深層次原因，而非僅歸咎於個人。</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2470"/>
        <w:gridCol w:w="4886"/>
      </w:tblGrid>
      <w:tr>
        <w:trPr>
          <w:trHeight w:val="346" w:hRule="atLeast"/>
        </w:trPr>
        <w:tc>
          <w:tcPr>
            <w:tcW w:w="1992" w:type="dxa"/>
          </w:tcPr>
          <w:p>
            <w:pPr>
              <w:pStyle w:val="TableParagraph"/>
              <w:spacing w:line="326" w:lineRule="exact"/>
              <w:rPr>
                <w:sz w:val="20"/>
              </w:rPr>
            </w:pPr>
            <w:r>
              <w:rPr>
                <w:sz w:val="20"/>
              </w:rPr>
              <w:t>失誤類型</w:t>
            </w:r>
          </w:p>
        </w:tc>
        <w:tc>
          <w:tcPr>
            <w:tcW w:w="2470" w:type="dxa"/>
          </w:tcPr>
          <w:p>
            <w:pPr>
              <w:pStyle w:val="TableParagraph"/>
              <w:spacing w:line="326" w:lineRule="exact"/>
              <w:ind w:left="109"/>
              <w:rPr>
                <w:sz w:val="20"/>
              </w:rPr>
            </w:pPr>
            <w:r>
              <w:rPr>
                <w:sz w:val="20"/>
              </w:rPr>
              <w:t>主要不安全行為</w:t>
            </w:r>
            <w:r>
              <w:rPr>
                <w:rFonts w:ascii="Segoe UI" w:eastAsia="Segoe UI"/>
                <w:sz w:val="20"/>
              </w:rPr>
              <w:t>/</w:t>
            </w:r>
            <w:r>
              <w:rPr>
                <w:sz w:val="20"/>
              </w:rPr>
              <w:t>失誤</w:t>
            </w:r>
          </w:p>
        </w:tc>
        <w:tc>
          <w:tcPr>
            <w:tcW w:w="4886" w:type="dxa"/>
          </w:tcPr>
          <w:p>
            <w:pPr>
              <w:pStyle w:val="TableParagraph"/>
              <w:spacing w:line="326" w:lineRule="exact"/>
              <w:rPr>
                <w:rFonts w:ascii="Segoe UI" w:eastAsia="Segoe UI"/>
                <w:sz w:val="20"/>
              </w:rPr>
            </w:pPr>
            <w:r>
              <w:rPr>
                <w:sz w:val="20"/>
              </w:rPr>
              <w:t>根本原因 </w:t>
            </w:r>
            <w:r>
              <w:rPr>
                <w:rFonts w:ascii="Segoe UI" w:eastAsia="Segoe UI"/>
                <w:sz w:val="20"/>
              </w:rPr>
              <w:t>(</w:t>
            </w:r>
            <w:r>
              <w:rPr>
                <w:sz w:val="20"/>
              </w:rPr>
              <w:t>組織與系統層面</w:t>
            </w:r>
            <w:r>
              <w:rPr>
                <w:rFonts w:ascii="Segoe UI" w:eastAsia="Segoe UI"/>
                <w:sz w:val="20"/>
              </w:rPr>
              <w:t>)</w:t>
            </w:r>
          </w:p>
        </w:tc>
      </w:tr>
      <w:tr>
        <w:trPr>
          <w:trHeight w:val="2421" w:hRule="atLeast"/>
        </w:trPr>
        <w:tc>
          <w:tcPr>
            <w:tcW w:w="1992" w:type="dxa"/>
          </w:tcPr>
          <w:p>
            <w:pPr>
              <w:pStyle w:val="TableParagraph"/>
              <w:spacing w:line="225" w:lineRule="auto"/>
              <w:ind w:right="223"/>
              <w:rPr>
                <w:b/>
                <w:sz w:val="20"/>
              </w:rPr>
            </w:pPr>
            <w:r>
              <w:rPr>
                <w:b/>
                <w:sz w:val="20"/>
              </w:rPr>
              <w:t>技術性失誤 </w:t>
            </w:r>
            <w:r>
              <w:rPr>
                <w:rFonts w:ascii="Segoe UI" w:eastAsia="Segoe UI"/>
                <w:b/>
                <w:sz w:val="20"/>
              </w:rPr>
              <w:t>(Skill- based Slip) </w:t>
            </w:r>
            <w:r>
              <w:rPr>
                <w:b/>
                <w:sz w:val="20"/>
              </w:rPr>
              <w:t>或</w:t>
            </w:r>
          </w:p>
          <w:p>
            <w:pPr>
              <w:pStyle w:val="TableParagraph"/>
              <w:spacing w:line="235" w:lineRule="auto"/>
              <w:ind w:right="871"/>
              <w:rPr>
                <w:rFonts w:ascii="Segoe UI" w:eastAsia="Segoe UI"/>
                <w:b/>
                <w:sz w:val="20"/>
              </w:rPr>
            </w:pPr>
            <w:r>
              <w:rPr>
                <w:b/>
                <w:sz w:val="20"/>
              </w:rPr>
              <w:t>常規性違規</w:t>
            </w:r>
            <w:r>
              <w:rPr>
                <w:rFonts w:ascii="Segoe UI" w:eastAsia="Segoe UI"/>
                <w:b/>
                <w:sz w:val="20"/>
              </w:rPr>
              <w:t>(Routine Violation)</w:t>
            </w:r>
          </w:p>
        </w:tc>
        <w:tc>
          <w:tcPr>
            <w:tcW w:w="2470" w:type="dxa"/>
          </w:tcPr>
          <w:p>
            <w:pPr>
              <w:pStyle w:val="TableParagraph"/>
              <w:spacing w:line="225" w:lineRule="auto"/>
              <w:ind w:left="108" w:right="148"/>
              <w:rPr>
                <w:b/>
                <w:sz w:val="20"/>
              </w:rPr>
            </w:pPr>
            <w:r>
              <w:rPr>
                <w:b/>
                <w:sz w:val="20"/>
              </w:rPr>
              <w:t>罹災者鄭員彎腰跨越運轉中的機台取料。</w:t>
            </w:r>
          </w:p>
          <w:p>
            <w:pPr>
              <w:pStyle w:val="TableParagraph"/>
              <w:spacing w:line="225" w:lineRule="auto"/>
              <w:ind w:left="108" w:right="148"/>
              <w:rPr>
                <w:b/>
                <w:sz w:val="20"/>
              </w:rPr>
            </w:pPr>
            <w:r>
              <w:rPr>
                <w:sz w:val="20"/>
              </w:rPr>
              <w:t>此行為可能是因注意力不集中而發生的</w:t>
            </w:r>
            <w:r>
              <w:rPr>
                <w:b/>
                <w:sz w:val="20"/>
              </w:rPr>
              <w:t>失誤</w:t>
            </w:r>
          </w:p>
          <w:p>
            <w:pPr>
              <w:pStyle w:val="TableParagraph"/>
              <w:spacing w:line="225" w:lineRule="auto"/>
              <w:ind w:left="108" w:right="148"/>
              <w:rPr>
                <w:b/>
                <w:sz w:val="20"/>
              </w:rPr>
            </w:pPr>
            <w:r>
              <w:rPr>
                <w:rFonts w:ascii="Segoe UI" w:eastAsia="Segoe UI"/>
                <w:b/>
                <w:sz w:val="20"/>
              </w:rPr>
              <w:t>(Slip)</w:t>
            </w:r>
            <w:r>
              <w:rPr>
                <w:sz w:val="20"/>
              </w:rPr>
              <w:t>，也可能是為了求快，長期養成的</w:t>
            </w:r>
            <w:r>
              <w:rPr>
                <w:b/>
                <w:sz w:val="20"/>
              </w:rPr>
              <w:t>常規性違</w:t>
            </w:r>
          </w:p>
          <w:p>
            <w:pPr>
              <w:pStyle w:val="TableParagraph"/>
              <w:spacing w:line="334" w:lineRule="exact"/>
              <w:ind w:left="108"/>
              <w:rPr>
                <w:sz w:val="20"/>
              </w:rPr>
            </w:pPr>
            <w:r>
              <w:rPr>
                <w:b/>
                <w:sz w:val="20"/>
              </w:rPr>
              <w:t>棄</w:t>
            </w:r>
            <w:r>
              <w:rPr>
                <w:rFonts w:ascii="Segoe UI" w:eastAsia="Segoe UI"/>
                <w:b/>
                <w:sz w:val="20"/>
              </w:rPr>
              <w:t>(Violation)</w:t>
            </w:r>
            <w:r>
              <w:rPr>
                <w:sz w:val="20"/>
              </w:rPr>
              <w:t>。</w:t>
            </w:r>
          </w:p>
        </w:tc>
        <w:tc>
          <w:tcPr>
            <w:tcW w:w="4886" w:type="dxa"/>
          </w:tcPr>
          <w:p>
            <w:pPr>
              <w:pStyle w:val="TableParagraph"/>
              <w:numPr>
                <w:ilvl w:val="0"/>
                <w:numId w:val="5"/>
              </w:numPr>
              <w:tabs>
                <w:tab w:pos="377" w:val="left" w:leader="none"/>
              </w:tabs>
              <w:spacing w:line="225" w:lineRule="auto" w:before="0" w:after="0"/>
              <w:ind w:left="107" w:right="165" w:firstLine="0"/>
              <w:jc w:val="both"/>
              <w:rPr>
                <w:sz w:val="20"/>
              </w:rPr>
            </w:pPr>
            <w:r>
              <w:rPr>
                <w:b/>
                <w:spacing w:val="3"/>
                <w:sz w:val="20"/>
              </w:rPr>
              <w:t>極度不安全的作業環境設計： </w:t>
            </w:r>
            <w:r>
              <w:rPr>
                <w:sz w:val="20"/>
              </w:rPr>
              <w:t>將物料放在需要跨</w:t>
            </w:r>
            <w:r>
              <w:rPr>
                <w:spacing w:val="-1"/>
                <w:sz w:val="20"/>
              </w:rPr>
              <w:t>越機台才能拿到的地方，這種設計本身就在誘發或迫</w:t>
            </w:r>
            <w:r>
              <w:rPr>
                <w:sz w:val="20"/>
              </w:rPr>
              <w:t>使人員犯錯。這是系統性、源頭性的規劃失敗。</w:t>
            </w:r>
          </w:p>
          <w:p>
            <w:pPr>
              <w:pStyle w:val="TableParagraph"/>
              <w:numPr>
                <w:ilvl w:val="0"/>
                <w:numId w:val="5"/>
              </w:numPr>
              <w:tabs>
                <w:tab w:pos="377" w:val="left" w:leader="none"/>
              </w:tabs>
              <w:spacing w:line="225" w:lineRule="auto" w:before="0" w:after="0"/>
              <w:ind w:left="107" w:right="146" w:firstLine="0"/>
              <w:jc w:val="both"/>
              <w:rPr>
                <w:sz w:val="20"/>
              </w:rPr>
            </w:pPr>
            <w:r>
              <w:rPr>
                <w:b/>
                <w:spacing w:val="3"/>
                <w:sz w:val="20"/>
              </w:rPr>
              <w:t>安全程序與監督的真空： </w:t>
            </w:r>
            <w:r>
              <w:rPr>
                <w:sz w:val="20"/>
              </w:rPr>
              <w:t>缺乏明確禁止此類行為</w:t>
            </w:r>
            <w:r>
              <w:rPr>
                <w:spacing w:val="-3"/>
                <w:sz w:val="20"/>
              </w:rPr>
              <w:t>的 </w:t>
            </w:r>
            <w:r>
              <w:rPr>
                <w:rFonts w:ascii="Segoe UI" w:eastAsia="Segoe UI"/>
                <w:sz w:val="20"/>
              </w:rPr>
              <w:t>SOP</w:t>
            </w:r>
            <w:r>
              <w:rPr>
                <w:sz w:val="20"/>
              </w:rPr>
              <w:t>，也沒有現場監督機制來即時糾正這種致命的</w:t>
            </w:r>
          </w:p>
          <w:p>
            <w:pPr>
              <w:pStyle w:val="TableParagraph"/>
              <w:spacing w:line="341" w:lineRule="exact"/>
              <w:jc w:val="both"/>
              <w:rPr>
                <w:sz w:val="20"/>
              </w:rPr>
            </w:pPr>
            <w:r>
              <w:rPr>
                <w:sz w:val="20"/>
              </w:rPr>
              <w:t>「捷徑」。管理階層的失能，為不安全行為的發生提</w:t>
            </w:r>
          </w:p>
          <w:p>
            <w:pPr>
              <w:pStyle w:val="TableParagraph"/>
              <w:spacing w:line="338" w:lineRule="exact"/>
              <w:jc w:val="both"/>
              <w:rPr>
                <w:sz w:val="20"/>
              </w:rPr>
            </w:pPr>
            <w:r>
              <w:rPr>
                <w:sz w:val="20"/>
              </w:rPr>
              <w:t>供了溫床。</w:t>
            </w:r>
          </w:p>
        </w:tc>
      </w:tr>
      <w:tr>
        <w:trPr>
          <w:trHeight w:val="3113" w:hRule="atLeast"/>
        </w:trPr>
        <w:tc>
          <w:tcPr>
            <w:tcW w:w="1992" w:type="dxa"/>
          </w:tcPr>
          <w:p>
            <w:pPr>
              <w:pStyle w:val="TableParagraph"/>
              <w:spacing w:line="338" w:lineRule="exact"/>
              <w:rPr>
                <w:b/>
                <w:sz w:val="20"/>
              </w:rPr>
            </w:pPr>
            <w:r>
              <w:rPr>
                <w:b/>
                <w:sz w:val="20"/>
              </w:rPr>
              <w:t>知識性錯誤</w:t>
            </w:r>
          </w:p>
          <w:p>
            <w:pPr>
              <w:pStyle w:val="TableParagraph"/>
              <w:ind w:right="95"/>
              <w:rPr>
                <w:rFonts w:ascii="Segoe UI"/>
                <w:b/>
                <w:sz w:val="20"/>
              </w:rPr>
            </w:pPr>
            <w:r>
              <w:rPr>
                <w:rFonts w:ascii="Segoe UI"/>
                <w:b/>
                <w:sz w:val="20"/>
              </w:rPr>
              <w:t>(Knowledge-based Mistake)</w:t>
            </w:r>
          </w:p>
        </w:tc>
        <w:tc>
          <w:tcPr>
            <w:tcW w:w="2470" w:type="dxa"/>
          </w:tcPr>
          <w:p>
            <w:pPr>
              <w:pStyle w:val="TableParagraph"/>
              <w:spacing w:line="225" w:lineRule="auto"/>
              <w:ind w:left="109" w:right="259" w:hanging="1"/>
              <w:jc w:val="both"/>
              <w:rPr>
                <w:b/>
                <w:sz w:val="20"/>
              </w:rPr>
            </w:pPr>
            <w:r>
              <w:rPr>
                <w:b/>
                <w:sz w:val="20"/>
              </w:rPr>
              <w:t>雇主</w:t>
            </w:r>
            <w:r>
              <w:rPr>
                <w:rFonts w:ascii="Segoe UI" w:eastAsia="Segoe UI"/>
                <w:b/>
                <w:sz w:val="20"/>
              </w:rPr>
              <w:t>/</w:t>
            </w:r>
            <w:r>
              <w:rPr>
                <w:b/>
                <w:sz w:val="20"/>
              </w:rPr>
              <w:t>現場負責人未能提供安全的作業環境與設備。</w:t>
            </w:r>
          </w:p>
        </w:tc>
        <w:tc>
          <w:tcPr>
            <w:tcW w:w="4886" w:type="dxa"/>
          </w:tcPr>
          <w:p>
            <w:pPr>
              <w:pStyle w:val="TableParagraph"/>
              <w:numPr>
                <w:ilvl w:val="0"/>
                <w:numId w:val="6"/>
              </w:numPr>
              <w:tabs>
                <w:tab w:pos="377" w:val="left" w:leader="none"/>
              </w:tabs>
              <w:spacing w:line="225" w:lineRule="auto" w:before="0" w:after="0"/>
              <w:ind w:left="107" w:right="104" w:firstLine="0"/>
              <w:jc w:val="both"/>
              <w:rPr>
                <w:sz w:val="20"/>
              </w:rPr>
            </w:pPr>
            <w:r>
              <w:rPr>
                <w:b/>
                <w:spacing w:val="3"/>
                <w:sz w:val="20"/>
              </w:rPr>
              <w:t>風險評估的系統性失敗： </w:t>
            </w:r>
            <w:r>
              <w:rPr>
                <w:sz w:val="20"/>
              </w:rPr>
              <w:t>管理階層從未對「切管機操作」的完整流程</w:t>
            </w:r>
            <w:r>
              <w:rPr>
                <w:rFonts w:ascii="Segoe UI" w:eastAsia="Segoe UI"/>
                <w:sz w:val="20"/>
              </w:rPr>
              <w:t>(</w:t>
            </w:r>
            <w:r>
              <w:rPr>
                <w:spacing w:val="-1"/>
                <w:sz w:val="20"/>
              </w:rPr>
              <w:t>包含取料、置料、切割、廢料處</w:t>
            </w:r>
            <w:r>
              <w:rPr>
                <w:sz w:val="20"/>
              </w:rPr>
              <w:t>理</w:t>
            </w:r>
            <w:r>
              <w:rPr>
                <w:rFonts w:ascii="Segoe UI" w:eastAsia="Segoe UI"/>
                <w:sz w:val="20"/>
              </w:rPr>
              <w:t>)</w:t>
            </w:r>
            <w:r>
              <w:rPr>
                <w:spacing w:val="-1"/>
                <w:sz w:val="20"/>
              </w:rPr>
              <w:t>進行系統性的風險評估。他們只看到了「切割」的</w:t>
            </w:r>
            <w:r>
              <w:rPr>
                <w:sz w:val="20"/>
              </w:rPr>
              <w:t>危害，卻完全忽略了「取料動線」中隱藏的致命風</w:t>
            </w:r>
          </w:p>
          <w:p>
            <w:pPr>
              <w:pStyle w:val="TableParagraph"/>
              <w:spacing w:line="342" w:lineRule="exact"/>
              <w:rPr>
                <w:sz w:val="20"/>
              </w:rPr>
            </w:pPr>
            <w:r>
              <w:rPr>
                <w:sz w:val="20"/>
              </w:rPr>
              <w:t>險。</w:t>
            </w:r>
          </w:p>
          <w:p>
            <w:pPr>
              <w:pStyle w:val="TableParagraph"/>
              <w:numPr>
                <w:ilvl w:val="0"/>
                <w:numId w:val="6"/>
              </w:numPr>
              <w:tabs>
                <w:tab w:pos="377" w:val="left" w:leader="none"/>
              </w:tabs>
              <w:spacing w:line="225" w:lineRule="auto" w:before="0" w:after="0"/>
              <w:ind w:left="107" w:right="165" w:firstLine="0"/>
              <w:jc w:val="both"/>
              <w:rPr>
                <w:sz w:val="20"/>
              </w:rPr>
            </w:pPr>
            <w:r>
              <w:rPr>
                <w:b/>
                <w:spacing w:val="2"/>
                <w:sz w:val="20"/>
              </w:rPr>
              <w:t>「有護罩就好」的淺層安全思維： </w:t>
            </w:r>
            <w:r>
              <w:rPr>
                <w:sz w:val="20"/>
              </w:rPr>
              <w:t>管理者可能認</w:t>
            </w:r>
            <w:r>
              <w:rPr>
                <w:spacing w:val="-1"/>
                <w:sz w:val="20"/>
              </w:rPr>
              <w:t>為裝了固定式護罩就已足夠，缺乏對護罩「有效性」</w:t>
            </w:r>
            <w:r>
              <w:rPr>
                <w:sz w:val="20"/>
              </w:rPr>
              <w:t>的深入評估知識。這反映出安全管理的專業能力不</w:t>
            </w:r>
          </w:p>
          <w:p>
            <w:pPr>
              <w:pStyle w:val="TableParagraph"/>
              <w:spacing w:line="335" w:lineRule="exact"/>
              <w:jc w:val="both"/>
              <w:rPr>
                <w:sz w:val="20"/>
              </w:rPr>
            </w:pPr>
            <w:r>
              <w:rPr>
                <w:sz w:val="20"/>
              </w:rPr>
              <w:t>足，僅停留在滿足最低要求的層面。</w:t>
            </w:r>
          </w:p>
        </w:tc>
      </w:tr>
    </w:tbl>
    <w:p>
      <w:pPr>
        <w:pStyle w:val="BodyText"/>
        <w:spacing w:before="14"/>
        <w:rPr>
          <w:sz w:val="21"/>
        </w:rPr>
      </w:pPr>
      <w:r>
        <w:rPr/>
        <w:pict>
          <v:group style="position:absolute;margin-left:63.779999pt;margin-top:22.003584pt;width:467.85pt;height:1.5pt;mso-position-horizontal-relative:page;mso-position-vertical-relative:paragraph;z-index:-832;mso-wrap-distance-left:0;mso-wrap-distance-right:0" coordorigin="1276,440" coordsize="9357,30">
            <v:line style="position:absolute" from="1276,455" to="10632,455" stroked="true" strokeweight="1.5pt" strokecolor="#9f9f9f">
              <v:stroke dashstyle="solid"/>
            </v:line>
            <v:rect style="position:absolute;left:1275;top:440;width:5;height:5" filled="true" fillcolor="#9f9f9f" stroked="false">
              <v:fill type="solid"/>
            </v:rect>
            <v:rect style="position:absolute;left:1275;top:440;width:5;height:5" filled="true" fillcolor="#9f9f9f" stroked="false">
              <v:fill type="solid"/>
            </v:rect>
            <v:line style="position:absolute" from="1280,442" to="10627,442" stroked="true" strokeweight=".239pt" strokecolor="#9f9f9f">
              <v:stroke dashstyle="solid"/>
            </v:line>
            <v:rect style="position:absolute;left:10627;top:440;width:5;height:5" filled="true" fillcolor="#e2e2e2" stroked="false">
              <v:fill type="solid"/>
            </v:rect>
            <v:rect style="position:absolute;left:10627;top:440;width:5;height:5" filled="true" fillcolor="#9f9f9f" stroked="false">
              <v:fill type="solid"/>
            </v:rect>
            <v:rect style="position:absolute;left:1275;top:444;width:5;height:21" filled="true" fillcolor="#9f9f9f" stroked="false">
              <v:fill type="solid"/>
            </v:rect>
            <v:rect style="position:absolute;left:10627;top:444;width:5;height:21" filled="true" fillcolor="#e2e2e2" stroked="false">
              <v:fill type="solid"/>
            </v:rect>
            <v:rect style="position:absolute;left:1275;top:465;width:5;height:5" filled="true" fillcolor="#9f9f9f" stroked="false">
              <v:fill type="solid"/>
            </v:rect>
            <v:rect style="position:absolute;left:1275;top:465;width:5;height:5" filled="true" fillcolor="#e2e2e2" stroked="false">
              <v:fill type="solid"/>
            </v:rect>
            <v:line style="position:absolute" from="1280,468" to="10627,468" stroked="true" strokeweight=".239pt" strokecolor="#e2e2e2">
              <v:stroke dashstyle="solid"/>
            </v:line>
            <v:rect style="position:absolute;left:10627;top:465;width:5;height:5" filled="true" fillcolor="#e2e2e2" stroked="false">
              <v:fill type="solid"/>
            </v:rect>
            <v:rect style="position:absolute;left:10627;top:465;width:5;height:5" filled="true" fillcolor="#e2e2e2" stroked="false">
              <v:fill type="solid"/>
            </v:rect>
            <w10:wrap type="topAndBottom"/>
          </v:group>
        </w:pict>
      </w:r>
    </w:p>
    <w:p>
      <w:pPr>
        <w:pStyle w:val="Heading1"/>
        <w:spacing w:before="7"/>
      </w:pPr>
      <w:r>
        <w:rPr/>
        <w:t>七、根本原因分析與矯正改善措施</w:t>
      </w:r>
    </w:p>
    <w:p>
      <w:pPr>
        <w:pStyle w:val="BodyText"/>
        <w:spacing w:line="225" w:lineRule="auto" w:before="6"/>
        <w:ind w:left="475" w:right="228"/>
      </w:pPr>
      <w:r>
        <w:rPr/>
        <w:t>本章節匯總前述六項分析的結果，旨在明確事故的直接原因與根本原因，並依據控制階層理論，提出能有效防止災害再次發生的系統性改善建議。</w:t>
      </w:r>
    </w:p>
    <w:p>
      <w:pPr>
        <w:pStyle w:val="Heading1"/>
        <w:spacing w:line="409" w:lineRule="exact"/>
      </w:pPr>
      <w:r>
        <w:rPr>
          <w:rFonts w:ascii="Calibri" w:eastAsia="Calibri"/>
        </w:rPr>
        <w:t>(</w:t>
      </w:r>
      <w:r>
        <w:rPr/>
        <w:t>一</w:t>
      </w:r>
      <w:r>
        <w:rPr>
          <w:rFonts w:ascii="Calibri" w:eastAsia="Calibri"/>
        </w:rPr>
        <w:t>) </w:t>
      </w:r>
      <w:r>
        <w:rPr/>
        <w:t>立即原因</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b/>
          <w:sz w:val="24"/>
        </w:rPr>
      </w:pPr>
      <w:r>
        <w:rPr>
          <w:b/>
          <w:spacing w:val="8"/>
          <w:sz w:val="24"/>
        </w:rPr>
        <w:t>不安全的狀況 </w:t>
      </w:r>
      <w:r>
        <w:rPr>
          <w:rFonts w:ascii="Calibri" w:hAnsi="Calibri" w:eastAsia="Calibri"/>
          <w:b/>
          <w:sz w:val="24"/>
        </w:rPr>
        <w:t>(Unsafe Conditions):</w:t>
      </w:r>
    </w:p>
    <w:p>
      <w:pPr>
        <w:pStyle w:val="ListParagraph"/>
        <w:numPr>
          <w:ilvl w:val="1"/>
          <w:numId w:val="1"/>
        </w:numPr>
        <w:tabs>
          <w:tab w:pos="1556" w:val="left" w:leader="none"/>
        </w:tabs>
        <w:spacing w:line="415" w:lineRule="exact" w:before="0" w:after="0"/>
        <w:ind w:left="1555" w:right="0" w:hanging="360"/>
        <w:jc w:val="left"/>
        <w:rPr>
          <w:sz w:val="24"/>
        </w:rPr>
      </w:pPr>
      <w:r>
        <w:rPr>
          <w:sz w:val="24"/>
        </w:rPr>
        <w:t>圓盤鋸於待料</w:t>
      </w:r>
      <w:r>
        <w:rPr>
          <w:rFonts w:ascii="Calibri" w:eastAsia="Calibri"/>
          <w:sz w:val="24"/>
        </w:rPr>
        <w:t>(</w:t>
      </w:r>
      <w:r>
        <w:rPr>
          <w:sz w:val="24"/>
        </w:rPr>
        <w:t>非切割</w:t>
      </w:r>
      <w:r>
        <w:rPr>
          <w:rFonts w:ascii="Calibri" w:eastAsia="Calibri"/>
          <w:sz w:val="24"/>
        </w:rPr>
        <w:t>)</w:t>
      </w:r>
      <w:r>
        <w:rPr>
          <w:sz w:val="24"/>
        </w:rPr>
        <w:t>期間，鋸片仍處於高速運轉狀態。</w:t>
      </w:r>
    </w:p>
    <w:p>
      <w:pPr>
        <w:pStyle w:val="ListParagraph"/>
        <w:numPr>
          <w:ilvl w:val="1"/>
          <w:numId w:val="1"/>
        </w:numPr>
        <w:tabs>
          <w:tab w:pos="1556" w:val="left" w:leader="none"/>
        </w:tabs>
        <w:spacing w:line="415" w:lineRule="exact" w:before="0" w:after="0"/>
        <w:ind w:left="1555" w:right="0" w:hanging="360"/>
        <w:jc w:val="left"/>
        <w:rPr>
          <w:sz w:val="24"/>
        </w:rPr>
      </w:pPr>
      <w:r>
        <w:rPr>
          <w:sz w:val="24"/>
        </w:rPr>
        <w:t>待切物料放置於作業員右前方，其拿取路徑與運轉中的鋸片區域重疊。</w:t>
      </w:r>
    </w:p>
    <w:p>
      <w:pPr>
        <w:pStyle w:val="ListParagraph"/>
        <w:numPr>
          <w:ilvl w:val="1"/>
          <w:numId w:val="1"/>
        </w:numPr>
        <w:tabs>
          <w:tab w:pos="1556" w:val="left" w:leader="none"/>
        </w:tabs>
        <w:spacing w:line="415" w:lineRule="exact" w:before="0" w:after="0"/>
        <w:ind w:left="1555" w:right="0" w:hanging="360"/>
        <w:jc w:val="left"/>
        <w:rPr>
          <w:rFonts w:ascii="Calibri" w:eastAsia="Calibri"/>
          <w:sz w:val="24"/>
        </w:rPr>
      </w:pPr>
      <w:r>
        <w:rPr>
          <w:sz w:val="24"/>
        </w:rPr>
        <w:t>切管機的固定式護罩未能完全遮蔽鋸片，存在防護死角或開口過大。</w:t>
      </w:r>
      <w:r>
        <w:rPr>
          <w:rFonts w:ascii="Calibri" w:eastAsia="Calibri"/>
          <w:sz w:val="24"/>
        </w:rPr>
        <w:t>(</w:t>
      </w:r>
      <w:r>
        <w:rPr>
          <w:sz w:val="24"/>
        </w:rPr>
        <w:t>推斷</w:t>
      </w:r>
      <w:r>
        <w:rPr>
          <w:rFonts w:ascii="Calibri" w:eastAsia="Calibri"/>
          <w:sz w:val="24"/>
        </w:rPr>
        <w:t>)</w:t>
      </w:r>
    </w:p>
    <w:p>
      <w:pPr>
        <w:pStyle w:val="Heading1"/>
        <w:numPr>
          <w:ilvl w:val="0"/>
          <w:numId w:val="1"/>
        </w:numPr>
        <w:tabs>
          <w:tab w:pos="835" w:val="left" w:leader="none"/>
          <w:tab w:pos="836" w:val="left" w:leader="none"/>
        </w:tabs>
        <w:spacing w:line="415" w:lineRule="exact" w:before="0" w:after="0"/>
        <w:ind w:left="835" w:right="0" w:hanging="360"/>
        <w:jc w:val="left"/>
        <w:rPr>
          <w:rFonts w:ascii="Calibri" w:hAnsi="Calibri" w:eastAsia="Calibri"/>
        </w:rPr>
      </w:pPr>
      <w:r>
        <w:rPr>
          <w:spacing w:val="8"/>
        </w:rPr>
        <w:t>不安全的行為 </w:t>
      </w:r>
      <w:r>
        <w:rPr>
          <w:rFonts w:ascii="Calibri" w:hAnsi="Calibri" w:eastAsia="Calibri"/>
        </w:rPr>
        <w:t>(Unsafe Acts):</w:t>
      </w:r>
    </w:p>
    <w:p>
      <w:pPr>
        <w:pStyle w:val="ListParagraph"/>
        <w:numPr>
          <w:ilvl w:val="0"/>
          <w:numId w:val="7"/>
        </w:numPr>
        <w:tabs>
          <w:tab w:pos="1556" w:val="left" w:leader="none"/>
        </w:tabs>
        <w:spacing w:line="415" w:lineRule="exact" w:before="0" w:after="0"/>
        <w:ind w:left="1555" w:right="0" w:hanging="360"/>
        <w:jc w:val="left"/>
        <w:rPr>
          <w:sz w:val="24"/>
        </w:rPr>
      </w:pPr>
      <w:r>
        <w:rPr>
          <w:sz w:val="24"/>
        </w:rPr>
        <w:t>作業員彎腰並伸手跨越運轉中的圓盤鋸去拿取物料。</w:t>
      </w:r>
    </w:p>
    <w:p>
      <w:pPr>
        <w:pStyle w:val="ListParagraph"/>
        <w:numPr>
          <w:ilvl w:val="0"/>
          <w:numId w:val="7"/>
        </w:numPr>
        <w:tabs>
          <w:tab w:pos="1556" w:val="left" w:leader="none"/>
        </w:tabs>
        <w:spacing w:line="415" w:lineRule="exact" w:before="0" w:after="0"/>
        <w:ind w:left="1555" w:right="0" w:hanging="360"/>
        <w:jc w:val="left"/>
        <w:rPr>
          <w:rFonts w:ascii="Calibri" w:eastAsia="Calibri"/>
          <w:sz w:val="24"/>
        </w:rPr>
      </w:pPr>
      <w:r>
        <w:rPr>
          <w:sz w:val="24"/>
        </w:rPr>
        <w:t>穿著可能不合身或寬鬆的衣物在旋轉機械旁作業。</w:t>
      </w:r>
      <w:r>
        <w:rPr>
          <w:rFonts w:ascii="Calibri" w:eastAsia="Calibri"/>
          <w:sz w:val="24"/>
        </w:rPr>
        <w:t>(</w:t>
      </w:r>
      <w:r>
        <w:rPr>
          <w:sz w:val="24"/>
        </w:rPr>
        <w:t>推斷</w:t>
      </w:r>
      <w:r>
        <w:rPr>
          <w:rFonts w:ascii="Calibri" w:eastAsia="Calibri"/>
          <w:sz w:val="24"/>
        </w:rPr>
        <w:t>)</w:t>
      </w:r>
    </w:p>
    <w:p>
      <w:pPr>
        <w:pStyle w:val="Heading1"/>
      </w:pPr>
      <w:r>
        <w:rPr>
          <w:rFonts w:ascii="Calibri" w:eastAsia="Calibri"/>
        </w:rPr>
        <w:t>(</w:t>
      </w:r>
      <w:r>
        <w:rPr/>
        <w:t>二</w:t>
      </w:r>
      <w:r>
        <w:rPr>
          <w:rFonts w:ascii="Calibri" w:eastAsia="Calibri"/>
        </w:rPr>
        <w:t>) </w:t>
      </w:r>
      <w:r>
        <w:rPr/>
        <w:t>根本原因</w:t>
      </w:r>
    </w:p>
    <w:p>
      <w:pPr>
        <w:spacing w:after="0"/>
        <w:sectPr>
          <w:pgSz w:w="11910" w:h="16840"/>
          <w:pgMar w:top="1420" w:bottom="280" w:left="1160" w:right="1160"/>
        </w:sectPr>
      </w:pPr>
    </w:p>
    <w:p>
      <w:pPr>
        <w:pStyle w:val="ListParagraph"/>
        <w:numPr>
          <w:ilvl w:val="0"/>
          <w:numId w:val="8"/>
        </w:numPr>
        <w:tabs>
          <w:tab w:pos="836" w:val="left" w:leader="none"/>
        </w:tabs>
        <w:spacing w:line="225" w:lineRule="auto" w:before="47" w:after="0"/>
        <w:ind w:left="835" w:right="228" w:hanging="360"/>
        <w:jc w:val="left"/>
        <w:rPr>
          <w:sz w:val="24"/>
        </w:rPr>
      </w:pPr>
      <w:r>
        <w:rPr>
          <w:b/>
          <w:sz w:val="24"/>
        </w:rPr>
        <w:t>作業流程與工作地佈置的規劃失敗： </w:t>
      </w:r>
      <w:r>
        <w:rPr>
          <w:spacing w:val="-1"/>
          <w:sz w:val="24"/>
        </w:rPr>
        <w:t>這是本次事故最核心的根本原因。將物料放</w:t>
      </w:r>
      <w:r>
        <w:rPr>
          <w:sz w:val="24"/>
        </w:rPr>
        <w:t>置在會迫使人員暴露於危害下的位置，是源頭設計上的重大缺陷。管理階層完全沒有從「人因工程」與「安全動線」的角度來規劃作業環境。</w:t>
      </w:r>
    </w:p>
    <w:p>
      <w:pPr>
        <w:pStyle w:val="ListParagraph"/>
        <w:numPr>
          <w:ilvl w:val="0"/>
          <w:numId w:val="8"/>
        </w:numPr>
        <w:tabs>
          <w:tab w:pos="836" w:val="left" w:leader="none"/>
        </w:tabs>
        <w:spacing w:line="225" w:lineRule="auto" w:before="1" w:after="0"/>
        <w:ind w:left="835" w:right="228" w:hanging="360"/>
        <w:jc w:val="left"/>
        <w:rPr>
          <w:sz w:val="24"/>
        </w:rPr>
      </w:pPr>
      <w:r>
        <w:rPr>
          <w:b/>
          <w:sz w:val="24"/>
        </w:rPr>
        <w:t>設備安全防護的本質性缺陷： </w:t>
      </w:r>
      <w:r>
        <w:rPr>
          <w:spacing w:val="-1"/>
          <w:sz w:val="24"/>
        </w:rPr>
        <w:t>選用或安裝的「固定式護罩」無法應對實際作業中</w:t>
      </w:r>
      <w:r>
        <w:rPr>
          <w:sz w:val="24"/>
        </w:rPr>
        <w:t>人員可能的活動範圍，其防護是無效的。這顯示在設備採購或設置時，缺乏對其安全性能的有效性評估。</w:t>
      </w:r>
    </w:p>
    <w:p>
      <w:pPr>
        <w:pStyle w:val="ListParagraph"/>
        <w:numPr>
          <w:ilvl w:val="0"/>
          <w:numId w:val="8"/>
        </w:numPr>
        <w:tabs>
          <w:tab w:pos="836" w:val="left" w:leader="none"/>
        </w:tabs>
        <w:spacing w:line="409" w:lineRule="exact" w:before="0" w:after="0"/>
        <w:ind w:left="835" w:right="0" w:hanging="360"/>
        <w:jc w:val="left"/>
        <w:rPr>
          <w:sz w:val="24"/>
        </w:rPr>
      </w:pPr>
      <w:r>
        <w:rPr>
          <w:b/>
          <w:spacing w:val="3"/>
          <w:sz w:val="24"/>
        </w:rPr>
        <w:t>安全作業程序的闕如與執行不力： </w:t>
      </w:r>
      <w:r>
        <w:rPr>
          <w:sz w:val="24"/>
        </w:rPr>
        <w:t>公司未建立針對此項作業的 </w:t>
      </w:r>
      <w:r>
        <w:rPr>
          <w:rFonts w:ascii="Calibri" w:eastAsia="Calibri"/>
          <w:sz w:val="24"/>
        </w:rPr>
        <w:t>SOP</w:t>
      </w:r>
      <w:r>
        <w:rPr>
          <w:sz w:val="24"/>
        </w:rPr>
        <w:t>，特別是缺乏</w:t>
      </w:r>
    </w:p>
    <w:p>
      <w:pPr>
        <w:pStyle w:val="BodyText"/>
        <w:spacing w:line="225" w:lineRule="auto" w:before="6"/>
        <w:ind w:left="835" w:right="256"/>
      </w:pPr>
      <w:r>
        <w:rPr/>
        <w:t>「取</w:t>
      </w:r>
      <w:r>
        <w:rPr>
          <w:rFonts w:ascii="Calibri" w:eastAsia="Calibri"/>
        </w:rPr>
        <w:t>/</w:t>
      </w:r>
      <w:r>
        <w:rPr/>
        <w:t>放料前應停機」、「禁止身體跨越機台」等關鍵安全規定。即使有，也顯然未落實到現場作業與監督。</w:t>
      </w:r>
    </w:p>
    <w:p>
      <w:pPr>
        <w:pStyle w:val="ListParagraph"/>
        <w:numPr>
          <w:ilvl w:val="0"/>
          <w:numId w:val="8"/>
        </w:numPr>
        <w:tabs>
          <w:tab w:pos="836" w:val="left" w:leader="none"/>
        </w:tabs>
        <w:spacing w:line="225" w:lineRule="auto" w:before="1" w:after="0"/>
        <w:ind w:left="835" w:right="228" w:hanging="360"/>
        <w:jc w:val="left"/>
        <w:rPr>
          <w:sz w:val="24"/>
        </w:rPr>
      </w:pPr>
      <w:r>
        <w:rPr>
          <w:b/>
          <w:sz w:val="24"/>
        </w:rPr>
        <w:t>危害辨識與風險評估不足： </w:t>
      </w:r>
      <w:r>
        <w:rPr>
          <w:spacing w:val="-1"/>
          <w:sz w:val="24"/>
        </w:rPr>
        <w:t>管理階層未能辨識出「不當的物料擺放」與「持續運</w:t>
      </w:r>
      <w:r>
        <w:rPr>
          <w:sz w:val="24"/>
        </w:rPr>
        <w:t>轉的機器」組合下，會產生致命的捲夾與切割風險，顯示其風險評估未能涵蓋完整的作業週期。</w:t>
      </w:r>
    </w:p>
    <w:p>
      <w:pPr>
        <w:pStyle w:val="Heading1"/>
        <w:spacing w:line="410" w:lineRule="exact"/>
      </w:pPr>
      <w:r>
        <w:rPr>
          <w:rFonts w:ascii="Calibri" w:eastAsia="Calibri"/>
        </w:rPr>
        <w:t>(</w:t>
      </w:r>
      <w:r>
        <w:rPr/>
        <w:t>三</w:t>
      </w:r>
      <w:r>
        <w:rPr>
          <w:rFonts w:ascii="Calibri" w:eastAsia="Calibri"/>
        </w:rPr>
        <w:t>) </w:t>
      </w:r>
      <w:r>
        <w:rPr/>
        <w:t>矯正改善措施建議</w:t>
      </w:r>
    </w:p>
    <w:p>
      <w:pPr>
        <w:pStyle w:val="ListParagraph"/>
        <w:numPr>
          <w:ilvl w:val="0"/>
          <w:numId w:val="1"/>
        </w:numPr>
        <w:tabs>
          <w:tab w:pos="835" w:val="left" w:leader="none"/>
          <w:tab w:pos="836" w:val="left" w:leader="none"/>
        </w:tabs>
        <w:spacing w:line="225" w:lineRule="auto" w:before="6" w:after="0"/>
        <w:ind w:left="835" w:right="322" w:hanging="360"/>
        <w:jc w:val="left"/>
        <w:rPr>
          <w:sz w:val="24"/>
        </w:rPr>
      </w:pPr>
      <w:r>
        <w:rPr>
          <w:sz w:val="24"/>
        </w:rPr>
        <w:t>依據風險控制階層 </w:t>
      </w:r>
      <w:r>
        <w:rPr>
          <w:rFonts w:ascii="Calibri" w:hAnsi="Calibri" w:eastAsia="Calibri"/>
          <w:sz w:val="24"/>
        </w:rPr>
        <w:t>(</w:t>
      </w:r>
      <w:r>
        <w:rPr>
          <w:sz w:val="24"/>
        </w:rPr>
        <w:t>消除 </w:t>
      </w:r>
      <w:r>
        <w:rPr>
          <w:rFonts w:ascii="Calibri" w:hAnsi="Calibri" w:eastAsia="Calibri"/>
          <w:spacing w:val="5"/>
          <w:sz w:val="24"/>
        </w:rPr>
        <w:t>&gt; </w:t>
      </w:r>
      <w:r>
        <w:rPr>
          <w:sz w:val="24"/>
        </w:rPr>
        <w:t>取代  </w:t>
      </w:r>
      <w:r>
        <w:rPr>
          <w:rFonts w:ascii="Calibri" w:hAnsi="Calibri" w:eastAsia="Calibri"/>
          <w:spacing w:val="3"/>
          <w:sz w:val="24"/>
        </w:rPr>
        <w:t>&gt;  </w:t>
      </w:r>
      <w:r>
        <w:rPr>
          <w:sz w:val="24"/>
        </w:rPr>
        <w:t>工程控制  </w:t>
      </w:r>
      <w:r>
        <w:rPr>
          <w:rFonts w:ascii="Calibri" w:hAnsi="Calibri" w:eastAsia="Calibri"/>
          <w:spacing w:val="3"/>
          <w:sz w:val="24"/>
        </w:rPr>
        <w:t>&gt;  </w:t>
      </w:r>
      <w:r>
        <w:rPr>
          <w:sz w:val="24"/>
        </w:rPr>
        <w:t>管理控制  </w:t>
      </w:r>
      <w:r>
        <w:rPr>
          <w:rFonts w:ascii="Calibri" w:hAnsi="Calibri" w:eastAsia="Calibri"/>
          <w:spacing w:val="3"/>
          <w:sz w:val="24"/>
        </w:rPr>
        <w:t>&gt;  </w:t>
      </w:r>
      <w:r>
        <w:rPr>
          <w:sz w:val="24"/>
        </w:rPr>
        <w:t>個人防護具</w:t>
      </w:r>
      <w:r>
        <w:rPr>
          <w:rFonts w:ascii="Calibri" w:hAnsi="Calibri" w:eastAsia="Calibri"/>
          <w:sz w:val="24"/>
        </w:rPr>
        <w:t>)</w:t>
      </w:r>
      <w:r>
        <w:rPr>
          <w:spacing w:val="-5"/>
          <w:sz w:val="24"/>
        </w:rPr>
        <w:t>，提出</w:t>
      </w:r>
      <w:r>
        <w:rPr>
          <w:sz w:val="24"/>
        </w:rPr>
        <w:t>以下矯正措施：</w:t>
      </w:r>
    </w:p>
    <w:p>
      <w:pPr>
        <w:pStyle w:val="Heading1"/>
        <w:numPr>
          <w:ilvl w:val="0"/>
          <w:numId w:val="1"/>
        </w:numPr>
        <w:tabs>
          <w:tab w:pos="835" w:val="left" w:leader="none"/>
          <w:tab w:pos="836" w:val="left" w:leader="none"/>
        </w:tabs>
        <w:spacing w:line="409" w:lineRule="exact" w:before="0" w:after="0"/>
        <w:ind w:left="835" w:right="0" w:hanging="360"/>
        <w:jc w:val="left"/>
      </w:pPr>
      <w:r>
        <w:rPr/>
        <w:t>消除</w:t>
      </w:r>
      <w:r>
        <w:rPr>
          <w:rFonts w:ascii="Calibri" w:hAnsi="Calibri" w:eastAsia="Calibri"/>
        </w:rPr>
        <w:t>/</w:t>
      </w:r>
      <w:r>
        <w:rPr>
          <w:spacing w:val="8"/>
        </w:rPr>
        <w:t>工程控制層面 </w:t>
      </w:r>
      <w:r>
        <w:rPr>
          <w:rFonts w:ascii="Calibri" w:hAnsi="Calibri" w:eastAsia="Calibri"/>
        </w:rPr>
        <w:t>(</w:t>
      </w:r>
      <w:r>
        <w:rPr/>
        <w:t>最優先</w:t>
      </w:r>
      <w:r>
        <w:rPr>
          <w:rFonts w:ascii="Calibri" w:hAnsi="Calibri" w:eastAsia="Calibri"/>
        </w:rPr>
        <w:t>)</w:t>
      </w:r>
      <w:r>
        <w:rPr/>
        <w:t>：</w:t>
      </w:r>
    </w:p>
    <w:p>
      <w:pPr>
        <w:pStyle w:val="ListParagraph"/>
        <w:numPr>
          <w:ilvl w:val="1"/>
          <w:numId w:val="8"/>
        </w:numPr>
        <w:tabs>
          <w:tab w:pos="1556" w:val="left" w:leader="none"/>
        </w:tabs>
        <w:spacing w:line="225" w:lineRule="auto" w:before="6" w:after="0"/>
        <w:ind w:left="1555" w:right="348" w:hanging="360"/>
        <w:jc w:val="both"/>
        <w:rPr>
          <w:sz w:val="24"/>
        </w:rPr>
      </w:pPr>
      <w:r>
        <w:rPr>
          <w:b/>
          <w:spacing w:val="3"/>
          <w:sz w:val="24"/>
        </w:rPr>
        <w:t>立即重新規劃作業動線與物料配置 </w:t>
      </w:r>
      <w:r>
        <w:rPr>
          <w:rFonts w:ascii="Calibri" w:eastAsia="Calibri"/>
          <w:b/>
          <w:sz w:val="24"/>
        </w:rPr>
        <w:t>(</w:t>
      </w:r>
      <w:r>
        <w:rPr>
          <w:b/>
          <w:sz w:val="24"/>
        </w:rPr>
        <w:t>消除危害暴露</w:t>
      </w:r>
      <w:r>
        <w:rPr>
          <w:rFonts w:ascii="Calibri" w:eastAsia="Calibri"/>
          <w:b/>
          <w:sz w:val="24"/>
        </w:rPr>
        <w:t>)</w:t>
      </w:r>
      <w:r>
        <w:rPr>
          <w:b/>
          <w:spacing w:val="29"/>
          <w:sz w:val="24"/>
        </w:rPr>
        <w:t>： </w:t>
      </w:r>
      <w:r>
        <w:rPr>
          <w:sz w:val="24"/>
        </w:rPr>
        <w:t>重新設計工作站佈局，將待切物料架、成品架等，全數規劃於作業員</w:t>
      </w:r>
      <w:r>
        <w:rPr>
          <w:b/>
          <w:spacing w:val="-2"/>
          <w:sz w:val="24"/>
        </w:rPr>
        <w:t>無需轉身、彎腰或跨越</w:t>
      </w:r>
      <w:r>
        <w:rPr>
          <w:b/>
          <w:sz w:val="24"/>
        </w:rPr>
        <w:t>機台</w:t>
      </w:r>
      <w:r>
        <w:rPr>
          <w:sz w:val="24"/>
        </w:rPr>
        <w:t>即可安全拿取的位置。這是最根本、最有效的改善措施。</w:t>
      </w:r>
    </w:p>
    <w:p>
      <w:pPr>
        <w:pStyle w:val="ListParagraph"/>
        <w:numPr>
          <w:ilvl w:val="1"/>
          <w:numId w:val="8"/>
        </w:numPr>
        <w:tabs>
          <w:tab w:pos="1556" w:val="left" w:leader="none"/>
        </w:tabs>
        <w:spacing w:line="225" w:lineRule="auto" w:before="1" w:after="0"/>
        <w:ind w:left="1555" w:right="228" w:hanging="360"/>
        <w:jc w:val="left"/>
        <w:rPr>
          <w:sz w:val="24"/>
        </w:rPr>
      </w:pPr>
      <w:r>
        <w:rPr>
          <w:b/>
          <w:sz w:val="24"/>
        </w:rPr>
        <w:t>改善機台安全護罩： </w:t>
      </w:r>
      <w:r>
        <w:rPr>
          <w:sz w:val="24"/>
        </w:rPr>
        <w:t>將現有的固定式護罩，改為與切割動作連鎖的「</w:t>
      </w:r>
      <w:r>
        <w:rPr>
          <w:b/>
          <w:spacing w:val="-8"/>
          <w:sz w:val="24"/>
        </w:rPr>
        <w:t>自閉</w:t>
      </w:r>
      <w:r>
        <w:rPr>
          <w:b/>
          <w:sz w:val="24"/>
        </w:rPr>
        <w:t>式或隨動式護罩</w:t>
      </w:r>
      <w:r>
        <w:rPr>
          <w:sz w:val="24"/>
        </w:rPr>
        <w:t>」，確保鋸片在非切割狀態下，大部分都被遮蔽，大幅縮小危害暴露區域。</w:t>
      </w:r>
    </w:p>
    <w:p>
      <w:pPr>
        <w:pStyle w:val="ListParagraph"/>
        <w:numPr>
          <w:ilvl w:val="1"/>
          <w:numId w:val="8"/>
        </w:numPr>
        <w:tabs>
          <w:tab w:pos="1556" w:val="left" w:leader="none"/>
        </w:tabs>
        <w:spacing w:line="225" w:lineRule="auto" w:before="1" w:after="0"/>
        <w:ind w:left="1555" w:right="228" w:hanging="360"/>
        <w:jc w:val="left"/>
        <w:rPr>
          <w:sz w:val="24"/>
        </w:rPr>
      </w:pPr>
      <w:r>
        <w:rPr>
          <w:b/>
          <w:sz w:val="24"/>
        </w:rPr>
        <w:t>增設安全連鎖裝置： </w:t>
      </w:r>
      <w:r>
        <w:rPr>
          <w:spacing w:val="-1"/>
          <w:sz w:val="24"/>
        </w:rPr>
        <w:t>評估加裝「雙手啟動裝置」或「安全光柵」，要求在</w:t>
      </w:r>
      <w:r>
        <w:rPr>
          <w:sz w:val="24"/>
        </w:rPr>
        <w:t>切割時，作業員雙手必須在安全區內，徹底防止手部或身體靠近鋸片。</w:t>
      </w:r>
    </w:p>
    <w:p>
      <w:pPr>
        <w:pStyle w:val="Heading1"/>
        <w:numPr>
          <w:ilvl w:val="0"/>
          <w:numId w:val="1"/>
        </w:numPr>
        <w:tabs>
          <w:tab w:pos="835" w:val="left" w:leader="none"/>
          <w:tab w:pos="836" w:val="left" w:leader="none"/>
        </w:tabs>
        <w:spacing w:line="409" w:lineRule="exact" w:before="0" w:after="0"/>
        <w:ind w:left="835" w:right="0" w:hanging="360"/>
        <w:jc w:val="left"/>
      </w:pPr>
      <w:r>
        <w:rPr/>
        <w:t>制度</w:t>
      </w:r>
      <w:r>
        <w:rPr>
          <w:rFonts w:ascii="Calibri" w:hAnsi="Calibri" w:eastAsia="Calibri"/>
        </w:rPr>
        <w:t>/</w:t>
      </w:r>
      <w:r>
        <w:rPr/>
        <w:t>管理層面：</w:t>
      </w:r>
    </w:p>
    <w:p>
      <w:pPr>
        <w:pStyle w:val="ListParagraph"/>
        <w:numPr>
          <w:ilvl w:val="0"/>
          <w:numId w:val="9"/>
        </w:numPr>
        <w:tabs>
          <w:tab w:pos="1556" w:val="left" w:leader="none"/>
        </w:tabs>
        <w:spacing w:line="225" w:lineRule="auto" w:before="6" w:after="0"/>
        <w:ind w:left="1555" w:right="182" w:hanging="360"/>
        <w:jc w:val="both"/>
        <w:rPr>
          <w:sz w:val="24"/>
        </w:rPr>
      </w:pPr>
      <w:r>
        <w:rPr>
          <w:b/>
          <w:sz w:val="24"/>
        </w:rPr>
        <w:t>建立並嚴格執行「切割機安全作業標準</w:t>
      </w:r>
      <w:r>
        <w:rPr>
          <w:rFonts w:ascii="Calibri" w:eastAsia="Calibri"/>
          <w:b/>
          <w:sz w:val="24"/>
        </w:rPr>
        <w:t>(SOP)</w:t>
      </w:r>
      <w:r>
        <w:rPr>
          <w:b/>
          <w:spacing w:val="19"/>
          <w:sz w:val="24"/>
        </w:rPr>
        <w:t>」： </w:t>
      </w:r>
      <w:r>
        <w:rPr>
          <w:rFonts w:ascii="Calibri" w:eastAsia="Calibri"/>
          <w:sz w:val="24"/>
        </w:rPr>
        <w:t>SOP</w:t>
      </w:r>
      <w:r>
        <w:rPr>
          <w:rFonts w:ascii="Calibri" w:eastAsia="Calibri"/>
          <w:spacing w:val="5"/>
          <w:sz w:val="24"/>
        </w:rPr>
        <w:t> </w:t>
      </w:r>
      <w:r>
        <w:rPr>
          <w:spacing w:val="-2"/>
          <w:sz w:val="24"/>
        </w:rPr>
        <w:t>應圖文並茂，明確規</w:t>
      </w:r>
      <w:r>
        <w:rPr>
          <w:sz w:val="24"/>
        </w:rPr>
        <w:t>範物料如何放置、取料前是否需停機、切割時的正確姿勢、禁止事項</w:t>
      </w:r>
      <w:r>
        <w:rPr>
          <w:rFonts w:ascii="Calibri" w:eastAsia="Calibri"/>
          <w:sz w:val="24"/>
        </w:rPr>
        <w:t>(</w:t>
      </w:r>
      <w:r>
        <w:rPr>
          <w:sz w:val="24"/>
        </w:rPr>
        <w:t>如跨越機台</w:t>
      </w:r>
      <w:r>
        <w:rPr>
          <w:rFonts w:ascii="Calibri" w:eastAsia="Calibri"/>
          <w:sz w:val="24"/>
        </w:rPr>
        <w:t>)</w:t>
      </w:r>
      <w:r>
        <w:rPr>
          <w:sz w:val="24"/>
        </w:rPr>
        <w:t>，並翻譯成移工熟悉的母語。</w:t>
      </w:r>
    </w:p>
    <w:p>
      <w:pPr>
        <w:pStyle w:val="ListParagraph"/>
        <w:numPr>
          <w:ilvl w:val="0"/>
          <w:numId w:val="9"/>
        </w:numPr>
        <w:tabs>
          <w:tab w:pos="1556" w:val="left" w:leader="none"/>
        </w:tabs>
        <w:spacing w:line="225" w:lineRule="auto" w:before="2" w:after="0"/>
        <w:ind w:left="1555" w:right="228" w:hanging="360"/>
        <w:jc w:val="left"/>
        <w:rPr>
          <w:sz w:val="24"/>
        </w:rPr>
      </w:pPr>
      <w:r>
        <w:rPr>
          <w:b/>
          <w:sz w:val="24"/>
        </w:rPr>
        <w:t>強制落實作業前設備檢點： </w:t>
      </w:r>
      <w:r>
        <w:rPr>
          <w:spacing w:val="-1"/>
          <w:sz w:val="24"/>
        </w:rPr>
        <w:t>規定每日開機前，必須由作業員及主管雙重確</w:t>
      </w:r>
      <w:r>
        <w:rPr>
          <w:sz w:val="24"/>
        </w:rPr>
        <w:t>認安全護罩、緊急停止按鈕等裝置功能正常，並留下書面紀錄。</w:t>
      </w:r>
    </w:p>
    <w:p>
      <w:pPr>
        <w:pStyle w:val="ListParagraph"/>
        <w:numPr>
          <w:ilvl w:val="0"/>
          <w:numId w:val="9"/>
        </w:numPr>
        <w:tabs>
          <w:tab w:pos="1556" w:val="left" w:leader="none"/>
        </w:tabs>
        <w:spacing w:line="225" w:lineRule="auto" w:before="0" w:after="0"/>
        <w:ind w:left="1555" w:right="155" w:hanging="360"/>
        <w:jc w:val="left"/>
        <w:rPr>
          <w:sz w:val="24"/>
        </w:rPr>
      </w:pPr>
      <w:r>
        <w:rPr>
          <w:b/>
          <w:sz w:val="24"/>
        </w:rPr>
        <w:t>將本次事故納入教育訓練： </w:t>
      </w:r>
      <w:r>
        <w:rPr>
          <w:sz w:val="24"/>
        </w:rPr>
        <w:t>立即將此案例製作成教材，對全體相關人員</w:t>
      </w:r>
      <w:r>
        <w:rPr>
          <w:rFonts w:ascii="Calibri" w:eastAsia="Calibri"/>
          <w:sz w:val="24"/>
        </w:rPr>
        <w:t>(</w:t>
      </w:r>
      <w:r>
        <w:rPr>
          <w:spacing w:val="-16"/>
          <w:sz w:val="24"/>
        </w:rPr>
        <w:t>含</w:t>
      </w:r>
      <w:r>
        <w:rPr>
          <w:sz w:val="24"/>
        </w:rPr>
        <w:t>本國籍與外國籍勞工</w:t>
      </w:r>
      <w:r>
        <w:rPr>
          <w:rFonts w:ascii="Calibri" w:eastAsia="Calibri"/>
          <w:sz w:val="24"/>
        </w:rPr>
        <w:t>)</w:t>
      </w:r>
      <w:r>
        <w:rPr>
          <w:sz w:val="24"/>
        </w:rPr>
        <w:t>進行再訓練，強調不安全動作的致命性。</w:t>
      </w:r>
    </w:p>
    <w:p>
      <w:pPr>
        <w:pStyle w:val="Heading1"/>
        <w:numPr>
          <w:ilvl w:val="0"/>
          <w:numId w:val="1"/>
        </w:numPr>
        <w:tabs>
          <w:tab w:pos="835" w:val="left" w:leader="none"/>
          <w:tab w:pos="836" w:val="left" w:leader="none"/>
        </w:tabs>
        <w:spacing w:line="423" w:lineRule="exact" w:before="0" w:after="0"/>
        <w:ind w:left="835" w:right="0" w:hanging="360"/>
        <w:jc w:val="left"/>
      </w:pPr>
      <w:r>
        <w:rPr/>
        <w:t>人員層面：</w:t>
      </w:r>
    </w:p>
    <w:p>
      <w:pPr>
        <w:spacing w:after="0" w:line="423" w:lineRule="exact"/>
        <w:jc w:val="left"/>
        <w:sectPr>
          <w:pgSz w:w="11910" w:h="16840"/>
          <w:pgMar w:top="1380" w:bottom="280" w:left="1160" w:right="1160"/>
        </w:sectPr>
      </w:pPr>
    </w:p>
    <w:p>
      <w:pPr>
        <w:spacing w:line="225" w:lineRule="auto" w:before="47"/>
        <w:ind w:left="1555" w:right="228" w:hanging="360"/>
        <w:jc w:val="left"/>
        <w:rPr>
          <w:sz w:val="24"/>
        </w:rPr>
      </w:pPr>
      <w:r>
        <w:rPr>
          <w:rFonts w:ascii="Calibri" w:eastAsia="Calibri"/>
          <w:sz w:val="24"/>
        </w:rPr>
        <w:t>1. </w:t>
      </w:r>
      <w:r>
        <w:rPr>
          <w:b/>
          <w:sz w:val="24"/>
        </w:rPr>
        <w:t>嚴格執行工作服穿著規定：  </w:t>
      </w:r>
      <w:r>
        <w:rPr>
          <w:sz w:val="24"/>
        </w:rPr>
        <w:t>要求在操作旋轉機具時，必須穿著合身的工作服，並將袖口、衣襬束緊，現場主管需負責監督檢查。</w:t>
      </w:r>
    </w:p>
    <w:sectPr>
      <w:pgSz w:w="11910" w:h="16840"/>
      <w:pgMar w:top="138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egoe UI">
    <w:altName w:val="Segoe UI"/>
    <w:charset w:val="0"/>
    <w:family w:val="swiss"/>
    <w:pitch w:val="variable"/>
  </w:font>
  <w:font w:name="微軟正黑體">
    <w:altName w:val="微軟正黑體"/>
    <w:charset w:val="88"/>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555" w:hanging="360"/>
        <w:jc w:val="left"/>
      </w:pPr>
      <w:rPr>
        <w:rFonts w:hint="default" w:ascii="Calibri" w:hAnsi="Calibri" w:eastAsia="Calibri" w:cs="Calibri"/>
        <w:spacing w:val="-13"/>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7">
    <w:multiLevelType w:val="hybridMultilevel"/>
    <w:lvl w:ilvl="0">
      <w:start w:val="1"/>
      <w:numFmt w:val="decimal"/>
      <w:lvlText w:val="%1."/>
      <w:lvlJc w:val="left"/>
      <w:pPr>
        <w:ind w:left="835" w:hanging="360"/>
        <w:jc w:val="left"/>
      </w:pPr>
      <w:rPr>
        <w:rFonts w:hint="default" w:ascii="Calibri" w:hAnsi="Calibri" w:eastAsia="Calibri" w:cs="Calibri"/>
        <w:spacing w:val="-16"/>
        <w:w w:val="100"/>
        <w:sz w:val="24"/>
        <w:szCs w:val="24"/>
      </w:rPr>
    </w:lvl>
    <w:lvl w:ilvl="1">
      <w:start w:val="1"/>
      <w:numFmt w:val="decimal"/>
      <w:lvlText w:val="%2."/>
      <w:lvlJc w:val="left"/>
      <w:pPr>
        <w:ind w:left="1555" w:hanging="360"/>
        <w:jc w:val="left"/>
      </w:pPr>
      <w:rPr>
        <w:rFonts w:hint="default" w:ascii="Calibri" w:hAnsi="Calibri" w:eastAsia="Calibri" w:cs="Calibri"/>
        <w:spacing w:val="-17"/>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abstractNum w:abstractNumId="6">
    <w:multiLevelType w:val="hybridMultilevel"/>
    <w:lvl w:ilvl="0">
      <w:start w:val="1"/>
      <w:numFmt w:val="decimal"/>
      <w:lvlText w:val="%1."/>
      <w:lvlJc w:val="left"/>
      <w:pPr>
        <w:ind w:left="1555" w:hanging="360"/>
        <w:jc w:val="left"/>
      </w:pPr>
      <w:rPr>
        <w:rFonts w:hint="default" w:ascii="Calibri" w:hAnsi="Calibri" w:eastAsia="Calibri" w:cs="Calibri"/>
        <w:spacing w:val="-1"/>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5">
    <w:multiLevelType w:val="hybridMultilevel"/>
    <w:lvl w:ilvl="0">
      <w:start w:val="1"/>
      <w:numFmt w:val="decimal"/>
      <w:lvlText w:val="%1."/>
      <w:lvlJc w:val="left"/>
      <w:pPr>
        <w:ind w:left="107" w:hanging="269"/>
        <w:jc w:val="left"/>
      </w:pPr>
      <w:rPr>
        <w:rFonts w:hint="default" w:ascii="Segoe UI" w:hAnsi="Segoe UI" w:eastAsia="Segoe UI" w:cs="Segoe UI"/>
        <w:b/>
        <w:bCs/>
        <w:spacing w:val="-1"/>
        <w:w w:val="100"/>
        <w:sz w:val="20"/>
        <w:szCs w:val="20"/>
      </w:rPr>
    </w:lvl>
    <w:lvl w:ilvl="1">
      <w:start w:val="0"/>
      <w:numFmt w:val="bullet"/>
      <w:lvlText w:val="•"/>
      <w:lvlJc w:val="left"/>
      <w:pPr>
        <w:ind w:left="577" w:hanging="269"/>
      </w:pPr>
      <w:rPr>
        <w:rFonts w:hint="default"/>
      </w:rPr>
    </w:lvl>
    <w:lvl w:ilvl="2">
      <w:start w:val="0"/>
      <w:numFmt w:val="bullet"/>
      <w:lvlText w:val="•"/>
      <w:lvlJc w:val="left"/>
      <w:pPr>
        <w:ind w:left="1055" w:hanging="269"/>
      </w:pPr>
      <w:rPr>
        <w:rFonts w:hint="default"/>
      </w:rPr>
    </w:lvl>
    <w:lvl w:ilvl="3">
      <w:start w:val="0"/>
      <w:numFmt w:val="bullet"/>
      <w:lvlText w:val="•"/>
      <w:lvlJc w:val="left"/>
      <w:pPr>
        <w:ind w:left="1532" w:hanging="269"/>
      </w:pPr>
      <w:rPr>
        <w:rFonts w:hint="default"/>
      </w:rPr>
    </w:lvl>
    <w:lvl w:ilvl="4">
      <w:start w:val="0"/>
      <w:numFmt w:val="bullet"/>
      <w:lvlText w:val="•"/>
      <w:lvlJc w:val="left"/>
      <w:pPr>
        <w:ind w:left="2010" w:hanging="269"/>
      </w:pPr>
      <w:rPr>
        <w:rFonts w:hint="default"/>
      </w:rPr>
    </w:lvl>
    <w:lvl w:ilvl="5">
      <w:start w:val="0"/>
      <w:numFmt w:val="bullet"/>
      <w:lvlText w:val="•"/>
      <w:lvlJc w:val="left"/>
      <w:pPr>
        <w:ind w:left="2488" w:hanging="269"/>
      </w:pPr>
      <w:rPr>
        <w:rFonts w:hint="default"/>
      </w:rPr>
    </w:lvl>
    <w:lvl w:ilvl="6">
      <w:start w:val="0"/>
      <w:numFmt w:val="bullet"/>
      <w:lvlText w:val="•"/>
      <w:lvlJc w:val="left"/>
      <w:pPr>
        <w:ind w:left="2965" w:hanging="269"/>
      </w:pPr>
      <w:rPr>
        <w:rFonts w:hint="default"/>
      </w:rPr>
    </w:lvl>
    <w:lvl w:ilvl="7">
      <w:start w:val="0"/>
      <w:numFmt w:val="bullet"/>
      <w:lvlText w:val="•"/>
      <w:lvlJc w:val="left"/>
      <w:pPr>
        <w:ind w:left="3443" w:hanging="269"/>
      </w:pPr>
      <w:rPr>
        <w:rFonts w:hint="default"/>
      </w:rPr>
    </w:lvl>
    <w:lvl w:ilvl="8">
      <w:start w:val="0"/>
      <w:numFmt w:val="bullet"/>
      <w:lvlText w:val="•"/>
      <w:lvlJc w:val="left"/>
      <w:pPr>
        <w:ind w:left="3920" w:hanging="269"/>
      </w:pPr>
      <w:rPr>
        <w:rFonts w:hint="default"/>
      </w:rPr>
    </w:lvl>
  </w:abstractNum>
  <w:abstractNum w:abstractNumId="4">
    <w:multiLevelType w:val="hybridMultilevel"/>
    <w:lvl w:ilvl="0">
      <w:start w:val="1"/>
      <w:numFmt w:val="decimal"/>
      <w:lvlText w:val="%1."/>
      <w:lvlJc w:val="left"/>
      <w:pPr>
        <w:ind w:left="107" w:hanging="269"/>
        <w:jc w:val="left"/>
      </w:pPr>
      <w:rPr>
        <w:rFonts w:hint="default" w:ascii="Segoe UI" w:hAnsi="Segoe UI" w:eastAsia="Segoe UI" w:cs="Segoe UI"/>
        <w:b/>
        <w:bCs/>
        <w:spacing w:val="-1"/>
        <w:w w:val="100"/>
        <w:sz w:val="20"/>
        <w:szCs w:val="20"/>
      </w:rPr>
    </w:lvl>
    <w:lvl w:ilvl="1">
      <w:start w:val="0"/>
      <w:numFmt w:val="bullet"/>
      <w:lvlText w:val="•"/>
      <w:lvlJc w:val="left"/>
      <w:pPr>
        <w:ind w:left="577" w:hanging="269"/>
      </w:pPr>
      <w:rPr>
        <w:rFonts w:hint="default"/>
      </w:rPr>
    </w:lvl>
    <w:lvl w:ilvl="2">
      <w:start w:val="0"/>
      <w:numFmt w:val="bullet"/>
      <w:lvlText w:val="•"/>
      <w:lvlJc w:val="left"/>
      <w:pPr>
        <w:ind w:left="1055" w:hanging="269"/>
      </w:pPr>
      <w:rPr>
        <w:rFonts w:hint="default"/>
      </w:rPr>
    </w:lvl>
    <w:lvl w:ilvl="3">
      <w:start w:val="0"/>
      <w:numFmt w:val="bullet"/>
      <w:lvlText w:val="•"/>
      <w:lvlJc w:val="left"/>
      <w:pPr>
        <w:ind w:left="1532" w:hanging="269"/>
      </w:pPr>
      <w:rPr>
        <w:rFonts w:hint="default"/>
      </w:rPr>
    </w:lvl>
    <w:lvl w:ilvl="4">
      <w:start w:val="0"/>
      <w:numFmt w:val="bullet"/>
      <w:lvlText w:val="•"/>
      <w:lvlJc w:val="left"/>
      <w:pPr>
        <w:ind w:left="2010" w:hanging="269"/>
      </w:pPr>
      <w:rPr>
        <w:rFonts w:hint="default"/>
      </w:rPr>
    </w:lvl>
    <w:lvl w:ilvl="5">
      <w:start w:val="0"/>
      <w:numFmt w:val="bullet"/>
      <w:lvlText w:val="•"/>
      <w:lvlJc w:val="left"/>
      <w:pPr>
        <w:ind w:left="2488" w:hanging="269"/>
      </w:pPr>
      <w:rPr>
        <w:rFonts w:hint="default"/>
      </w:rPr>
    </w:lvl>
    <w:lvl w:ilvl="6">
      <w:start w:val="0"/>
      <w:numFmt w:val="bullet"/>
      <w:lvlText w:val="•"/>
      <w:lvlJc w:val="left"/>
      <w:pPr>
        <w:ind w:left="2965" w:hanging="269"/>
      </w:pPr>
      <w:rPr>
        <w:rFonts w:hint="default"/>
      </w:rPr>
    </w:lvl>
    <w:lvl w:ilvl="7">
      <w:start w:val="0"/>
      <w:numFmt w:val="bullet"/>
      <w:lvlText w:val="•"/>
      <w:lvlJc w:val="left"/>
      <w:pPr>
        <w:ind w:left="3443" w:hanging="269"/>
      </w:pPr>
      <w:rPr>
        <w:rFonts w:hint="default"/>
      </w:rPr>
    </w:lvl>
    <w:lvl w:ilvl="8">
      <w:start w:val="0"/>
      <w:numFmt w:val="bullet"/>
      <w:lvlText w:val="•"/>
      <w:lvlJc w:val="left"/>
      <w:pPr>
        <w:ind w:left="3920" w:hanging="269"/>
      </w:pPr>
      <w:rPr>
        <w:rFonts w:hint="default"/>
      </w:rPr>
    </w:lvl>
  </w:abstractNum>
  <w:abstractNum w:abstractNumId="3">
    <w:multiLevelType w:val="hybridMultilevel"/>
    <w:lvl w:ilvl="0">
      <w:start w:val="1"/>
      <w:numFmt w:val="decimal"/>
      <w:lvlText w:val="%1."/>
      <w:lvlJc w:val="left"/>
      <w:pPr>
        <w:ind w:left="111" w:hanging="252"/>
        <w:jc w:val="left"/>
      </w:pPr>
      <w:rPr>
        <w:rFonts w:hint="default" w:ascii="Segoe UI" w:hAnsi="Segoe UI" w:eastAsia="Segoe UI" w:cs="Segoe UI"/>
        <w:spacing w:val="-1"/>
        <w:w w:val="100"/>
        <w:sz w:val="20"/>
        <w:szCs w:val="20"/>
      </w:rPr>
    </w:lvl>
    <w:lvl w:ilvl="1">
      <w:start w:val="0"/>
      <w:numFmt w:val="bullet"/>
      <w:lvlText w:val="•"/>
      <w:lvlJc w:val="left"/>
      <w:pPr>
        <w:ind w:left="359" w:hanging="252"/>
      </w:pPr>
      <w:rPr>
        <w:rFonts w:hint="default"/>
      </w:rPr>
    </w:lvl>
    <w:lvl w:ilvl="2">
      <w:start w:val="0"/>
      <w:numFmt w:val="bullet"/>
      <w:lvlText w:val="•"/>
      <w:lvlJc w:val="left"/>
      <w:pPr>
        <w:ind w:left="599" w:hanging="252"/>
      </w:pPr>
      <w:rPr>
        <w:rFonts w:hint="default"/>
      </w:rPr>
    </w:lvl>
    <w:lvl w:ilvl="3">
      <w:start w:val="0"/>
      <w:numFmt w:val="bullet"/>
      <w:lvlText w:val="•"/>
      <w:lvlJc w:val="left"/>
      <w:pPr>
        <w:ind w:left="838" w:hanging="252"/>
      </w:pPr>
      <w:rPr>
        <w:rFonts w:hint="default"/>
      </w:rPr>
    </w:lvl>
    <w:lvl w:ilvl="4">
      <w:start w:val="0"/>
      <w:numFmt w:val="bullet"/>
      <w:lvlText w:val="•"/>
      <w:lvlJc w:val="left"/>
      <w:pPr>
        <w:ind w:left="1078" w:hanging="252"/>
      </w:pPr>
      <w:rPr>
        <w:rFonts w:hint="default"/>
      </w:rPr>
    </w:lvl>
    <w:lvl w:ilvl="5">
      <w:start w:val="0"/>
      <w:numFmt w:val="bullet"/>
      <w:lvlText w:val="•"/>
      <w:lvlJc w:val="left"/>
      <w:pPr>
        <w:ind w:left="1318" w:hanging="252"/>
      </w:pPr>
      <w:rPr>
        <w:rFonts w:hint="default"/>
      </w:rPr>
    </w:lvl>
    <w:lvl w:ilvl="6">
      <w:start w:val="0"/>
      <w:numFmt w:val="bullet"/>
      <w:lvlText w:val="•"/>
      <w:lvlJc w:val="left"/>
      <w:pPr>
        <w:ind w:left="1557" w:hanging="252"/>
      </w:pPr>
      <w:rPr>
        <w:rFonts w:hint="default"/>
      </w:rPr>
    </w:lvl>
    <w:lvl w:ilvl="7">
      <w:start w:val="0"/>
      <w:numFmt w:val="bullet"/>
      <w:lvlText w:val="•"/>
      <w:lvlJc w:val="left"/>
      <w:pPr>
        <w:ind w:left="1797" w:hanging="252"/>
      </w:pPr>
      <w:rPr>
        <w:rFonts w:hint="default"/>
      </w:rPr>
    </w:lvl>
    <w:lvl w:ilvl="8">
      <w:start w:val="0"/>
      <w:numFmt w:val="bullet"/>
      <w:lvlText w:val="•"/>
      <w:lvlJc w:val="left"/>
      <w:pPr>
        <w:ind w:left="2036" w:hanging="252"/>
      </w:pPr>
      <w:rPr>
        <w:rFonts w:hint="default"/>
      </w:rPr>
    </w:lvl>
  </w:abstractNum>
  <w:abstractNum w:abstractNumId="2">
    <w:multiLevelType w:val="hybridMultilevel"/>
    <w:lvl w:ilvl="0">
      <w:start w:val="1"/>
      <w:numFmt w:val="decimal"/>
      <w:lvlText w:val="%1."/>
      <w:lvlJc w:val="left"/>
      <w:pPr>
        <w:ind w:left="110" w:hanging="252"/>
        <w:jc w:val="left"/>
      </w:pPr>
      <w:rPr>
        <w:rFonts w:hint="default" w:ascii="Segoe UI" w:hAnsi="Segoe UI" w:eastAsia="Segoe UI" w:cs="Segoe UI"/>
        <w:spacing w:val="-1"/>
        <w:w w:val="100"/>
        <w:sz w:val="20"/>
        <w:szCs w:val="20"/>
      </w:rPr>
    </w:lvl>
    <w:lvl w:ilvl="1">
      <w:start w:val="0"/>
      <w:numFmt w:val="bullet"/>
      <w:lvlText w:val="•"/>
      <w:lvlJc w:val="left"/>
      <w:pPr>
        <w:ind w:left="297" w:hanging="252"/>
      </w:pPr>
      <w:rPr>
        <w:rFonts w:hint="default"/>
      </w:rPr>
    </w:lvl>
    <w:lvl w:ilvl="2">
      <w:start w:val="0"/>
      <w:numFmt w:val="bullet"/>
      <w:lvlText w:val="•"/>
      <w:lvlJc w:val="left"/>
      <w:pPr>
        <w:ind w:left="474" w:hanging="252"/>
      </w:pPr>
      <w:rPr>
        <w:rFonts w:hint="default"/>
      </w:rPr>
    </w:lvl>
    <w:lvl w:ilvl="3">
      <w:start w:val="0"/>
      <w:numFmt w:val="bullet"/>
      <w:lvlText w:val="•"/>
      <w:lvlJc w:val="left"/>
      <w:pPr>
        <w:ind w:left="651" w:hanging="252"/>
      </w:pPr>
      <w:rPr>
        <w:rFonts w:hint="default"/>
      </w:rPr>
    </w:lvl>
    <w:lvl w:ilvl="4">
      <w:start w:val="0"/>
      <w:numFmt w:val="bullet"/>
      <w:lvlText w:val="•"/>
      <w:lvlJc w:val="left"/>
      <w:pPr>
        <w:ind w:left="828" w:hanging="252"/>
      </w:pPr>
      <w:rPr>
        <w:rFonts w:hint="default"/>
      </w:rPr>
    </w:lvl>
    <w:lvl w:ilvl="5">
      <w:start w:val="0"/>
      <w:numFmt w:val="bullet"/>
      <w:lvlText w:val="•"/>
      <w:lvlJc w:val="left"/>
      <w:pPr>
        <w:ind w:left="1005" w:hanging="252"/>
      </w:pPr>
      <w:rPr>
        <w:rFonts w:hint="default"/>
      </w:rPr>
    </w:lvl>
    <w:lvl w:ilvl="6">
      <w:start w:val="0"/>
      <w:numFmt w:val="bullet"/>
      <w:lvlText w:val="•"/>
      <w:lvlJc w:val="left"/>
      <w:pPr>
        <w:ind w:left="1182" w:hanging="252"/>
      </w:pPr>
      <w:rPr>
        <w:rFonts w:hint="default"/>
      </w:rPr>
    </w:lvl>
    <w:lvl w:ilvl="7">
      <w:start w:val="0"/>
      <w:numFmt w:val="bullet"/>
      <w:lvlText w:val="•"/>
      <w:lvlJc w:val="left"/>
      <w:pPr>
        <w:ind w:left="1359" w:hanging="252"/>
      </w:pPr>
      <w:rPr>
        <w:rFonts w:hint="default"/>
      </w:rPr>
    </w:lvl>
    <w:lvl w:ilvl="8">
      <w:start w:val="0"/>
      <w:numFmt w:val="bullet"/>
      <w:lvlText w:val="•"/>
      <w:lvlJc w:val="left"/>
      <w:pPr>
        <w:ind w:left="1536" w:hanging="252"/>
      </w:pPr>
      <w:rPr>
        <w:rFonts w:hint="default"/>
      </w:rPr>
    </w:lvl>
  </w:abstractNum>
  <w:abstractNum w:abstractNumId="1">
    <w:multiLevelType w:val="hybridMultilevel"/>
    <w:lvl w:ilvl="0">
      <w:start w:val="1"/>
      <w:numFmt w:val="decimal"/>
      <w:lvlText w:val="%1."/>
      <w:lvlJc w:val="left"/>
      <w:pPr>
        <w:ind w:left="111" w:hanging="252"/>
        <w:jc w:val="left"/>
      </w:pPr>
      <w:rPr>
        <w:rFonts w:hint="default" w:ascii="Segoe UI" w:hAnsi="Segoe UI" w:eastAsia="Segoe UI" w:cs="Segoe UI"/>
        <w:spacing w:val="-1"/>
        <w:w w:val="100"/>
        <w:sz w:val="20"/>
        <w:szCs w:val="20"/>
      </w:rPr>
    </w:lvl>
    <w:lvl w:ilvl="1">
      <w:start w:val="0"/>
      <w:numFmt w:val="bullet"/>
      <w:lvlText w:val="•"/>
      <w:lvlJc w:val="left"/>
      <w:pPr>
        <w:ind w:left="359" w:hanging="252"/>
      </w:pPr>
      <w:rPr>
        <w:rFonts w:hint="default"/>
      </w:rPr>
    </w:lvl>
    <w:lvl w:ilvl="2">
      <w:start w:val="0"/>
      <w:numFmt w:val="bullet"/>
      <w:lvlText w:val="•"/>
      <w:lvlJc w:val="left"/>
      <w:pPr>
        <w:ind w:left="599" w:hanging="252"/>
      </w:pPr>
      <w:rPr>
        <w:rFonts w:hint="default"/>
      </w:rPr>
    </w:lvl>
    <w:lvl w:ilvl="3">
      <w:start w:val="0"/>
      <w:numFmt w:val="bullet"/>
      <w:lvlText w:val="•"/>
      <w:lvlJc w:val="left"/>
      <w:pPr>
        <w:ind w:left="838" w:hanging="252"/>
      </w:pPr>
      <w:rPr>
        <w:rFonts w:hint="default"/>
      </w:rPr>
    </w:lvl>
    <w:lvl w:ilvl="4">
      <w:start w:val="0"/>
      <w:numFmt w:val="bullet"/>
      <w:lvlText w:val="•"/>
      <w:lvlJc w:val="left"/>
      <w:pPr>
        <w:ind w:left="1078" w:hanging="252"/>
      </w:pPr>
      <w:rPr>
        <w:rFonts w:hint="default"/>
      </w:rPr>
    </w:lvl>
    <w:lvl w:ilvl="5">
      <w:start w:val="0"/>
      <w:numFmt w:val="bullet"/>
      <w:lvlText w:val="•"/>
      <w:lvlJc w:val="left"/>
      <w:pPr>
        <w:ind w:left="1318" w:hanging="252"/>
      </w:pPr>
      <w:rPr>
        <w:rFonts w:hint="default"/>
      </w:rPr>
    </w:lvl>
    <w:lvl w:ilvl="6">
      <w:start w:val="0"/>
      <w:numFmt w:val="bullet"/>
      <w:lvlText w:val="•"/>
      <w:lvlJc w:val="left"/>
      <w:pPr>
        <w:ind w:left="1557" w:hanging="252"/>
      </w:pPr>
      <w:rPr>
        <w:rFonts w:hint="default"/>
      </w:rPr>
    </w:lvl>
    <w:lvl w:ilvl="7">
      <w:start w:val="0"/>
      <w:numFmt w:val="bullet"/>
      <w:lvlText w:val="•"/>
      <w:lvlJc w:val="left"/>
      <w:pPr>
        <w:ind w:left="1797" w:hanging="252"/>
      </w:pPr>
      <w:rPr>
        <w:rFonts w:hint="default"/>
      </w:rPr>
    </w:lvl>
    <w:lvl w:ilvl="8">
      <w:start w:val="0"/>
      <w:numFmt w:val="bullet"/>
      <w:lvlText w:val="•"/>
      <w:lvlJc w:val="left"/>
      <w:pPr>
        <w:ind w:left="2036" w:hanging="252"/>
      </w:pPr>
      <w:rPr>
        <w:rFonts w:hint="default"/>
      </w:rPr>
    </w:lvl>
  </w:abstractNum>
  <w:abstractNum w:abstractNumId="0">
    <w:multiLevelType w:val="hybridMultilevel"/>
    <w:lvl w:ilvl="0">
      <w:start w:val="0"/>
      <w:numFmt w:val="bullet"/>
      <w:lvlText w:val=""/>
      <w:lvlJc w:val="left"/>
      <w:pPr>
        <w:ind w:left="835" w:hanging="360"/>
      </w:pPr>
      <w:rPr>
        <w:rFonts w:hint="default" w:ascii="Symbol" w:hAnsi="Symbol" w:eastAsia="Symbol" w:cs="Symbol"/>
        <w:w w:val="100"/>
        <w:sz w:val="20"/>
        <w:szCs w:val="20"/>
      </w:rPr>
    </w:lvl>
    <w:lvl w:ilvl="1">
      <w:start w:val="1"/>
      <w:numFmt w:val="decimal"/>
      <w:lvlText w:val="%2."/>
      <w:lvlJc w:val="left"/>
      <w:pPr>
        <w:ind w:left="1555" w:hanging="360"/>
        <w:jc w:val="left"/>
      </w:pPr>
      <w:rPr>
        <w:rFonts w:hint="default" w:ascii="Calibri" w:hAnsi="Calibri" w:eastAsia="Calibri" w:cs="Calibri"/>
        <w:spacing w:val="-1"/>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rPr>
      <w:rFonts w:ascii="微軟正黑體" w:hAnsi="微軟正黑體" w:eastAsia="微軟正黑體" w:cs="微軟正黑體"/>
      <w:sz w:val="24"/>
      <w:szCs w:val="24"/>
    </w:rPr>
  </w:style>
  <w:style w:styleId="Heading1" w:type="paragraph">
    <w:name w:val="Heading 1"/>
    <w:basedOn w:val="Normal"/>
    <w:uiPriority w:val="1"/>
    <w:qFormat/>
    <w:pPr>
      <w:spacing w:line="428" w:lineRule="exact"/>
      <w:ind w:left="475"/>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spacing w:line="415" w:lineRule="exact"/>
      <w:ind w:left="835" w:hanging="360"/>
    </w:pPr>
    <w:rPr>
      <w:rFonts w:ascii="微軟正黑體" w:hAnsi="微軟正黑體" w:eastAsia="微軟正黑體" w:cs="微軟正黑體"/>
    </w:rPr>
  </w:style>
  <w:style w:styleId="TableParagraph" w:type="paragraph">
    <w:name w:val="Table Paragraph"/>
    <w:basedOn w:val="Normal"/>
    <w:uiPriority w:val="1"/>
    <w:qFormat/>
    <w:pPr>
      <w:ind w:left="107"/>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2025-07-25T00:33:41Z</dcterms:created>
  <dcterms:modified xsi:type="dcterms:W3CDTF">2025-07-25T00:33:41Z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Acrobat PDFMaker 19 Word 版</vt:lpwstr>
  </property>
  <property fmtid="{D5CDD505-2E9C-101B-9397-08002B2CF9AE}" pid="4" name="LastSaved">
    <vt:filetime>2025-07-25T00:00:00Z</vt:filetime>
  </property>
</Properties>
</file>