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817" w:right="3816"/>
        <w:jc w:val="center"/>
      </w:pPr>
      <w:r>
        <w:rPr/>
        <w:t>夾捲案 </w:t>
      </w:r>
      <w:r>
        <w:rPr>
          <w:rFonts w:ascii="Calibri" w:eastAsia="Calibri"/>
        </w:rPr>
        <w:t>3 </w:t>
      </w:r>
      <w:r>
        <w:rPr/>
        <w:t>分析參考</w:t>
      </w:r>
    </w:p>
    <w:p>
      <w:pPr>
        <w:spacing w:before="267"/>
        <w:ind w:left="1913" w:right="0" w:firstLine="0"/>
        <w:jc w:val="left"/>
        <w:rPr>
          <w:b/>
          <w:sz w:val="24"/>
        </w:rPr>
      </w:pPr>
      <w:r>
        <w:rPr>
          <w:b/>
          <w:sz w:val="24"/>
        </w:rPr>
        <w:t>從事輸送帶偏移調整作業遭捲入致死災害調查分析報告</w:t>
      </w:r>
    </w:p>
    <w:p>
      <w:pPr>
        <w:spacing w:line="225" w:lineRule="auto" w:before="286"/>
        <w:ind w:left="475" w:right="228" w:firstLine="0"/>
        <w:jc w:val="left"/>
        <w:rPr>
          <w:sz w:val="24"/>
        </w:rPr>
      </w:pPr>
      <w:r>
        <w:rPr>
          <w:b/>
          <w:spacing w:val="-1"/>
          <w:sz w:val="24"/>
        </w:rPr>
        <w:t>重要提醒：本分析報告是基於所提供案例的有限資訊，並結合事故調查的專業方法論</w:t>
      </w:r>
      <w:r>
        <w:rPr>
          <w:b/>
          <w:sz w:val="24"/>
        </w:rPr>
        <w:t>進行。部分內容為根據邏輯與經驗所做的合理推斷，並會明確標示為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推斷</w:t>
      </w:r>
      <w:r>
        <w:rPr>
          <w:rFonts w:ascii="Calibri" w:eastAsia="Calibri"/>
          <w:b/>
          <w:sz w:val="24"/>
        </w:rPr>
        <w:t>)</w:t>
      </w:r>
      <w:r>
        <w:rPr>
          <w:sz w:val="24"/>
        </w:rPr>
        <w:t>。一場實際、完整的事故調查，需要更詳盡的現場勘查、人員訪談與物證檢驗來支持所有結 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275pt;width:467.85pt;height:1.55pt;mso-position-horizontal-relative:page;mso-position-vertical-relative:paragraph;z-index:-1024;mso-wrap-distance-left:0;mso-wrap-distance-right:0" coordorigin="1276,155" coordsize="9357,31">
            <v:line style="position:absolute" from="1276,170" to="10632,170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627,157" stroked="true" strokeweight=".24pt" strokecolor="#9f9f9f">
              <v:stroke dashstyle="solid"/>
            </v:line>
            <v:rect style="position:absolute;left:10627;top:154;width:5;height:5" filled="true" fillcolor="#e2e2e2" stroked="false">
              <v:fill type="solid"/>
            </v:rect>
            <v:rect style="position:absolute;left:10627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627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行業分類： </w:t>
      </w:r>
      <w:r>
        <w:rPr>
          <w:sz w:val="24"/>
        </w:rPr>
        <w:t>預拌混凝土製造業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災害類型： </w:t>
      </w:r>
      <w:r>
        <w:rPr>
          <w:sz w:val="24"/>
        </w:rPr>
        <w:t>被夾、被捲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媒介物： </w:t>
      </w:r>
      <w:r>
        <w:rPr>
          <w:sz w:val="24"/>
        </w:rPr>
        <w:t>輸送帶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15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日，介於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時許至 </w:t>
      </w:r>
      <w:r>
        <w:rPr>
          <w:rFonts w:ascii="Calibri" w:hAnsi="Calibri" w:eastAsia="Calibri"/>
          <w:sz w:val="24"/>
        </w:rPr>
        <w:t>13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43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分之間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廠內上傾斜輸送帶尾輪處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25" w:lineRule="auto" w:before="6" w:after="0"/>
        <w:ind w:left="835" w:right="159" w:hanging="360"/>
        <w:jc w:val="both"/>
        <w:rPr>
          <w:sz w:val="24"/>
        </w:rPr>
      </w:pPr>
      <w:r>
        <w:rPr>
          <w:b/>
          <w:spacing w:val="9"/>
          <w:sz w:val="24"/>
        </w:rPr>
        <w:t>事故摘要： </w:t>
      </w:r>
      <w:r>
        <w:rPr>
          <w:rFonts w:ascii="Calibri" w:hAnsi="Calibri" w:eastAsia="Calibri"/>
          <w:sz w:val="24"/>
        </w:rPr>
        <w:t>114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15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1"/>
          <w:sz w:val="24"/>
        </w:rPr>
        <w:t>時許，勞工潘員發現廠內輸送帶因皮帶偏移導致砂</w:t>
      </w:r>
      <w:r>
        <w:rPr>
          <w:sz w:val="24"/>
        </w:rPr>
        <w:t>石漏料，便獨自前往尾輪處進行調整作業 。至 </w:t>
      </w:r>
      <w:r>
        <w:rPr>
          <w:rFonts w:ascii="Calibri" w:hAnsi="Calibri" w:eastAsia="Calibri"/>
          <w:sz w:val="24"/>
        </w:rPr>
        <w:t>13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43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分許，廠長發現潘員時， 其右手已被捲入仍在運轉中的輸送帶皮帶與尾輪轉軸之間 。同事緊急關閉電源並</w:t>
      </w:r>
      <w:r>
        <w:rPr>
          <w:spacing w:val="-1"/>
          <w:sz w:val="24"/>
        </w:rPr>
        <w:t>通報 </w:t>
      </w:r>
      <w:r>
        <w:rPr>
          <w:rFonts w:ascii="Calibri" w:hAnsi="Calibri" w:eastAsia="Calibri"/>
          <w:sz w:val="24"/>
        </w:rPr>
        <w:t>119</w:t>
      </w:r>
      <w:r>
        <w:rPr>
          <w:sz w:val="24"/>
        </w:rPr>
        <w:t>，但救護人員到場時，潘員已死亡  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67074pt;width:467.85pt;height:1.55pt;mso-position-horizontal-relative:page;mso-position-vertical-relative:paragraph;z-index:-1000;mso-wrap-distance-left:0;mso-wrap-distance-right:0" coordorigin="1276,155" coordsize="9357,31">
            <v:line style="position:absolute" from="1276,170" to="10632,170" stroked="true" strokeweight="1.5pt" strokecolor="#9f9f9f">
              <v:stroke dashstyle="solid"/>
            </v:line>
            <v:rect style="position:absolute;left:1275;top:155;width:5;height:5" filled="true" fillcolor="#9f9f9f" stroked="false">
              <v:fill type="solid"/>
            </v:rect>
            <v:rect style="position:absolute;left:1275;top:155;width:5;height:5" filled="true" fillcolor="#9f9f9f" stroked="false">
              <v:fill type="solid"/>
            </v:rect>
            <v:line style="position:absolute" from="1280,158" to="10627,158" stroked="true" strokeweight=".24pt" strokecolor="#9f9f9f">
              <v:stroke dashstyle="solid"/>
            </v:line>
            <v:rect style="position:absolute;left:10627;top:155;width:5;height:5" filled="true" fillcolor="#e2e2e2" stroked="false">
              <v:fill type="solid"/>
            </v:rect>
            <v:rect style="position:absolute;left:10627;top:155;width:5;height:5" filled="true" fillcolor="#9f9f9f" stroked="false">
              <v:fill type="solid"/>
            </v:rect>
            <v:rect style="position:absolute;left:1275;top:160;width:5;height:21" filled="true" fillcolor="#9f9f9f" stroked="false">
              <v:fill type="solid"/>
            </v:rect>
            <v:rect style="position:absolute;left:10627;top:160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225" w:lineRule="auto" w:before="6"/>
        <w:ind w:left="475" w:right="228"/>
      </w:pPr>
      <w:r>
        <w:rPr/>
        <w:t>此圖將事故發生的事件及相關條件按時間順序，由左至右呈現，以視覺化方式釐清因果關係。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810260</wp:posOffset>
            </wp:positionH>
            <wp:positionV relativeFrom="paragraph">
              <wp:posOffset>180682</wp:posOffset>
            </wp:positionV>
            <wp:extent cx="5918356" cy="1387221"/>
            <wp:effectExtent l="0" t="0" r="0" b="0"/>
            <wp:wrapTopAndBottom/>
            <wp:docPr id="1" name="image1.png" descr="一張含有 文字, 字型, 行, Rectangle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56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63.779999pt;margin-top:17.856329pt;width:467.85pt;height:1.55pt;mso-position-horizontal-relative:page;mso-position-vertical-relative:paragraph;z-index:-952;mso-wrap-distance-left:0;mso-wrap-distance-right:0" coordorigin="1276,357" coordsize="9357,31">
            <v:line style="position:absolute" from="1276,372" to="10632,372" stroked="true" strokeweight="1.5pt" strokecolor="#9f9f9f">
              <v:stroke dashstyle="solid"/>
            </v:line>
            <v:rect style="position:absolute;left:1275;top:357;width:5;height:5" filled="true" fillcolor="#9f9f9f" stroked="false">
              <v:fill type="solid"/>
            </v:rect>
            <v:rect style="position:absolute;left:1275;top:357;width:5;height:5" filled="true" fillcolor="#9f9f9f" stroked="false">
              <v:fill type="solid"/>
            </v:rect>
            <v:line style="position:absolute" from="1280,360" to="10627,360" stroked="true" strokeweight=".239pt" strokecolor="#9f9f9f">
              <v:stroke dashstyle="solid"/>
            </v:line>
            <v:rect style="position:absolute;left:10627;top:357;width:5;height:5" filled="true" fillcolor="#e2e2e2" stroked="false">
              <v:fill type="solid"/>
            </v:rect>
            <v:rect style="position:absolute;left:10627;top:357;width:5;height:5" filled="true" fillcolor="#9f9f9f" stroked="false">
              <v:fill type="solid"/>
            </v:rect>
            <v:rect style="position:absolute;left:1275;top:362;width:5;height:21" filled="true" fillcolor="#9f9f9f" stroked="false">
              <v:fill type="solid"/>
            </v:rect>
            <v:rect style="position:absolute;left:10627;top:362;width:5;height:21" filled="true" fillcolor="#e2e2e2" stroked="false">
              <v:fill type="solid"/>
            </v:rect>
            <v:rect style="position:absolute;left:1275;top:382;width:5;height:5" filled="true" fillcolor="#9f9f9f" stroked="false">
              <v:fill type="solid"/>
            </v:rect>
            <v:rect style="position:absolute;left:1275;top:382;width:5;height:5" filled="true" fillcolor="#e2e2e2" stroked="false">
              <v:fill type="solid"/>
            </v:rect>
            <v:line style="position:absolute" from="1280,385" to="10627,385" stroked="true" strokeweight=".239pt" strokecolor="#e2e2e2">
              <v:stroke dashstyle="solid"/>
            </v:line>
            <v:rect style="position:absolute;left:10627;top:382;width:5;height:5" filled="true" fillcolor="#e2e2e2" stroked="false">
              <v:fill type="solid"/>
            </v:rect>
            <v:rect style="position:absolute;left:10627;top:38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tabs>
          <w:tab w:pos="660" w:val="left" w:leader="none"/>
        </w:tabs>
        <w:spacing w:before="7"/>
      </w:pPr>
      <w:r>
        <w:rPr/>
        <w:t>二</w:t>
      </w:r>
      <w:r>
        <w:rPr>
          <w:rFonts w:ascii="Calibri" w:eastAsia="Calibri"/>
        </w:rPr>
        <w:t>.</w:t>
        <w:tab/>
      </w:r>
      <w:r>
        <w:rPr/>
        <w:t>時間序列表</w:t>
      </w:r>
    </w:p>
    <w:p>
      <w:pPr>
        <w:pStyle w:val="BodyText"/>
        <w:spacing w:line="428" w:lineRule="exact"/>
        <w:ind w:left="475"/>
      </w:pPr>
      <w:r>
        <w:rPr/>
        <w:t>此表以表格形式記錄事故發生的先後順序和相關條件，為後續分析奠定基礎。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160" w:right="11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2249"/>
        <w:gridCol w:w="597"/>
        <w:gridCol w:w="856"/>
        <w:gridCol w:w="1524"/>
        <w:gridCol w:w="2977"/>
      </w:tblGrid>
      <w:tr>
        <w:trPr>
          <w:trHeight w:val="1383" w:hRule="atLeast"/>
        </w:trPr>
        <w:tc>
          <w:tcPr>
            <w:tcW w:w="114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時間</w:t>
            </w:r>
          </w:p>
        </w:tc>
        <w:tc>
          <w:tcPr>
            <w:tcW w:w="2249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597" w:type="dxa"/>
          </w:tcPr>
          <w:p>
            <w:pPr>
              <w:pStyle w:val="TableParagraph"/>
              <w:spacing w:line="225" w:lineRule="auto" w:before="4"/>
              <w:ind w:right="199"/>
              <w:jc w:val="both"/>
              <w:rPr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856" w:type="dxa"/>
          </w:tcPr>
          <w:p>
            <w:pPr>
              <w:pStyle w:val="TableParagraph"/>
              <w:spacing w:line="345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</w:p>
          <w:p>
            <w:pPr>
              <w:pStyle w:val="TableParagraph"/>
              <w:spacing w:line="225" w:lineRule="auto" w:before="5"/>
              <w:ind w:left="106" w:right="109"/>
              <w:rPr>
                <w:sz w:val="20"/>
              </w:rPr>
            </w:pPr>
            <w:r>
              <w:rPr>
                <w:sz w:val="20"/>
              </w:rPr>
              <w:t>次</w:t>
            </w: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事件軸</w:t>
            </w:r>
          </w:p>
        </w:tc>
        <w:tc>
          <w:tcPr>
            <w:tcW w:w="1524" w:type="dxa"/>
          </w:tcPr>
          <w:p>
            <w:pPr>
              <w:pStyle w:val="TableParagraph"/>
              <w:spacing w:line="225" w:lineRule="auto" w:before="4"/>
              <w:ind w:left="106" w:right="13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977" w:type="dxa"/>
          </w:tcPr>
          <w:p>
            <w:pPr>
              <w:pStyle w:val="TableParagraph"/>
              <w:spacing w:line="225" w:lineRule="auto" w:before="4"/>
              <w:ind w:left="106" w:right="13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075" w:hRule="atLeast"/>
        </w:trPr>
        <w:tc>
          <w:tcPr>
            <w:tcW w:w="1145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114/01/15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49" w:type="dxa"/>
          </w:tcPr>
          <w:p>
            <w:pPr>
              <w:pStyle w:val="TableParagraph"/>
              <w:spacing w:line="225" w:lineRule="auto" w:before="5"/>
              <w:ind w:right="127"/>
              <w:jc w:val="both"/>
              <w:rPr>
                <w:sz w:val="20"/>
              </w:rPr>
            </w:pPr>
            <w:r>
              <w:rPr>
                <w:sz w:val="20"/>
              </w:rPr>
              <w:t>勞工潘員發現輸送帶皮帶偏移，</w:t>
            </w:r>
            <w:r>
              <w:rPr>
                <w:b/>
                <w:sz w:val="20"/>
              </w:rPr>
              <w:t>獨自前往尾輪處調整</w:t>
            </w:r>
            <w:r>
              <w:rPr>
                <w:sz w:val="20"/>
              </w:rPr>
              <w:t>。</w:t>
            </w:r>
          </w:p>
        </w:tc>
        <w:tc>
          <w:tcPr>
            <w:tcW w:w="597" w:type="dxa"/>
          </w:tcPr>
          <w:p>
            <w:pPr>
              <w:pStyle w:val="TableParagraph"/>
              <w:spacing w:line="225" w:lineRule="auto" w:before="5"/>
              <w:ind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6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2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225" w:lineRule="auto" w:before="5" w:after="0"/>
              <w:ind w:left="106" w:right="155" w:firstLine="0"/>
              <w:jc w:val="both"/>
              <w:rPr>
                <w:sz w:val="20"/>
              </w:rPr>
            </w:pPr>
            <w:r>
              <w:rPr>
                <w:b/>
                <w:spacing w:val="-3"/>
                <w:sz w:val="20"/>
              </w:rPr>
              <w:t>於運轉中的</w:t>
            </w:r>
            <w:r>
              <w:rPr>
                <w:b/>
                <w:sz w:val="20"/>
              </w:rPr>
              <w:t>危險機械旁進行維修</w:t>
            </w:r>
            <w:r>
              <w:rPr>
                <w:sz w:val="20"/>
              </w:rPr>
              <w:t>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352" w:lineRule="exact" w:before="0" w:after="0"/>
              <w:ind w:left="358" w:right="0" w:hanging="25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單獨作業</w:t>
            </w:r>
            <w:r>
              <w:rPr>
                <w:sz w:val="20"/>
              </w:rPr>
              <w:t>。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225" w:lineRule="auto" w:before="5" w:after="0"/>
              <w:ind w:left="106" w:right="206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未建立或未落實維修作業必</w:t>
            </w:r>
            <w:r>
              <w:rPr>
                <w:sz w:val="20"/>
              </w:rPr>
              <w:t>須「停機、斷電、上鎖</w:t>
            </w:r>
          </w:p>
          <w:p>
            <w:pPr>
              <w:pStyle w:val="TableParagraph"/>
              <w:spacing w:line="341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(LOTO)</w:t>
            </w:r>
            <w:r>
              <w:rPr>
                <w:sz w:val="20"/>
              </w:rPr>
              <w:t>」的標準作業程序</w:t>
            </w:r>
          </w:p>
          <w:p>
            <w:pPr>
              <w:pStyle w:val="TableParagraph"/>
              <w:spacing w:line="34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(SOP)</w:t>
            </w:r>
            <w:r>
              <w:rPr>
                <w:sz w:val="20"/>
              </w:rPr>
              <w:t>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346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缺乏單獨從事高風險維修作</w:t>
            </w:r>
          </w:p>
          <w:p>
            <w:pPr>
              <w:pStyle w:val="TableParagraph"/>
              <w:spacing w:line="32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業的管制規定。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45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114/01/15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9:00-13:43</w:t>
            </w:r>
          </w:p>
        </w:tc>
        <w:tc>
          <w:tcPr>
            <w:tcW w:w="2249" w:type="dxa"/>
          </w:tcPr>
          <w:p>
            <w:pPr>
              <w:pStyle w:val="TableParagraph"/>
              <w:spacing w:line="225" w:lineRule="auto" w:before="4"/>
              <w:ind w:right="127"/>
              <w:rPr>
                <w:sz w:val="20"/>
              </w:rPr>
            </w:pPr>
            <w:r>
              <w:rPr>
                <w:sz w:val="20"/>
              </w:rPr>
              <w:t>潘員在調整皮帶過程 中，</w:t>
            </w:r>
            <w:r>
              <w:rPr>
                <w:b/>
                <w:spacing w:val="-2"/>
                <w:sz w:val="20"/>
              </w:rPr>
              <w:t>其右手被捲入皮帶</w:t>
            </w:r>
            <w:r>
              <w:rPr>
                <w:b/>
                <w:sz w:val="20"/>
              </w:rPr>
              <w:t>與尾輪轉軸之間</w:t>
            </w:r>
            <w:r>
              <w:rPr>
                <w:sz w:val="20"/>
              </w:rPr>
              <w:t>。</w:t>
            </w:r>
          </w:p>
        </w:tc>
        <w:tc>
          <w:tcPr>
            <w:tcW w:w="597" w:type="dxa"/>
          </w:tcPr>
          <w:p>
            <w:pPr>
              <w:pStyle w:val="TableParagraph"/>
              <w:spacing w:line="225" w:lineRule="auto" w:before="4"/>
              <w:ind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6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24" w:type="dxa"/>
          </w:tcPr>
          <w:p>
            <w:pPr>
              <w:pStyle w:val="TableParagraph"/>
              <w:spacing w:line="225" w:lineRule="auto" w:before="4"/>
              <w:ind w:left="106" w:right="204"/>
              <w:jc w:val="both"/>
              <w:rPr>
                <w:sz w:val="20"/>
              </w:rPr>
            </w:pPr>
            <w:r>
              <w:rPr>
                <w:sz w:val="20"/>
              </w:rPr>
              <w:t>身體部位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手</w:t>
            </w:r>
            <w:r>
              <w:rPr>
                <w:rFonts w:ascii="Segoe UI" w:eastAsia="Segoe UI"/>
                <w:sz w:val="20"/>
              </w:rPr>
              <w:t>) </w:t>
            </w:r>
            <w:r>
              <w:rPr>
                <w:sz w:val="20"/>
              </w:rPr>
              <w:t>靠近並接觸運轉中的捲入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點。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9" w:val="left" w:leader="none"/>
              </w:tabs>
              <w:spacing w:line="225" w:lineRule="auto" w:before="4" w:after="0"/>
              <w:ind w:left="106" w:right="206" w:firstLine="0"/>
              <w:jc w:val="left"/>
              <w:rPr>
                <w:rFonts w:ascii="Segoe UI" w:eastAsia="Segoe UI"/>
                <w:sz w:val="20"/>
              </w:rPr>
            </w:pPr>
            <w:r>
              <w:rPr>
                <w:spacing w:val="-1"/>
                <w:sz w:val="20"/>
              </w:rPr>
              <w:t>輸送帶尾輪轉動部分未設置</w:t>
            </w:r>
            <w:r>
              <w:rPr>
                <w:sz w:val="20"/>
              </w:rPr>
              <w:t>護罩或護圍。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9" w:val="left" w:leader="none"/>
              </w:tabs>
              <w:spacing w:line="342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調整皮帶的動作本身具有高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度不確定性與危險性。</w:t>
            </w:r>
          </w:p>
        </w:tc>
      </w:tr>
      <w:tr>
        <w:trPr>
          <w:trHeight w:val="1384" w:hRule="atLeast"/>
        </w:trPr>
        <w:tc>
          <w:tcPr>
            <w:tcW w:w="1145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114/01/15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13:43 </w:t>
            </w:r>
            <w:r>
              <w:rPr>
                <w:sz w:val="20"/>
              </w:rPr>
              <w:t>許</w:t>
            </w:r>
          </w:p>
        </w:tc>
        <w:tc>
          <w:tcPr>
            <w:tcW w:w="2249" w:type="dxa"/>
          </w:tcPr>
          <w:p>
            <w:pPr>
              <w:pStyle w:val="TableParagraph"/>
              <w:spacing w:line="225" w:lineRule="auto" w:before="5"/>
              <w:ind w:right="127"/>
              <w:jc w:val="both"/>
              <w:rPr>
                <w:sz w:val="20"/>
              </w:rPr>
            </w:pPr>
            <w:r>
              <w:rPr>
                <w:sz w:val="20"/>
              </w:rPr>
              <w:t>廠長要找潘員詢問漏料處理情形時，才發現他受困於輸送帶。</w:t>
            </w:r>
          </w:p>
        </w:tc>
        <w:tc>
          <w:tcPr>
            <w:tcW w:w="597" w:type="dxa"/>
          </w:tcPr>
          <w:p>
            <w:pPr>
              <w:pStyle w:val="TableParagraph"/>
              <w:spacing w:line="225" w:lineRule="auto" w:before="5"/>
              <w:ind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6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24" w:type="dxa"/>
          </w:tcPr>
          <w:p>
            <w:pPr>
              <w:pStyle w:val="TableParagraph"/>
              <w:spacing w:line="225" w:lineRule="auto" w:before="5"/>
              <w:ind w:left="106" w:right="2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事故發生至發現已延遲數小時</w:t>
            </w:r>
            <w:r>
              <w:rPr>
                <w:sz w:val="20"/>
              </w:rPr>
              <w:t>。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9" w:val="left" w:leader="none"/>
              </w:tabs>
              <w:spacing w:line="225" w:lineRule="auto" w:before="5" w:after="0"/>
              <w:ind w:left="106" w:right="206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缺乏對高風險維修作業的監</w:t>
            </w:r>
            <w:r>
              <w:rPr>
                <w:sz w:val="20"/>
              </w:rPr>
              <w:t>護或巡檢機制。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59" w:val="left" w:leader="none"/>
              </w:tabs>
              <w:spacing w:line="341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潘員未告知他人其作業地點</w:t>
            </w:r>
          </w:p>
          <w:p>
            <w:pPr>
              <w:pStyle w:val="TableParagraph"/>
              <w:spacing w:line="32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與內容。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45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114/01/15</w:t>
            </w:r>
          </w:p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13:43 </w:t>
            </w:r>
            <w:r>
              <w:rPr>
                <w:sz w:val="20"/>
              </w:rPr>
              <w:t>許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w w:val="100"/>
                <w:sz w:val="20"/>
              </w:rPr>
              <w:t>後</w:t>
            </w:r>
          </w:p>
        </w:tc>
        <w:tc>
          <w:tcPr>
            <w:tcW w:w="2249" w:type="dxa"/>
          </w:tcPr>
          <w:p>
            <w:pPr>
              <w:pStyle w:val="TableParagraph"/>
              <w:spacing w:line="225" w:lineRule="auto" w:before="4"/>
              <w:ind w:right="127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同事關閉輸送帶電源， 並通報 </w:t>
            </w:r>
            <w:r>
              <w:rPr>
                <w:rFonts w:ascii="Segoe UI" w:eastAsia="Segoe UI"/>
                <w:sz w:val="20"/>
              </w:rPr>
              <w:t>119</w:t>
            </w:r>
            <w:r>
              <w:rPr>
                <w:sz w:val="20"/>
              </w:rPr>
              <w:t>，</w:t>
            </w:r>
            <w:r>
              <w:rPr>
                <w:b/>
                <w:sz w:val="20"/>
              </w:rPr>
              <w:t>救護人員到場時發現潘員已死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亡</w:t>
            </w:r>
            <w:r>
              <w:rPr>
                <w:sz w:val="20"/>
              </w:rPr>
              <w:t>。</w:t>
            </w:r>
          </w:p>
        </w:tc>
        <w:tc>
          <w:tcPr>
            <w:tcW w:w="597" w:type="dxa"/>
          </w:tcPr>
          <w:p>
            <w:pPr>
              <w:pStyle w:val="TableParagraph"/>
              <w:spacing w:line="225" w:lineRule="auto" w:before="4"/>
              <w:ind w:right="27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56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24" w:type="dxa"/>
          </w:tcPr>
          <w:p>
            <w:pPr>
              <w:pStyle w:val="TableParagraph"/>
              <w:spacing w:line="225" w:lineRule="auto" w:before="4"/>
              <w:ind w:left="106" w:right="204"/>
              <w:jc w:val="both"/>
              <w:rPr>
                <w:sz w:val="20"/>
              </w:rPr>
            </w:pPr>
            <w:r>
              <w:rPr>
                <w:sz w:val="20"/>
              </w:rPr>
              <w:t>人員受困於運轉中的機具， 傷害持續發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生。</w:t>
            </w:r>
          </w:p>
        </w:tc>
        <w:tc>
          <w:tcPr>
            <w:tcW w:w="2977" w:type="dxa"/>
          </w:tcPr>
          <w:p>
            <w:pPr>
              <w:pStyle w:val="TableParagraph"/>
              <w:spacing w:line="225" w:lineRule="auto" w:before="4"/>
              <w:ind w:left="106" w:right="258"/>
              <w:rPr>
                <w:sz w:val="20"/>
              </w:rPr>
            </w:pPr>
            <w:r>
              <w:rPr>
                <w:sz w:val="20"/>
              </w:rPr>
              <w:t>救援行動已無法挽回生命，顯示傷害在被發現前就已致命。</w:t>
            </w:r>
          </w:p>
        </w:tc>
      </w:tr>
    </w:tbl>
    <w:p>
      <w:pPr>
        <w:pStyle w:val="BodyText"/>
        <w:spacing w:before="9"/>
        <w:rPr>
          <w:sz w:val="22"/>
        </w:rPr>
      </w:pPr>
      <w:r>
        <w:rPr/>
        <w:pict>
          <v:group style="position:absolute;margin-left:63.779999pt;margin-top:22.68pt;width:467.85pt;height:1.55pt;mso-position-horizontal-relative:page;mso-position-vertical-relative:paragraph;z-index:-928;mso-wrap-distance-left:0;mso-wrap-distance-right:0" coordorigin="1276,454" coordsize="9357,31">
            <v:line style="position:absolute" from="1276,469" to="10632,469" stroked="true" strokeweight="1.5pt" strokecolor="#9f9f9f">
              <v:stroke dashstyle="solid"/>
            </v:line>
            <v:rect style="position:absolute;left:1275;top:453;width:5;height:5" filled="true" fillcolor="#9f9f9f" stroked="false">
              <v:fill type="solid"/>
            </v:rect>
            <v:rect style="position:absolute;left:1275;top:453;width:5;height:5" filled="true" fillcolor="#9f9f9f" stroked="false">
              <v:fill type="solid"/>
            </v:rect>
            <v:line style="position:absolute" from="1280,456" to="10627,456" stroked="true" strokeweight=".24pt" strokecolor="#9f9f9f">
              <v:stroke dashstyle="solid"/>
            </v:line>
            <v:rect style="position:absolute;left:10627;top:453;width:5;height:5" filled="true" fillcolor="#e2e2e2" stroked="false">
              <v:fill type="solid"/>
            </v:rect>
            <v:rect style="position:absolute;left:10627;top:453;width:5;height:5" filled="true" fillcolor="#9f9f9f" stroked="false">
              <v:fill type="solid"/>
            </v:rect>
            <v:rect style="position:absolute;left:1275;top:458;width:5;height:21" filled="true" fillcolor="#9f9f9f" stroked="false">
              <v:fill type="solid"/>
            </v:rect>
            <v:rect style="position:absolute;left:10627;top:458;width:5;height:21" filled="true" fillcolor="#e2e2e2" stroked="false">
              <v:fill type="solid"/>
            </v:rect>
            <v:rect style="position:absolute;left:1275;top:478;width:5;height:5" filled="true" fillcolor="#9f9f9f" stroked="false">
              <v:fill type="solid"/>
            </v:rect>
            <v:rect style="position:absolute;left:1275;top:478;width:5;height:5" filled="true" fillcolor="#e2e2e2" stroked="false">
              <v:fill type="solid"/>
            </v:rect>
            <v:line style="position:absolute" from="1280,481" to="10627,481" stroked="true" strokeweight=".24pt" strokecolor="#e2e2e2">
              <v:stroke dashstyle="solid"/>
            </v:line>
            <v:rect style="position:absolute;left:10627;top:478;width:5;height:5" filled="true" fillcolor="#e2e2e2" stroked="false">
              <v:fill type="solid"/>
            </v:rect>
            <v:rect style="position:absolute;left:10627;top:4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(Why-Tree)</w:t>
      </w:r>
    </w:p>
    <w:p>
      <w:pPr>
        <w:pStyle w:val="BodyText"/>
        <w:spacing w:line="428" w:lineRule="exact"/>
        <w:ind w:left="475"/>
      </w:pPr>
      <w:r>
        <w:rPr/>
        <w:t>本分析從最終的傷害事件開始，透過不斷追問「為什麼」來探究事件的根本原因。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1501775</wp:posOffset>
            </wp:positionH>
            <wp:positionV relativeFrom="paragraph">
              <wp:posOffset>195682</wp:posOffset>
            </wp:positionV>
            <wp:extent cx="4490998" cy="2883027"/>
            <wp:effectExtent l="0" t="0" r="0" b="0"/>
            <wp:wrapTopAndBottom/>
            <wp:docPr id="3" name="image2.png" descr="一張含有 文字, 螢幕擷取畫面, 圖表, Rectangle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998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20" w:bottom="280" w:left="116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1"/>
        </w:rPr>
      </w:pPr>
    </w:p>
    <w:p>
      <w:pPr>
        <w:pStyle w:val="BodyText"/>
        <w:spacing w:line="31" w:lineRule="exact"/>
        <w:ind w:left="101"/>
        <w:rPr>
          <w:sz w:val="3"/>
        </w:rPr>
      </w:pPr>
      <w:r>
        <w:rPr>
          <w:position w:val="0"/>
          <w:sz w:val="3"/>
        </w:rPr>
        <w:pict>
          <v:group style="width:467.85pt;height:1.55pt;mso-position-horizontal-relative:char;mso-position-vertical-relative:line" coordorigin="0,0" coordsize="9357,31">
            <v:line style="position:absolute" from="0,15" to="9356,15" stroked="true" strokeweight="1.5pt" strokecolor="#9f9f9f">
              <v:stroke dashstyle="solid"/>
            </v:line>
            <v:rect style="position:absolute;left:0;top:0;width:5;height:5" filled="true" fillcolor="#9f9f9f" stroked="false">
              <v:fill type="solid"/>
            </v:rect>
            <v:rect style="position:absolute;left:0;top:0;width:5;height:5" filled="true" fillcolor="#9f9f9f" stroked="false">
              <v:fill type="solid"/>
            </v:rect>
            <v:line style="position:absolute" from="5,3" to="9352,3" stroked="true" strokeweight=".24pt" strokecolor="#9f9f9f">
              <v:stroke dashstyle="solid"/>
            </v:line>
            <v:rect style="position:absolute;left:9351;top:0;width:5;height:5" filled="true" fillcolor="#e2e2e2" stroked="false">
              <v:fill type="solid"/>
            </v:rect>
            <v:rect style="position:absolute;left:9351;top:0;width:5;height:5" filled="true" fillcolor="#9f9f9f" stroked="false">
              <v:fill type="solid"/>
            </v:rect>
            <v:rect style="position:absolute;left:0;top:5;width:5;height:21" filled="true" fillcolor="#9f9f9f" stroked="false">
              <v:fill type="solid"/>
            </v:rect>
            <v:rect style="position:absolute;left:9351;top:5;width:5;height:21" filled="true" fillcolor="#e2e2e2" stroked="false">
              <v:fill type="solid"/>
            </v:rect>
            <v:rect style="position:absolute;left:0;top:25;width:5;height:5" filled="true" fillcolor="#9f9f9f" stroked="false">
              <v:fill type="solid"/>
            </v:rect>
            <v:rect style="position:absolute;left:0;top:25;width:5;height:5" filled="true" fillcolor="#e2e2e2" stroked="false">
              <v:fill type="solid"/>
            </v:rect>
            <v:line style="position:absolute" from="5,28" to="9352,28" stroked="true" strokeweight=".24pt" strokecolor="#e2e2e2">
              <v:stroke dashstyle="solid"/>
            </v:line>
            <v:rect style="position:absolute;left:9351;top:25;width:5;height:5" filled="true" fillcolor="#e2e2e2" stroked="false">
              <v:fill type="solid"/>
            </v:rect>
            <v:rect style="position:absolute;left:9351;top:25;width:5;height:5" filled="true" fillcolor="#e2e2e2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1"/>
        <w:spacing w:before="36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475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機械能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運轉中的輸送帶與尾輪轉軸所形成的捲夾動能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罹災者潘員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1511"/>
        <w:gridCol w:w="898"/>
        <w:gridCol w:w="3122"/>
        <w:gridCol w:w="3045"/>
      </w:tblGrid>
      <w:tr>
        <w:trPr>
          <w:trHeight w:val="1383" w:hRule="atLeast"/>
        </w:trPr>
        <w:tc>
          <w:tcPr>
            <w:tcW w:w="773" w:type="dxa"/>
          </w:tcPr>
          <w:p>
            <w:pPr>
              <w:pStyle w:val="TableParagraph"/>
              <w:spacing w:line="225" w:lineRule="auto"/>
              <w:ind w:right="252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511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898" w:type="dxa"/>
          </w:tcPr>
          <w:p>
            <w:pPr>
              <w:pStyle w:val="TableParagraph"/>
              <w:spacing w:line="225" w:lineRule="auto"/>
              <w:ind w:right="177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122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045" w:type="dxa"/>
          </w:tcPr>
          <w:p>
            <w:pPr>
              <w:pStyle w:val="TableParagraph"/>
              <w:spacing w:line="344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421" w:hRule="atLeast"/>
        </w:trPr>
        <w:tc>
          <w:tcPr>
            <w:tcW w:w="773" w:type="dxa"/>
          </w:tcPr>
          <w:p>
            <w:pPr>
              <w:pStyle w:val="TableParagraph"/>
              <w:spacing w:line="225" w:lineRule="auto"/>
              <w:ind w:right="16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程序性</w:t>
            </w:r>
          </w:p>
          <w:p>
            <w:pPr>
              <w:pStyle w:val="TableParagraph"/>
              <w:spacing w:line="225" w:lineRule="auto"/>
              <w:ind w:right="178"/>
              <w:jc w:val="both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最關鍵屏</w:t>
            </w:r>
          </w:p>
          <w:p>
            <w:pPr>
              <w:pStyle w:val="TableParagraph"/>
              <w:spacing w:line="333" w:lineRule="exact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11" w:type="dxa"/>
          </w:tcPr>
          <w:p>
            <w:pPr>
              <w:pStyle w:val="TableParagraph"/>
              <w:spacing w:line="225" w:lineRule="auto"/>
              <w:ind w:left="108" w:right="18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停機、斷電、上鎖掛牌</w:t>
            </w:r>
          </w:p>
          <w:p>
            <w:pPr>
              <w:pStyle w:val="TableParagraph"/>
              <w:spacing w:line="352" w:lineRule="exact"/>
              <w:ind w:left="108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(LOTO)</w:t>
            </w:r>
            <w:r>
              <w:rPr>
                <w:b/>
                <w:sz w:val="20"/>
              </w:rPr>
              <w:t>程序</w:t>
            </w:r>
          </w:p>
        </w:tc>
        <w:tc>
          <w:tcPr>
            <w:tcW w:w="898" w:type="dxa"/>
          </w:tcPr>
          <w:p>
            <w:pPr>
              <w:pStyle w:val="TableParagraph"/>
              <w:spacing w:line="225" w:lineRule="auto"/>
              <w:ind w:right="17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完全不存在或未執行</w:t>
            </w:r>
          </w:p>
        </w:tc>
        <w:tc>
          <w:tcPr>
            <w:tcW w:w="3122" w:type="dxa"/>
          </w:tcPr>
          <w:p>
            <w:pPr>
              <w:pStyle w:val="TableParagraph"/>
              <w:spacing w:line="225" w:lineRule="auto"/>
              <w:ind w:right="201"/>
              <w:jc w:val="both"/>
              <w:rPr>
                <w:rFonts w:ascii="Segoe UI" w:eastAsia="Segoe UI"/>
                <w:sz w:val="20"/>
              </w:rPr>
            </w:pPr>
            <w:r>
              <w:rPr>
                <w:spacing w:val="-1"/>
                <w:sz w:val="20"/>
              </w:rPr>
              <w:t>未針對維修、保養、調整等作業建立並強制執行 </w:t>
            </w:r>
            <w:r>
              <w:rPr>
                <w:rFonts w:ascii="Segoe UI" w:eastAsia="Segoe UI"/>
                <w:sz w:val="20"/>
              </w:rPr>
              <w:t>LOTO </w:t>
            </w:r>
            <w:r>
              <w:rPr>
                <w:spacing w:val="-3"/>
                <w:sz w:val="20"/>
              </w:rPr>
              <w:t>程序。勞</w:t>
            </w:r>
            <w:r>
              <w:rPr>
                <w:spacing w:val="-1"/>
                <w:sz w:val="20"/>
              </w:rPr>
              <w:t>工可能為求方便或缺乏認知而未</w:t>
            </w:r>
            <w:r>
              <w:rPr>
                <w:sz w:val="20"/>
              </w:rPr>
              <w:t>停機。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45" w:type="dxa"/>
          </w:tcPr>
          <w:p>
            <w:pPr>
              <w:pStyle w:val="TableParagraph"/>
              <w:spacing w:line="225" w:lineRule="auto"/>
              <w:ind w:left="106" w:right="12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最致命的屏障失效。 </w:t>
            </w:r>
            <w:r>
              <w:rPr>
                <w:sz w:val="20"/>
              </w:rPr>
              <w:t>允許了危害能量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輸送帶運轉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在維修作業中持續存在，這是後續所有事件的根本前提。</w:t>
            </w:r>
          </w:p>
        </w:tc>
      </w:tr>
      <w:tr>
        <w:trPr>
          <w:trHeight w:val="1384" w:hRule="atLeast"/>
        </w:trPr>
        <w:tc>
          <w:tcPr>
            <w:tcW w:w="773" w:type="dxa"/>
          </w:tcPr>
          <w:p>
            <w:pPr>
              <w:pStyle w:val="TableParagraph"/>
              <w:spacing w:line="225" w:lineRule="auto"/>
              <w:ind w:right="252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511" w:type="dxa"/>
          </w:tcPr>
          <w:p>
            <w:pPr>
              <w:pStyle w:val="TableParagraph"/>
              <w:spacing w:line="225" w:lineRule="auto"/>
              <w:ind w:left="108" w:right="101" w:hanging="1"/>
              <w:jc w:val="both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尾輪轉動部固定式護罩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護圍</w:t>
            </w:r>
          </w:p>
        </w:tc>
        <w:tc>
          <w:tcPr>
            <w:tcW w:w="898" w:type="dxa"/>
          </w:tcPr>
          <w:p>
            <w:pPr>
              <w:pStyle w:val="TableParagraph"/>
              <w:spacing w:line="225" w:lineRule="auto"/>
              <w:ind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  <w:p>
            <w:pPr>
              <w:pStyle w:val="TableParagraph"/>
              <w:spacing w:line="35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22" w:type="dxa"/>
          </w:tcPr>
          <w:p>
            <w:pPr>
              <w:pStyle w:val="TableParagraph"/>
              <w:spacing w:line="225" w:lineRule="auto"/>
              <w:ind w:left="106" w:right="202"/>
              <w:rPr>
                <w:sz w:val="20"/>
              </w:rPr>
            </w:pPr>
            <w:r>
              <w:rPr>
                <w:sz w:val="20"/>
              </w:rPr>
              <w:t>設備在安裝或後續使用中，從未加裝此基本的物理性防護。</w:t>
            </w:r>
          </w:p>
        </w:tc>
        <w:tc>
          <w:tcPr>
            <w:tcW w:w="3045" w:type="dxa"/>
          </w:tcPr>
          <w:p>
            <w:pPr>
              <w:pStyle w:val="TableParagraph"/>
              <w:spacing w:line="225" w:lineRule="auto"/>
              <w:ind w:left="106" w:right="126"/>
              <w:rPr>
                <w:sz w:val="20"/>
              </w:rPr>
            </w:pPr>
            <w:r>
              <w:rPr>
                <w:spacing w:val="-2"/>
                <w:sz w:val="20"/>
              </w:rPr>
              <w:t>直接讓作業員的手部暴露於輸送</w:t>
            </w:r>
            <w:r>
              <w:rPr>
                <w:sz w:val="20"/>
              </w:rPr>
              <w:t>帶的捲入點危害中。若有此屏 </w:t>
            </w:r>
            <w:r>
              <w:rPr>
                <w:spacing w:val="-2"/>
                <w:sz w:val="20"/>
              </w:rPr>
              <w:t>障，即使未停機，手部也無法接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z w:val="20"/>
              </w:rPr>
              <w:t>觸到危險點。</w:t>
            </w:r>
          </w:p>
        </w:tc>
      </w:tr>
      <w:tr>
        <w:trPr>
          <w:trHeight w:val="1383" w:hRule="atLeast"/>
        </w:trPr>
        <w:tc>
          <w:tcPr>
            <w:tcW w:w="773" w:type="dxa"/>
          </w:tcPr>
          <w:p>
            <w:pPr>
              <w:pStyle w:val="TableParagraph"/>
              <w:spacing w:line="225" w:lineRule="auto"/>
              <w:ind w:right="252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511" w:type="dxa"/>
          </w:tcPr>
          <w:p>
            <w:pPr>
              <w:pStyle w:val="TableParagraph"/>
              <w:spacing w:line="225" w:lineRule="auto"/>
              <w:ind w:left="108" w:right="120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維修作業許可制度</w:t>
            </w:r>
          </w:p>
        </w:tc>
        <w:tc>
          <w:tcPr>
            <w:tcW w:w="898" w:type="dxa"/>
          </w:tcPr>
          <w:p>
            <w:pPr>
              <w:pStyle w:val="TableParagraph"/>
              <w:spacing w:line="225" w:lineRule="auto"/>
              <w:ind w:right="177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不存在或無效</w:t>
            </w:r>
          </w:p>
          <w:p>
            <w:pPr>
              <w:pStyle w:val="TableParagraph"/>
              <w:spacing w:line="35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22" w:type="dxa"/>
          </w:tcPr>
          <w:p>
            <w:pPr>
              <w:pStyle w:val="TableParagraph"/>
              <w:spacing w:line="225" w:lineRule="auto"/>
              <w:ind w:left="106" w:right="202"/>
              <w:rPr>
                <w:sz w:val="20"/>
              </w:rPr>
            </w:pPr>
            <w:r>
              <w:rPr>
                <w:sz w:val="20"/>
              </w:rPr>
              <w:t>公司未建立維修前需申請許可的制度。若有許可，就必須檢核</w:t>
            </w:r>
          </w:p>
          <w:p>
            <w:pPr>
              <w:pStyle w:val="TableParagraph"/>
              <w:spacing w:line="341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LOTO</w:t>
            </w:r>
            <w:r>
              <w:rPr>
                <w:sz w:val="20"/>
              </w:rPr>
              <w:t>、作業方法、監護人等，此</w:t>
            </w:r>
          </w:p>
          <w:p>
            <w:pPr>
              <w:pStyle w:val="TableParagraph"/>
              <w:spacing w:line="338" w:lineRule="exact"/>
              <w:ind w:left="106"/>
              <w:rPr>
                <w:sz w:val="20"/>
              </w:rPr>
            </w:pPr>
            <w:r>
              <w:rPr>
                <w:sz w:val="20"/>
              </w:rPr>
              <w:t>作業將不會被批准。</w:t>
            </w:r>
          </w:p>
        </w:tc>
        <w:tc>
          <w:tcPr>
            <w:tcW w:w="3045" w:type="dxa"/>
          </w:tcPr>
          <w:p>
            <w:pPr>
              <w:pStyle w:val="TableParagraph"/>
              <w:spacing w:line="225" w:lineRule="auto"/>
              <w:ind w:left="106" w:right="125"/>
              <w:jc w:val="both"/>
              <w:rPr>
                <w:sz w:val="20"/>
              </w:rPr>
            </w:pPr>
            <w:r>
              <w:rPr>
                <w:sz w:val="20"/>
              </w:rPr>
              <w:t>缺乏一個在事前審查並攔截不安全維修計畫的機制，讓不安全的臨時起意得以執行。</w:t>
            </w:r>
          </w:p>
        </w:tc>
      </w:tr>
      <w:tr>
        <w:trPr>
          <w:trHeight w:val="1384" w:hRule="atLeast"/>
        </w:trPr>
        <w:tc>
          <w:tcPr>
            <w:tcW w:w="773" w:type="dxa"/>
          </w:tcPr>
          <w:p>
            <w:pPr>
              <w:pStyle w:val="TableParagraph"/>
              <w:spacing w:line="225" w:lineRule="auto"/>
              <w:ind w:right="252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511" w:type="dxa"/>
          </w:tcPr>
          <w:p>
            <w:pPr>
              <w:pStyle w:val="TableParagraph"/>
              <w:spacing w:line="225" w:lineRule="auto"/>
              <w:ind w:left="108" w:right="120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單人作業安全管制</w:t>
            </w:r>
          </w:p>
        </w:tc>
        <w:tc>
          <w:tcPr>
            <w:tcW w:w="898" w:type="dxa"/>
          </w:tcPr>
          <w:p>
            <w:pPr>
              <w:pStyle w:val="TableParagraph"/>
              <w:spacing w:line="225" w:lineRule="auto"/>
              <w:ind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3122" w:type="dxa"/>
          </w:tcPr>
          <w:p>
            <w:pPr>
              <w:pStyle w:val="TableParagraph"/>
              <w:spacing w:line="225" w:lineRule="auto"/>
              <w:ind w:right="202"/>
              <w:jc w:val="both"/>
              <w:rPr>
                <w:sz w:val="20"/>
              </w:rPr>
            </w:pPr>
            <w:r>
              <w:rPr>
                <w:sz w:val="20"/>
              </w:rPr>
              <w:t>允許勞工單獨從事高風險的維修作業，且未建立任何監控、定時回報或巡檢機制。</w:t>
            </w:r>
          </w:p>
        </w:tc>
        <w:tc>
          <w:tcPr>
            <w:tcW w:w="3045" w:type="dxa"/>
          </w:tcPr>
          <w:p>
            <w:pPr>
              <w:pStyle w:val="TableParagraph"/>
              <w:spacing w:line="225" w:lineRule="auto"/>
              <w:ind w:left="106" w:right="118"/>
              <w:jc w:val="both"/>
              <w:rPr>
                <w:sz w:val="20"/>
              </w:rPr>
            </w:pPr>
            <w:r>
              <w:rPr>
                <w:sz w:val="20"/>
              </w:rPr>
              <w:t>事故發生後，罹災者無法自救或求救，也無人能及時發現，導致</w:t>
            </w:r>
            <w:r>
              <w:rPr>
                <w:spacing w:val="-1"/>
                <w:sz w:val="20"/>
              </w:rPr>
              <w:t>救援時間嚴重延遲超過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pacing w:val="-5"/>
                <w:sz w:val="20"/>
              </w:rPr>
              <w:t>小時，</w:t>
            </w:r>
          </w:p>
          <w:p>
            <w:pPr>
              <w:pStyle w:val="TableParagraph"/>
              <w:spacing w:line="335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錯失任何可能的救援時機。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2.013565pt;width:467.85pt;height:1.55pt;mso-position-horizontal-relative:page;mso-position-vertical-relative:paragraph;z-index:-856;mso-wrap-distance-left:0;mso-wrap-distance-right:0" coordorigin="1276,440" coordsize="9357,31">
            <v:line style="position:absolute" from="1276,455" to="10632,455" stroked="true" strokeweight="1.5pt" strokecolor="#9f9f9f">
              <v:stroke dashstyle="solid"/>
            </v:line>
            <v:rect style="position:absolute;left:1275;top:440;width:5;height:5" filled="true" fillcolor="#9f9f9f" stroked="false">
              <v:fill type="solid"/>
            </v:rect>
            <v:rect style="position:absolute;left:1275;top:440;width:5;height:5" filled="true" fillcolor="#9f9f9f" stroked="false">
              <v:fill type="solid"/>
            </v:rect>
            <v:line style="position:absolute" from="1280,443" to="10627,443" stroked="true" strokeweight=".24pt" strokecolor="#9f9f9f">
              <v:stroke dashstyle="solid"/>
            </v:line>
            <v:rect style="position:absolute;left:10627;top:440;width:5;height:5" filled="true" fillcolor="#e2e2e2" stroked="false">
              <v:fill type="solid"/>
            </v:rect>
            <v:rect style="position:absolute;left:10627;top:440;width:5;height:5" filled="true" fillcolor="#9f9f9f" stroked="false">
              <v:fill type="solid"/>
            </v:rect>
            <v:rect style="position:absolute;left:1275;top:445;width:5;height:21" filled="true" fillcolor="#9f9f9f" stroked="false">
              <v:fill type="solid"/>
            </v:rect>
            <v:rect style="position:absolute;left:10627;top:445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8" to="10627,468" stroked="true" strokeweight=".24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225" w:lineRule="auto" w:before="6"/>
        <w:ind w:left="475" w:right="468"/>
      </w:pPr>
      <w:r>
        <w:rPr/>
        <w:t>本分析比較「事故狀況」與一個「理想的無事故狀況」，以識別導致事故的關鍵差異。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583"/>
        <w:gridCol w:w="2297"/>
        <w:gridCol w:w="1715"/>
        <w:gridCol w:w="2680"/>
      </w:tblGrid>
      <w:tr>
        <w:trPr>
          <w:trHeight w:val="692" w:hRule="atLeast"/>
        </w:trPr>
        <w:tc>
          <w:tcPr>
            <w:tcW w:w="1073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(Factor)</w:t>
            </w:r>
          </w:p>
        </w:tc>
        <w:tc>
          <w:tcPr>
            <w:tcW w:w="1583" w:type="dxa"/>
          </w:tcPr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297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先前、理想或未發生事</w:t>
            </w:r>
          </w:p>
          <w:p>
            <w:pPr>
              <w:pStyle w:val="TableParagraph"/>
              <w:spacing w:line="332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比較基準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15" w:type="dxa"/>
          </w:tcPr>
          <w:p>
            <w:pPr>
              <w:pStyle w:val="TableParagraph"/>
              <w:spacing w:line="351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80" w:type="dxa"/>
          </w:tcPr>
          <w:p>
            <w:pPr>
              <w:pStyle w:val="TableParagraph"/>
              <w:spacing w:line="340" w:lineRule="exact"/>
              <w:ind w:left="106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此差異對事故的</w:t>
            </w:r>
          </w:p>
          <w:p>
            <w:pPr>
              <w:pStyle w:val="TableParagraph"/>
              <w:spacing w:line="332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691" w:hRule="atLeast"/>
        </w:trPr>
        <w:tc>
          <w:tcPr>
            <w:tcW w:w="1073" w:type="dxa"/>
          </w:tcPr>
          <w:p>
            <w:pPr>
              <w:pStyle w:val="TableParagraph"/>
              <w:spacing w:line="340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(</w:t>
            </w:r>
            <w:r>
              <w:rPr>
                <w:b/>
                <w:sz w:val="20"/>
              </w:rPr>
              <w:t>方</w:t>
            </w:r>
          </w:p>
          <w:p>
            <w:pPr>
              <w:pStyle w:val="TableParagraph"/>
              <w:spacing w:line="332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法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程序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83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在輸送帶</w:t>
            </w:r>
            <w:r>
              <w:rPr>
                <w:rFonts w:ascii="Segoe UI" w:eastAsia="Segoe UI"/>
                <w:spacing w:val="-1"/>
                <w:sz w:val="20"/>
              </w:rPr>
              <w:t>**</w:t>
            </w:r>
            <w:r>
              <w:rPr>
                <w:spacing w:val="-1"/>
                <w:sz w:val="20"/>
              </w:rPr>
              <w:t>「動</w:t>
            </w:r>
          </w:p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態」運轉</w:t>
            </w:r>
            <w:r>
              <w:rPr>
                <w:rFonts w:ascii="Segoe UI" w:eastAsia="Segoe UI"/>
                <w:spacing w:val="-1"/>
                <w:sz w:val="20"/>
              </w:rPr>
              <w:t>**</w:t>
            </w:r>
            <w:r>
              <w:rPr>
                <w:spacing w:val="-1"/>
                <w:sz w:val="20"/>
              </w:rPr>
              <w:t>下，</w:t>
            </w:r>
          </w:p>
        </w:tc>
        <w:tc>
          <w:tcPr>
            <w:tcW w:w="2297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在輸送帶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「靜態」</w:t>
            </w:r>
          </w:p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**(</w:t>
            </w:r>
            <w:r>
              <w:rPr>
                <w:sz w:val="20"/>
              </w:rPr>
              <w:t>已執行 </w:t>
            </w:r>
            <w:r>
              <w:rPr>
                <w:rFonts w:ascii="Segoe UI" w:eastAsia="Segoe UI"/>
                <w:sz w:val="20"/>
              </w:rPr>
              <w:t>LOTO)</w:t>
            </w:r>
            <w:r>
              <w:rPr>
                <w:sz w:val="20"/>
              </w:rPr>
              <w:t>下，由</w:t>
            </w:r>
          </w:p>
        </w:tc>
        <w:tc>
          <w:tcPr>
            <w:tcW w:w="1715" w:type="dxa"/>
          </w:tcPr>
          <w:p>
            <w:pPr>
              <w:pStyle w:val="TableParagraph"/>
              <w:spacing w:line="340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維修方法由「有</w:t>
            </w:r>
          </w:p>
          <w:p>
            <w:pPr>
              <w:pStyle w:val="TableParagraph"/>
              <w:spacing w:line="332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計畫、安全的」</w:t>
            </w:r>
          </w:p>
        </w:tc>
        <w:tc>
          <w:tcPr>
            <w:tcW w:w="2680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b/>
                <w:sz w:val="20"/>
              </w:rPr>
              <w:t>核心技術差異。 </w:t>
            </w:r>
            <w:r>
              <w:rPr>
                <w:sz w:val="20"/>
              </w:rPr>
              <w:t>此變更將</w:t>
            </w:r>
          </w:p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一個可控的維修作業，轉變</w:t>
            </w:r>
          </w:p>
        </w:tc>
      </w:tr>
    </w:tbl>
    <w:p>
      <w:pPr>
        <w:spacing w:after="0" w:line="332" w:lineRule="exact"/>
        <w:rPr>
          <w:sz w:val="20"/>
        </w:rPr>
        <w:sectPr>
          <w:pgSz w:w="11910" w:h="16840"/>
          <w:pgMar w:top="1580" w:bottom="280" w:left="1160" w:right="11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583"/>
        <w:gridCol w:w="2297"/>
        <w:gridCol w:w="1715"/>
        <w:gridCol w:w="2680"/>
      </w:tblGrid>
      <w:tr>
        <w:trPr>
          <w:trHeight w:val="1037" w:hRule="atLeast"/>
        </w:trPr>
        <w:tc>
          <w:tcPr>
            <w:tcW w:w="10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</w:tcPr>
          <w:p>
            <w:pPr>
              <w:pStyle w:val="TableParagraph"/>
              <w:spacing w:line="225" w:lineRule="auto" w:before="4"/>
              <w:ind w:right="262"/>
              <w:rPr>
                <w:sz w:val="20"/>
              </w:rPr>
            </w:pPr>
            <w:r>
              <w:rPr>
                <w:sz w:val="20"/>
              </w:rPr>
              <w:t>以手動方式進行皮帶調整。</w:t>
            </w:r>
          </w:p>
        </w:tc>
        <w:tc>
          <w:tcPr>
            <w:tcW w:w="2297" w:type="dxa"/>
          </w:tcPr>
          <w:p>
            <w:pPr>
              <w:pStyle w:val="TableParagraph"/>
              <w:spacing w:line="225" w:lineRule="auto" w:before="4"/>
              <w:ind w:right="176"/>
              <w:rPr>
                <w:sz w:val="20"/>
              </w:rPr>
            </w:pPr>
            <w:r>
              <w:rPr>
                <w:sz w:val="20"/>
              </w:rPr>
              <w:t>兩人以上合作，使用適當工具安全地進行調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整。</w:t>
            </w:r>
          </w:p>
        </w:tc>
        <w:tc>
          <w:tcPr>
            <w:tcW w:w="1715" w:type="dxa"/>
          </w:tcPr>
          <w:p>
            <w:pPr>
              <w:pStyle w:val="TableParagraph"/>
              <w:spacing w:line="225" w:lineRule="auto" w:before="4"/>
              <w:ind w:right="195"/>
              <w:rPr>
                <w:b/>
                <w:sz w:val="20"/>
              </w:rPr>
            </w:pPr>
            <w:r>
              <w:rPr>
                <w:b/>
                <w:sz w:val="20"/>
              </w:rPr>
              <w:t>變為「臨時、危險的」。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 w:before="4"/>
              <w:ind w:right="159"/>
              <w:rPr>
                <w:sz w:val="20"/>
              </w:rPr>
            </w:pPr>
            <w:r>
              <w:rPr>
                <w:sz w:val="20"/>
              </w:rPr>
              <w:t>為一個高致命風險的動作， 直接將人員置於失控的危害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能量之中。</w:t>
            </w:r>
          </w:p>
        </w:tc>
      </w:tr>
      <w:tr>
        <w:trPr>
          <w:trHeight w:val="1383" w:hRule="atLeast"/>
        </w:trPr>
        <w:tc>
          <w:tcPr>
            <w:tcW w:w="1073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(</w:t>
            </w:r>
            <w:r>
              <w:rPr>
                <w:b/>
                <w:sz w:val="20"/>
              </w:rPr>
              <w:t>人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員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監督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583" w:type="dxa"/>
          </w:tcPr>
          <w:p>
            <w:pPr>
              <w:pStyle w:val="TableParagraph"/>
              <w:spacing w:line="225" w:lineRule="auto" w:before="4"/>
              <w:ind w:right="130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「單獨」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一人進行非例行性的高風險維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修作業。</w:t>
            </w:r>
          </w:p>
        </w:tc>
        <w:tc>
          <w:tcPr>
            <w:tcW w:w="2297" w:type="dxa"/>
          </w:tcPr>
          <w:p>
            <w:pPr>
              <w:pStyle w:val="TableParagraph"/>
              <w:spacing w:line="225" w:lineRule="auto" w:before="4"/>
              <w:ind w:right="175" w:hanging="1"/>
              <w:jc w:val="both"/>
              <w:rPr>
                <w:sz w:val="20"/>
              </w:rPr>
            </w:pPr>
            <w:r>
              <w:rPr>
                <w:sz w:val="20"/>
              </w:rPr>
              <w:t>維修作業應指派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「兩人以上」</w:t>
            </w:r>
            <w:r>
              <w:rPr>
                <w:b/>
                <w:sz w:val="20"/>
              </w:rPr>
              <w:t>共同執行，或至少應有</w:t>
            </w:r>
            <w:r>
              <w:rPr>
                <w:sz w:val="20"/>
              </w:rPr>
              <w:t>「監護人員」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在旁監看。</w:t>
            </w:r>
          </w:p>
        </w:tc>
        <w:tc>
          <w:tcPr>
            <w:tcW w:w="1715" w:type="dxa"/>
          </w:tcPr>
          <w:p>
            <w:pPr>
              <w:pStyle w:val="TableParagraph"/>
              <w:spacing w:line="225" w:lineRule="auto" w:before="4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作業人員由「受監護」變為「完全無人監護」。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 w:before="4"/>
              <w:ind w:right="159"/>
              <w:jc w:val="both"/>
              <w:rPr>
                <w:sz w:val="20"/>
              </w:rPr>
            </w:pPr>
            <w:r>
              <w:rPr>
                <w:sz w:val="20"/>
              </w:rPr>
              <w:t>移除了事故發生時能夠立即反應與求援的最重要屏障。這是導致發現時間嚴重延遲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的直接原因。</w:t>
            </w:r>
          </w:p>
        </w:tc>
      </w:tr>
      <w:tr>
        <w:trPr>
          <w:trHeight w:val="1384" w:hRule="atLeast"/>
        </w:trPr>
        <w:tc>
          <w:tcPr>
            <w:tcW w:w="1073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  <w:p>
            <w:pPr>
              <w:pStyle w:val="TableParagraph"/>
              <w:spacing w:line="225" w:lineRule="auto" w:before="10"/>
              <w:ind w:right="293" w:hanging="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設備狀態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583" w:type="dxa"/>
          </w:tcPr>
          <w:p>
            <w:pPr>
              <w:pStyle w:val="TableParagraph"/>
              <w:spacing w:line="225" w:lineRule="auto" w:before="5"/>
              <w:ind w:right="95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輸送帶設備處於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「可運轉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無任何防護」</w:t>
            </w:r>
            <w:r>
              <w:rPr>
                <w:rFonts w:ascii="Segoe UI" w:eastAsia="Segoe UI"/>
                <w:sz w:val="20"/>
              </w:rPr>
              <w:t>**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的狀態。</w:t>
            </w:r>
          </w:p>
        </w:tc>
        <w:tc>
          <w:tcPr>
            <w:tcW w:w="2297" w:type="dxa"/>
          </w:tcPr>
          <w:p>
            <w:pPr>
              <w:pStyle w:val="TableParagraph"/>
              <w:spacing w:line="225" w:lineRule="auto" w:before="5"/>
              <w:ind w:right="131"/>
              <w:jc w:val="both"/>
              <w:rPr>
                <w:sz w:val="20"/>
              </w:rPr>
            </w:pPr>
            <w:r>
              <w:rPr>
                <w:sz w:val="20"/>
              </w:rPr>
              <w:t>設備應處於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「無法運轉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有物理防護」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的狀態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透過</w:t>
            </w:r>
            <w:r>
              <w:rPr>
                <w:rFonts w:ascii="Segoe UI" w:eastAsia="Segoe UI"/>
                <w:sz w:val="20"/>
              </w:rPr>
              <w:t>LOTO </w:t>
            </w:r>
            <w:r>
              <w:rPr>
                <w:sz w:val="20"/>
              </w:rPr>
              <w:t>及護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罩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15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設備安全狀態由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「已確保」變為</w:t>
            </w:r>
          </w:p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「未確保」。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 w:before="5"/>
              <w:ind w:right="99" w:hanging="1"/>
              <w:rPr>
                <w:sz w:val="20"/>
              </w:rPr>
            </w:pPr>
            <w:r>
              <w:rPr>
                <w:sz w:val="20"/>
              </w:rPr>
              <w:t>允許了危害能量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輸送帶轉 動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pacing w:val="-2"/>
                <w:sz w:val="20"/>
              </w:rPr>
              <w:t>在人員接近維修時持續存</w:t>
            </w:r>
            <w:r>
              <w:rPr>
                <w:sz w:val="20"/>
              </w:rPr>
              <w:t>在，是事故發生的物理性前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提。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10001pt;width:467.85pt;height:1.55pt;mso-position-horizontal-relative:page;mso-position-vertical-relative:paragraph;z-index:-832;mso-wrap-distance-left:0;mso-wrap-distance-right:0" coordorigin="1276,452" coordsize="9357,31">
            <v:line style="position:absolute" from="1276,467" to="1063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627,455" stroked="true" strokeweight=".239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627,480" stroked="true" strokeweight=".239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475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2727"/>
        <w:gridCol w:w="4630"/>
      </w:tblGrid>
      <w:tr>
        <w:trPr>
          <w:trHeight w:val="346" w:hRule="atLeast"/>
        </w:trPr>
        <w:tc>
          <w:tcPr>
            <w:tcW w:w="1991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2727" w:type="dxa"/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630" w:type="dxa"/>
          </w:tcPr>
          <w:p>
            <w:pPr>
              <w:pStyle w:val="TableParagraph"/>
              <w:spacing w:line="32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766" w:hRule="atLeast"/>
        </w:trPr>
        <w:tc>
          <w:tcPr>
            <w:tcW w:w="1991" w:type="dxa"/>
          </w:tcPr>
          <w:p>
            <w:pPr>
              <w:pStyle w:val="TableParagraph"/>
              <w:spacing w:line="225" w:lineRule="auto"/>
              <w:ind w:right="270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常規性或情境性違規 </w:t>
            </w:r>
            <w:r>
              <w:rPr>
                <w:rFonts w:ascii="Segoe UI" w:eastAsia="Segoe UI"/>
                <w:b/>
                <w:sz w:val="20"/>
              </w:rPr>
              <w:t>(Violation)</w:t>
            </w:r>
          </w:p>
        </w:tc>
        <w:tc>
          <w:tcPr>
            <w:tcW w:w="2727" w:type="dxa"/>
          </w:tcPr>
          <w:p>
            <w:pPr>
              <w:pStyle w:val="TableParagraph"/>
              <w:spacing w:line="225" w:lineRule="auto"/>
              <w:ind w:left="108" w:right="205"/>
              <w:rPr>
                <w:b/>
                <w:sz w:val="20"/>
              </w:rPr>
            </w:pPr>
            <w:r>
              <w:rPr>
                <w:b/>
                <w:sz w:val="20"/>
              </w:rPr>
              <w:t>罹災者潘員在輸送帶運轉中進行調整作業。</w:t>
            </w:r>
          </w:p>
          <w:p>
            <w:pPr>
              <w:pStyle w:val="TableParagraph"/>
              <w:spacing w:line="225" w:lineRule="auto"/>
              <w:ind w:left="108" w:right="205"/>
              <w:rPr>
                <w:sz w:val="20"/>
              </w:rPr>
            </w:pPr>
            <w:r>
              <w:rPr>
                <w:spacing w:val="-2"/>
                <w:sz w:val="20"/>
              </w:rPr>
              <w:t>此行為可能是為求快速解決</w:t>
            </w:r>
            <w:r>
              <w:rPr>
                <w:sz w:val="20"/>
              </w:rPr>
              <w:t>漏料問題，而採取的</w:t>
            </w:r>
            <w:r>
              <w:rPr>
                <w:b/>
                <w:spacing w:val="-5"/>
                <w:sz w:val="20"/>
              </w:rPr>
              <w:t>情境性</w:t>
            </w:r>
            <w:r>
              <w:rPr>
                <w:b/>
                <w:sz w:val="20"/>
              </w:rPr>
              <w:t>違規</w:t>
            </w:r>
            <w:r>
              <w:rPr>
                <w:spacing w:val="-2"/>
                <w:sz w:val="20"/>
              </w:rPr>
              <w:t>；或是過去曾如此便宜</w:t>
            </w:r>
            <w:r>
              <w:rPr>
                <w:sz w:val="20"/>
              </w:rPr>
              <w:t>行事，已演變成</w:t>
            </w:r>
            <w:r>
              <w:rPr>
                <w:b/>
                <w:sz w:val="20"/>
              </w:rPr>
              <w:t>常規性違 規</w:t>
            </w:r>
            <w:r>
              <w:rPr>
                <w:sz w:val="20"/>
              </w:rPr>
              <w:t>。</w:t>
            </w:r>
          </w:p>
        </w:tc>
        <w:tc>
          <w:tcPr>
            <w:tcW w:w="463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76" w:val="left" w:leader="none"/>
              </w:tabs>
              <w:spacing w:line="225" w:lineRule="auto" w:before="0" w:after="0"/>
              <w:ind w:left="107" w:right="108" w:firstLine="0"/>
              <w:jc w:val="left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安全程序與文化真空： </w:t>
            </w:r>
            <w:r>
              <w:rPr>
                <w:sz w:val="20"/>
              </w:rPr>
              <w:t>公司完全沒有提供維修</w:t>
            </w:r>
            <w:r>
              <w:rPr>
                <w:spacing w:val="-1"/>
                <w:sz w:val="20"/>
              </w:rPr>
              <w:t>時應遵循的 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rFonts w:ascii="Segoe UI" w:eastAsia="Segoe UI"/>
                <w:spacing w:val="-5"/>
                <w:sz w:val="20"/>
              </w:rPr>
              <w:t> </w:t>
            </w:r>
            <w:r>
              <w:rPr>
                <w:spacing w:val="49"/>
                <w:sz w:val="20"/>
              </w:rPr>
              <w:t>與</w:t>
            </w:r>
            <w:r>
              <w:rPr>
                <w:rFonts w:ascii="Segoe UI" w:eastAsia="Segoe UI"/>
                <w:sz w:val="20"/>
              </w:rPr>
              <w:t>LOTO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z w:val="20"/>
              </w:rPr>
              <w:t>程序，等於是放任員工</w:t>
            </w:r>
            <w:r>
              <w:rPr>
                <w:spacing w:val="-1"/>
                <w:sz w:val="20"/>
              </w:rPr>
              <w:t>在面對問題時，只能依賴個人判斷與不安全的「經</w:t>
            </w:r>
            <w:r>
              <w:rPr>
                <w:sz w:val="20"/>
              </w:rPr>
              <w:t>驗法則」來行動。這是一種管理上的完全棄守。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7" w:val="left" w:leader="none"/>
              </w:tabs>
              <w:spacing w:line="225" w:lineRule="auto" w:before="0" w:after="0"/>
              <w:ind w:left="107" w:right="108" w:firstLine="0"/>
              <w:jc w:val="both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生產壓力凌駕安全： </w:t>
            </w:r>
            <w:r>
              <w:rPr>
                <w:sz w:val="20"/>
              </w:rPr>
              <w:t>一發現漏料就立即處理， </w:t>
            </w:r>
            <w:r>
              <w:rPr>
                <w:spacing w:val="-1"/>
                <w:sz w:val="20"/>
              </w:rPr>
              <w:t>反映了「維持生產」的急迫性高於「安全停機」的要求。這種隱性的組織壓力，會直接鼓勵員工採取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不安全的捷徑。</w:t>
            </w:r>
          </w:p>
        </w:tc>
      </w:tr>
      <w:tr>
        <w:trPr>
          <w:trHeight w:val="2768" w:hRule="atLeast"/>
        </w:trPr>
        <w:tc>
          <w:tcPr>
            <w:tcW w:w="1991" w:type="dxa"/>
          </w:tcPr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ind w:right="94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(Knowledge-based Mistake)</w:t>
            </w:r>
          </w:p>
        </w:tc>
        <w:tc>
          <w:tcPr>
            <w:tcW w:w="2727" w:type="dxa"/>
          </w:tcPr>
          <w:p>
            <w:pPr>
              <w:pStyle w:val="TableParagraph"/>
              <w:spacing w:line="225" w:lineRule="auto"/>
              <w:ind w:left="108" w:right="117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雇主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現場負責人未能提供安全的維修程序與監督機制。</w:t>
            </w:r>
          </w:p>
        </w:tc>
        <w:tc>
          <w:tcPr>
            <w:tcW w:w="463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76" w:val="left" w:leader="none"/>
              </w:tabs>
              <w:spacing w:line="225" w:lineRule="auto" w:before="0" w:after="0"/>
              <w:ind w:left="107" w:right="109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風險評估的系統性失敗： </w:t>
            </w:r>
            <w:r>
              <w:rPr>
                <w:sz w:val="20"/>
              </w:rPr>
              <w:t>管理階層從未對「輸送帶維修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調整」這類非例行但高風險的作業進行</w:t>
            </w:r>
            <w:r>
              <w:rPr>
                <w:spacing w:val="-1"/>
                <w:sz w:val="20"/>
              </w:rPr>
              <w:t>危害辨識與風險評估。他們可能不知道 </w:t>
            </w:r>
            <w:r>
              <w:rPr>
                <w:rFonts w:ascii="Segoe UI" w:eastAsia="Segoe UI"/>
                <w:sz w:val="20"/>
              </w:rPr>
              <w:t>LOTO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pacing w:val="-6"/>
                <w:sz w:val="20"/>
              </w:rPr>
              <w:t>的重</w:t>
            </w:r>
            <w:r>
              <w:rPr>
                <w:sz w:val="20"/>
              </w:rPr>
              <w:t>要性，也不知道單獨維修的致命風險。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6" w:val="left" w:leader="none"/>
              </w:tabs>
              <w:spacing w:line="225" w:lineRule="auto" w:before="0" w:after="0"/>
              <w:ind w:left="107" w:right="109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安全管理責任與能力不足： </w:t>
            </w:r>
            <w:r>
              <w:rPr>
                <w:sz w:val="20"/>
              </w:rPr>
              <w:t>負責人未能履行其</w:t>
            </w:r>
            <w:r>
              <w:rPr>
                <w:spacing w:val="-1"/>
                <w:sz w:val="20"/>
              </w:rPr>
              <w:t>規劃、指揮、監督安全作業的職責，顯示其本身安全知識不足，也未能建立一個基本的安全管理制度</w:t>
            </w:r>
          </w:p>
          <w:p>
            <w:pPr>
              <w:pStyle w:val="TableParagraph"/>
              <w:spacing w:line="335" w:lineRule="exact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如作業許可、</w:t>
            </w:r>
            <w:r>
              <w:rPr>
                <w:rFonts w:ascii="Segoe UI" w:eastAsia="Segoe UI"/>
                <w:sz w:val="20"/>
              </w:rPr>
              <w:t>LOTO</w:t>
            </w:r>
            <w:r>
              <w:rPr>
                <w:sz w:val="20"/>
              </w:rPr>
              <w:t>、單人作業管制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1.993084pt;width:467.85pt;height:1.55pt;mso-position-horizontal-relative:page;mso-position-vertical-relative:paragraph;z-index:-808;mso-wrap-distance-left:0;mso-wrap-distance-right:0" coordorigin="1276,440" coordsize="9357,31">
            <v:line style="position:absolute" from="1276,455" to="10632,455" stroked="true" strokeweight="1.5pt" strokecolor="#9f9f9f">
              <v:stroke dashstyle="solid"/>
            </v:line>
            <v:rect style="position:absolute;left:1275;top:440;width:5;height:5" filled="true" fillcolor="#9f9f9f" stroked="false">
              <v:fill type="solid"/>
            </v:rect>
            <v:rect style="position:absolute;left:1275;top:440;width:5;height:5" filled="true" fillcolor="#9f9f9f" stroked="false">
              <v:fill type="solid"/>
            </v:rect>
            <v:line style="position:absolute" from="1280,442" to="10627,442" stroked="true" strokeweight=".24pt" strokecolor="#9f9f9f">
              <v:stroke dashstyle="solid"/>
            </v:line>
            <v:rect style="position:absolute;left:10627;top:440;width:5;height:5" filled="true" fillcolor="#e2e2e2" stroked="false">
              <v:fill type="solid"/>
            </v:rect>
            <v:rect style="position:absolute;left:10627;top:440;width:5;height:5" filled="true" fillcolor="#9f9f9f" stroked="false">
              <v:fill type="solid"/>
            </v:rect>
            <v:rect style="position:absolute;left:1275;top:444;width:5;height:21" filled="true" fillcolor="#9f9f9f" stroked="false">
              <v:fill type="solid"/>
            </v:rect>
            <v:rect style="position:absolute;left:10627;top:444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8" to="10627,468" stroked="true" strokeweight=".24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pStyle w:val="BodyText"/>
        <w:spacing w:line="225" w:lineRule="auto" w:before="6"/>
        <w:ind w:left="475" w:right="228"/>
      </w:pPr>
      <w:r>
        <w:rPr/>
        <w:t>本章節匯總前述六項分析的結果，旨在明確事故的直接原因與根本原因，並依據控制階層理論，提出能有效防止災害再次發生的系統性改善建議。</w:t>
      </w:r>
    </w:p>
    <w:p>
      <w:pPr>
        <w:pStyle w:val="Heading1"/>
        <w:spacing w:line="409" w:lineRule="exact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rFonts w:ascii="Calibri" w:hAnsi="Calibri" w:eastAsia="Calibri"/>
          <w:b/>
          <w:sz w:val="24"/>
        </w:rPr>
      </w:pPr>
      <w:r>
        <w:rPr>
          <w:b/>
          <w:spacing w:val="8"/>
          <w:sz w:val="24"/>
        </w:rPr>
        <w:t>不安全的狀況 </w:t>
      </w:r>
      <w:r>
        <w:rPr>
          <w:rFonts w:ascii="Calibri" w:hAnsi="Calibri" w:eastAsia="Calibri"/>
          <w:b/>
          <w:sz w:val="24"/>
        </w:rPr>
        <w:t>(Unsafe Conditions):</w:t>
      </w:r>
    </w:p>
    <w:p>
      <w:pPr>
        <w:spacing w:after="0" w:line="428" w:lineRule="exact"/>
        <w:jc w:val="left"/>
        <w:rPr>
          <w:rFonts w:ascii="Calibri" w:hAnsi="Calibri" w:eastAsia="Calibri"/>
          <w:sz w:val="24"/>
        </w:rPr>
        <w:sectPr>
          <w:pgSz w:w="11910" w:h="16840"/>
          <w:pgMar w:top="1420" w:bottom="280" w:left="1160" w:right="1160"/>
        </w:sect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428" w:lineRule="exact" w:before="28" w:after="0"/>
        <w:ind w:left="1555" w:right="0" w:hanging="360"/>
        <w:jc w:val="left"/>
        <w:rPr>
          <w:sz w:val="24"/>
        </w:rPr>
      </w:pPr>
      <w:r>
        <w:rPr>
          <w:sz w:val="24"/>
        </w:rPr>
        <w:t>輸送帶於調整維修作業期間，仍處於運轉狀態。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415" w:lineRule="exact" w:before="0" w:after="0"/>
        <w:ind w:left="1555" w:right="0" w:hanging="360"/>
        <w:jc w:val="left"/>
        <w:rPr>
          <w:rFonts w:ascii="Calibri" w:eastAsia="Calibri"/>
          <w:sz w:val="24"/>
        </w:rPr>
      </w:pPr>
      <w:r>
        <w:rPr>
          <w:sz w:val="24"/>
        </w:rPr>
        <w:t>輸送帶尾輪的皮帶與轉軸之間，存在捲夾點且未設置護罩。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不安全的行為 </w:t>
      </w:r>
      <w:r>
        <w:rPr>
          <w:rFonts w:ascii="Calibri" w:hAnsi="Calibri" w:eastAsia="Calibri"/>
        </w:rPr>
        <w:t>(Unsafe Acts):</w:t>
      </w:r>
    </w:p>
    <w:p>
      <w:pPr>
        <w:pStyle w:val="ListParagraph"/>
        <w:numPr>
          <w:ilvl w:val="0"/>
          <w:numId w:val="8"/>
        </w:numPr>
        <w:tabs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作業員在未停機的狀況下，以手部調整運轉中的輸送帶皮帶。</w:t>
      </w:r>
    </w:p>
    <w:p>
      <w:pPr>
        <w:pStyle w:val="ListParagraph"/>
        <w:numPr>
          <w:ilvl w:val="0"/>
          <w:numId w:val="8"/>
        </w:numPr>
        <w:tabs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單獨一人從事高風險的設備維修、調整作業。</w:t>
      </w:r>
    </w:p>
    <w:p>
      <w:pPr>
        <w:pStyle w:val="Heading1"/>
        <w:spacing w:line="415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9"/>
        </w:numPr>
        <w:tabs>
          <w:tab w:pos="836" w:val="left" w:leader="none"/>
        </w:tabs>
        <w:spacing w:line="225" w:lineRule="auto" w:before="6" w:after="0"/>
        <w:ind w:left="835" w:right="228" w:hanging="360"/>
        <w:jc w:val="left"/>
        <w:rPr>
          <w:sz w:val="24"/>
        </w:rPr>
      </w:pPr>
      <w:r>
        <w:rPr>
          <w:b/>
          <w:sz w:val="24"/>
        </w:rPr>
        <w:t>未建立維修保養作業之安全管理程序與標準： </w:t>
      </w:r>
      <w:r>
        <w:rPr>
          <w:spacing w:val="-2"/>
          <w:sz w:val="24"/>
        </w:rPr>
        <w:t>這是本次事故最核心的根本原因。</w:t>
      </w:r>
      <w:r>
        <w:rPr>
          <w:sz w:val="24"/>
        </w:rPr>
        <w:t>公司完全沒有建立維修、保養、調整、清潔等作業前，必須執行的</w:t>
      </w:r>
      <w:r>
        <w:rPr>
          <w:rFonts w:ascii="Calibri" w:eastAsia="Calibri"/>
          <w:sz w:val="24"/>
        </w:rPr>
        <w:t>**</w:t>
      </w:r>
      <w:r>
        <w:rPr>
          <w:sz w:val="24"/>
        </w:rPr>
        <w:t>「停機、斷電、上鎖掛牌</w:t>
      </w:r>
      <w:r>
        <w:rPr>
          <w:rFonts w:ascii="Calibri" w:eastAsia="Calibri"/>
          <w:sz w:val="24"/>
        </w:rPr>
        <w:t>(LOTO)</w:t>
      </w:r>
      <w:r>
        <w:rPr>
          <w:sz w:val="24"/>
        </w:rPr>
        <w:t>」標準作業程序</w:t>
      </w:r>
      <w:r>
        <w:rPr>
          <w:rFonts w:ascii="Calibri" w:eastAsia="Calibri"/>
          <w:sz w:val="24"/>
        </w:rPr>
        <w:t>(SOP)**</w:t>
      </w:r>
      <w:r>
        <w:rPr>
          <w:sz w:val="24"/>
        </w:rPr>
        <w:t>，這是所有後續不安全行為得以發生的系統性根源。</w:t>
      </w:r>
    </w:p>
    <w:p>
      <w:pPr>
        <w:pStyle w:val="ListParagraph"/>
        <w:numPr>
          <w:ilvl w:val="0"/>
          <w:numId w:val="9"/>
        </w:numPr>
        <w:tabs>
          <w:tab w:pos="836" w:val="left" w:leader="none"/>
        </w:tabs>
        <w:spacing w:line="225" w:lineRule="auto" w:before="2" w:after="0"/>
        <w:ind w:left="835" w:right="228" w:hanging="360"/>
        <w:jc w:val="left"/>
        <w:rPr>
          <w:sz w:val="24"/>
        </w:rPr>
      </w:pPr>
      <w:r>
        <w:rPr>
          <w:b/>
          <w:sz w:val="24"/>
        </w:rPr>
        <w:t>設備本質安全的系統性忽視： </w:t>
      </w:r>
      <w:r>
        <w:rPr>
          <w:spacing w:val="-1"/>
          <w:sz w:val="24"/>
        </w:rPr>
        <w:t>輸送帶尾輪等轉動的危險部位，從未被評估加裝固</w:t>
      </w:r>
      <w:r>
        <w:rPr>
          <w:sz w:val="24"/>
        </w:rPr>
        <w:t>定式護罩或護圍。管理階層只關注設備的生產功能，而完全忽略了其潛在的機械危害與本質安全設計。</w:t>
      </w:r>
    </w:p>
    <w:p>
      <w:pPr>
        <w:pStyle w:val="ListParagraph"/>
        <w:numPr>
          <w:ilvl w:val="0"/>
          <w:numId w:val="9"/>
        </w:numPr>
        <w:tabs>
          <w:tab w:pos="836" w:val="left" w:leader="none"/>
        </w:tabs>
        <w:spacing w:line="225" w:lineRule="auto" w:before="1" w:after="0"/>
        <w:ind w:left="835" w:right="228" w:hanging="360"/>
        <w:jc w:val="left"/>
        <w:rPr>
          <w:sz w:val="24"/>
        </w:rPr>
      </w:pPr>
      <w:r>
        <w:rPr>
          <w:b/>
          <w:sz w:val="24"/>
        </w:rPr>
        <w:t>單獨作業的風險管控完全闕如： </w:t>
      </w:r>
      <w:r>
        <w:rPr>
          <w:spacing w:val="-1"/>
          <w:sz w:val="24"/>
        </w:rPr>
        <w:t>公司未辨識出「單獨從事維修作業」為一項高風</w:t>
      </w:r>
      <w:r>
        <w:rPr>
          <w:sz w:val="24"/>
        </w:rPr>
        <w:t>險活動，因此也從未建立相關的管制程序，例如禁止單獨維修、派工需有監護</w:t>
      </w:r>
    </w:p>
    <w:p>
      <w:pPr>
        <w:pStyle w:val="BodyText"/>
        <w:spacing w:line="409" w:lineRule="exact"/>
        <w:ind w:left="835"/>
      </w:pPr>
      <w:r>
        <w:rPr/>
        <w:t>人、或建立定時回報</w:t>
      </w:r>
      <w:r>
        <w:rPr>
          <w:rFonts w:ascii="Calibri" w:eastAsia="Calibri"/>
        </w:rPr>
        <w:t>/</w:t>
      </w:r>
      <w:r>
        <w:rPr/>
        <w:t>巡檢機制。</w:t>
      </w:r>
    </w:p>
    <w:p>
      <w:pPr>
        <w:pStyle w:val="ListParagraph"/>
        <w:numPr>
          <w:ilvl w:val="0"/>
          <w:numId w:val="9"/>
        </w:numPr>
        <w:tabs>
          <w:tab w:pos="836" w:val="left" w:leader="none"/>
        </w:tabs>
        <w:spacing w:line="225" w:lineRule="auto" w:before="6" w:after="0"/>
        <w:ind w:left="835" w:right="228" w:hanging="360"/>
        <w:jc w:val="left"/>
        <w:rPr>
          <w:sz w:val="24"/>
        </w:rPr>
      </w:pPr>
      <w:r>
        <w:rPr>
          <w:b/>
          <w:sz w:val="24"/>
        </w:rPr>
        <w:t>危害辨識與風險評估的失敗： </w:t>
      </w:r>
      <w:r>
        <w:rPr>
          <w:spacing w:val="-1"/>
          <w:sz w:val="24"/>
        </w:rPr>
        <w:t>管理階層從未對非例行性的「維修作業」進行系統</w:t>
      </w:r>
      <w:r>
        <w:rPr>
          <w:sz w:val="24"/>
        </w:rPr>
        <w:t>性的風險評估，因此未能辨識出「未停機維修」與「單獨作業」的致命性組合風險，導致安全管理制度一片空白。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25" w:lineRule="auto" w:before="6" w:after="0"/>
        <w:ind w:left="835" w:right="322" w:hanging="360"/>
        <w:jc w:val="left"/>
        <w:rPr>
          <w:sz w:val="24"/>
        </w:rPr>
      </w:pPr>
      <w:r>
        <w:rPr>
          <w:sz w:val="24"/>
        </w:rPr>
        <w:t>依據風險控制階層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消除 </w:t>
      </w:r>
      <w:r>
        <w:rPr>
          <w:rFonts w:ascii="Calibri" w:hAnsi="Calibri" w:eastAsia="Calibri"/>
          <w:spacing w:val="5"/>
          <w:sz w:val="24"/>
        </w:rPr>
        <w:t>&gt; </w:t>
      </w:r>
      <w:r>
        <w:rPr>
          <w:sz w:val="24"/>
        </w:rPr>
        <w:t>取代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工程控制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管理控制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個人防護具</w:t>
      </w:r>
      <w:r>
        <w:rPr>
          <w:rFonts w:ascii="Calibri" w:hAnsi="Calibri" w:eastAsia="Calibri"/>
          <w:sz w:val="24"/>
        </w:rPr>
        <w:t>)</w:t>
      </w:r>
      <w:r>
        <w:rPr>
          <w:spacing w:val="-5"/>
          <w:sz w:val="24"/>
        </w:rPr>
        <w:t>，提出</w:t>
      </w:r>
      <w:r>
        <w:rPr>
          <w:sz w:val="24"/>
        </w:rPr>
        <w:t>以下矯正措施：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工程控制</w:t>
      </w:r>
      <w:r>
        <w:rPr>
          <w:rFonts w:ascii="Calibri" w:hAnsi="Calibri" w:eastAsia="Calibri"/>
        </w:rPr>
        <w:t>/</w:t>
      </w:r>
      <w:r>
        <w:rPr>
          <w:spacing w:val="11"/>
        </w:rPr>
        <w:t>制度層面 </w:t>
      </w:r>
      <w:r>
        <w:rPr>
          <w:rFonts w:ascii="Calibri" w:hAnsi="Calibri" w:eastAsia="Calibri"/>
        </w:rPr>
        <w:t>(</w:t>
      </w:r>
      <w:r>
        <w:rPr/>
        <w:t>最優先</w:t>
      </w:r>
      <w:r>
        <w:rPr>
          <w:rFonts w:ascii="Calibri" w:hAns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9"/>
        </w:numPr>
        <w:tabs>
          <w:tab w:pos="1556" w:val="left" w:leader="none"/>
        </w:tabs>
        <w:spacing w:line="225" w:lineRule="auto" w:before="6" w:after="0"/>
        <w:ind w:left="1555" w:right="150" w:hanging="360"/>
        <w:jc w:val="left"/>
        <w:rPr>
          <w:sz w:val="24"/>
        </w:rPr>
      </w:pPr>
      <w:r>
        <w:rPr>
          <w:b/>
          <w:sz w:val="24"/>
        </w:rPr>
        <w:t>全面導入並強制執行「能源隔離</w:t>
      </w:r>
      <w:r>
        <w:rPr>
          <w:rFonts w:ascii="Calibri" w:eastAsia="Calibri"/>
          <w:b/>
          <w:sz w:val="24"/>
        </w:rPr>
        <w:t>/</w:t>
      </w:r>
      <w:r>
        <w:rPr>
          <w:b/>
          <w:sz w:val="24"/>
        </w:rPr>
        <w:t>上鎖掛牌</w:t>
      </w:r>
      <w:r>
        <w:rPr>
          <w:rFonts w:ascii="Calibri" w:eastAsia="Calibri"/>
          <w:b/>
          <w:sz w:val="24"/>
        </w:rPr>
        <w:t>(LOTO)</w:t>
      </w:r>
      <w:r>
        <w:rPr>
          <w:b/>
          <w:spacing w:val="1"/>
          <w:sz w:val="24"/>
        </w:rPr>
        <w:t>」制度： 此為必須立即執</w:t>
      </w:r>
      <w:r>
        <w:rPr>
          <w:b/>
          <w:spacing w:val="6"/>
          <w:sz w:val="24"/>
        </w:rPr>
        <w:t>行的最優先事項。 </w:t>
      </w:r>
      <w:r>
        <w:rPr>
          <w:sz w:val="24"/>
        </w:rPr>
        <w:t>應立即制定 </w:t>
      </w:r>
      <w:r>
        <w:rPr>
          <w:rFonts w:ascii="Calibri" w:eastAsia="Calibri"/>
          <w:sz w:val="24"/>
        </w:rPr>
        <w:t>LOTO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程序書，採購足夠的鎖頭、掛牌，並對所有維修人員及現場主管進行完整訓練與授權。規定未來任何設備的維修、保養、調整、清潔等作業，</w:t>
      </w:r>
      <w:r>
        <w:rPr>
          <w:b/>
          <w:spacing w:val="-1"/>
          <w:sz w:val="24"/>
        </w:rPr>
        <w:t>一律嚴格執行 </w:t>
      </w:r>
      <w:r>
        <w:rPr>
          <w:rFonts w:ascii="Calibri" w:eastAsia="Calibri"/>
          <w:b/>
          <w:sz w:val="24"/>
        </w:rPr>
        <w:t>LOTO</w:t>
      </w:r>
      <w:r>
        <w:rPr>
          <w:rFonts w:ascii="Calibri" w:eastAsia="Calibri"/>
          <w:b/>
          <w:spacing w:val="4"/>
          <w:sz w:val="24"/>
        </w:rPr>
        <w:t> </w:t>
      </w:r>
      <w:r>
        <w:rPr>
          <w:b/>
          <w:sz w:val="24"/>
        </w:rPr>
        <w:t>程序</w:t>
      </w:r>
      <w:r>
        <w:rPr>
          <w:sz w:val="24"/>
        </w:rPr>
        <w:t>，並由主管在作業前、後進行查核。</w:t>
      </w:r>
    </w:p>
    <w:p>
      <w:pPr>
        <w:pStyle w:val="ListParagraph"/>
        <w:numPr>
          <w:ilvl w:val="1"/>
          <w:numId w:val="9"/>
        </w:numPr>
        <w:tabs>
          <w:tab w:pos="1556" w:val="left" w:leader="none"/>
        </w:tabs>
        <w:spacing w:line="225" w:lineRule="auto" w:before="0" w:after="0"/>
        <w:ind w:left="1555" w:right="228" w:hanging="360"/>
        <w:jc w:val="left"/>
        <w:rPr>
          <w:sz w:val="24"/>
        </w:rPr>
      </w:pPr>
      <w:r>
        <w:rPr>
          <w:b/>
          <w:sz w:val="24"/>
        </w:rPr>
        <w:t>立即為所有機械轉動暴露點加裝護罩： </w:t>
      </w:r>
      <w:r>
        <w:rPr>
          <w:spacing w:val="-2"/>
          <w:sz w:val="24"/>
        </w:rPr>
        <w:t>全面盤點廠內所有輸送帶、馬達、</w:t>
      </w:r>
      <w:r>
        <w:rPr>
          <w:sz w:val="24"/>
        </w:rPr>
        <w:t>齒輪等轉動部的暴露點，立即設計並安裝固定式護罩或護圍，徹底做到物理性隔離，從源頭消除接觸危害。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3" w:lineRule="exact" w:before="0" w:after="0"/>
        <w:ind w:left="835" w:right="0" w:hanging="360"/>
        <w:jc w:val="left"/>
      </w:pPr>
      <w:r>
        <w:rPr/>
        <w:t>管理控制層面：</w:t>
      </w:r>
    </w:p>
    <w:p>
      <w:pPr>
        <w:spacing w:after="0" w:line="423" w:lineRule="exact"/>
        <w:jc w:val="left"/>
        <w:sectPr>
          <w:pgSz w:w="11910" w:h="16840"/>
          <w:pgMar w:top="1380" w:bottom="280" w:left="1160" w:right="1160"/>
        </w:sectPr>
      </w:pPr>
    </w:p>
    <w:p>
      <w:pPr>
        <w:pStyle w:val="ListParagraph"/>
        <w:numPr>
          <w:ilvl w:val="0"/>
          <w:numId w:val="10"/>
        </w:numPr>
        <w:tabs>
          <w:tab w:pos="1556" w:val="left" w:leader="none"/>
        </w:tabs>
        <w:spacing w:line="225" w:lineRule="auto" w:before="47" w:after="0"/>
        <w:ind w:left="1555" w:right="228" w:hanging="360"/>
        <w:jc w:val="left"/>
        <w:rPr>
          <w:sz w:val="24"/>
        </w:rPr>
      </w:pPr>
      <w:r>
        <w:rPr>
          <w:b/>
          <w:sz w:val="24"/>
        </w:rPr>
        <w:t>建立「維修作業許可」與「單獨作業管制」程序： </w:t>
      </w:r>
      <w:r>
        <w:rPr>
          <w:spacing w:val="-2"/>
          <w:sz w:val="24"/>
        </w:rPr>
        <w:t>規定未來所有非緊急的</w:t>
      </w:r>
      <w:r>
        <w:rPr>
          <w:sz w:val="24"/>
        </w:rPr>
        <w:t>維修作業，皆須事前申請「維修作業許可單」，單上應詳列作業步驟、</w:t>
      </w:r>
    </w:p>
    <w:p>
      <w:pPr>
        <w:pStyle w:val="BodyText"/>
        <w:spacing w:line="225" w:lineRule="auto" w:before="1"/>
        <w:ind w:left="1555" w:right="130"/>
      </w:pPr>
      <w:r>
        <w:rPr>
          <w:rFonts w:ascii="Calibri" w:eastAsia="Calibri"/>
        </w:rPr>
        <w:t>LOTO</w:t>
      </w:r>
      <w:r>
        <w:rPr>
          <w:rFonts w:ascii="Calibri" w:eastAsia="Calibri"/>
          <w:spacing w:val="3"/>
        </w:rPr>
        <w:t> </w:t>
      </w:r>
      <w:r>
        <w:rPr/>
        <w:t>計畫、使用工具及</w:t>
      </w:r>
      <w:r>
        <w:rPr>
          <w:b/>
        </w:rPr>
        <w:t>作業</w:t>
      </w:r>
      <w:r>
        <w:rPr>
          <w:rFonts w:ascii="Calibri" w:eastAsia="Calibri"/>
          <w:b/>
        </w:rPr>
        <w:t>/</w:t>
      </w:r>
      <w:r>
        <w:rPr>
          <w:b/>
        </w:rPr>
        <w:t>監護人員</w:t>
      </w:r>
      <w:r>
        <w:rPr>
          <w:spacing w:val="-1"/>
        </w:rPr>
        <w:t>。嚴格禁止單獨從事任何有捲夾之虞</w:t>
      </w:r>
      <w:r>
        <w:rPr/>
        <w:t>的維修作業。</w:t>
      </w:r>
    </w:p>
    <w:p>
      <w:pPr>
        <w:pStyle w:val="ListParagraph"/>
        <w:numPr>
          <w:ilvl w:val="0"/>
          <w:numId w:val="10"/>
        </w:numPr>
        <w:tabs>
          <w:tab w:pos="1556" w:val="left" w:leader="none"/>
        </w:tabs>
        <w:spacing w:line="225" w:lineRule="auto" w:before="0" w:after="0"/>
        <w:ind w:left="1555" w:right="293" w:hanging="360"/>
        <w:jc w:val="left"/>
        <w:rPr>
          <w:sz w:val="24"/>
        </w:rPr>
      </w:pPr>
      <w:r>
        <w:rPr>
          <w:b/>
          <w:spacing w:val="3"/>
          <w:sz w:val="24"/>
        </w:rPr>
        <w:t>修訂作業標準並加強教育訓練： </w:t>
      </w:r>
      <w:r>
        <w:rPr>
          <w:spacing w:val="-1"/>
          <w:sz w:val="24"/>
        </w:rPr>
        <w:t>將 </w:t>
      </w:r>
      <w:r>
        <w:rPr>
          <w:rFonts w:ascii="Calibri" w:eastAsia="Calibri"/>
          <w:sz w:val="24"/>
        </w:rPr>
        <w:t>LOTO</w:t>
      </w:r>
      <w:r>
        <w:rPr>
          <w:rFonts w:ascii="Calibri" w:eastAsia="Calibri"/>
          <w:spacing w:val="5"/>
          <w:sz w:val="24"/>
        </w:rPr>
        <w:t> </w:t>
      </w:r>
      <w:r>
        <w:rPr>
          <w:spacing w:val="-1"/>
          <w:sz w:val="24"/>
        </w:rPr>
        <w:t>程序、護罩檢查等納入標準作業</w:t>
      </w:r>
      <w:r>
        <w:rPr>
          <w:sz w:val="24"/>
        </w:rPr>
        <w:t>規範，並將本次事故作為活教材，對全體員工進行捲夾危害預防的再訓  練，確保所有人都認知到「停機維修」是不可逾越的紅線。</w:t>
      </w:r>
    </w:p>
    <w:p>
      <w:pPr>
        <w:pStyle w:val="ListParagraph"/>
        <w:numPr>
          <w:ilvl w:val="0"/>
          <w:numId w:val="10"/>
        </w:numPr>
        <w:tabs>
          <w:tab w:pos="1556" w:val="left" w:leader="none"/>
        </w:tabs>
        <w:spacing w:line="225" w:lineRule="auto" w:before="0" w:after="0"/>
        <w:ind w:left="1555" w:right="293" w:hanging="360"/>
        <w:jc w:val="both"/>
        <w:rPr>
          <w:sz w:val="24"/>
        </w:rPr>
      </w:pPr>
      <w:r>
        <w:rPr>
          <w:b/>
          <w:spacing w:val="4"/>
          <w:sz w:val="24"/>
        </w:rPr>
        <w:t>落實自動檢查與主管巡檢： </w:t>
      </w:r>
      <w:r>
        <w:rPr>
          <w:spacing w:val="-1"/>
          <w:sz w:val="24"/>
        </w:rPr>
        <w:t>將 </w:t>
      </w:r>
      <w:r>
        <w:rPr>
          <w:rFonts w:ascii="Calibri" w:eastAsia="Calibri"/>
          <w:sz w:val="24"/>
        </w:rPr>
        <w:t>LOTO</w:t>
      </w:r>
      <w:r>
        <w:rPr>
          <w:rFonts w:ascii="Calibri" w:eastAsia="Calibri"/>
          <w:spacing w:val="5"/>
          <w:sz w:val="24"/>
        </w:rPr>
        <w:t> </w:t>
      </w:r>
      <w:r>
        <w:rPr>
          <w:spacing w:val="-1"/>
          <w:sz w:val="24"/>
        </w:rPr>
        <w:t>程序的執行狀況、護罩的完整性，列</w:t>
      </w:r>
      <w:r>
        <w:rPr>
          <w:sz w:val="24"/>
        </w:rPr>
        <w:t>入每日自動檢查及主管現場巡檢的重點項目，並留下書面紀錄，確保制度被確實執行。</w:t>
      </w:r>
    </w:p>
    <w:sectPr>
      <w:pgSz w:w="11910" w:h="16840"/>
      <w:pgMar w:top="138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微軟正黑體">
    <w:altName w:val="微軟正黑體"/>
    <w:charset w:val="88"/>
    <w:family w:val="swiss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1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2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1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7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52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4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6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8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0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2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4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6" w:hanging="26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7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52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4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6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8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0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2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4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6" w:hanging="26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8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4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93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8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4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93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8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4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93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41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5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9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1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2025-07-25T00:34:12Z</dcterms:created>
  <dcterms:modified xsi:type="dcterms:W3CDTF">2025-07-25T00:34:12Z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