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28"/>
        <w:ind w:left="3887" w:right="3887"/>
        <w:jc w:val="center"/>
      </w:pPr>
      <w:r>
        <w:rPr/>
        <w:t>夾捲案 </w:t>
      </w:r>
      <w:r>
        <w:rPr>
          <w:rFonts w:ascii="Calibri" w:eastAsia="Calibri"/>
        </w:rPr>
        <w:t>4 </w:t>
      </w:r>
      <w:r>
        <w:rPr/>
        <w:t>分析參考</w:t>
      </w:r>
    </w:p>
    <w:p>
      <w:pPr>
        <w:spacing w:before="267"/>
        <w:ind w:left="2342" w:right="0" w:firstLine="0"/>
        <w:jc w:val="left"/>
        <w:rPr>
          <w:b/>
          <w:sz w:val="24"/>
        </w:rPr>
      </w:pPr>
      <w:r>
        <w:rPr>
          <w:b/>
          <w:sz w:val="24"/>
        </w:rPr>
        <w:t>勞工操作套布機發生被捲致死災害調查分析報告</w:t>
      </w:r>
    </w:p>
    <w:p>
      <w:pPr>
        <w:spacing w:line="225" w:lineRule="auto" w:before="286"/>
        <w:ind w:left="473" w:right="130" w:firstLine="0"/>
        <w:jc w:val="both"/>
        <w:rPr>
          <w:sz w:val="24"/>
        </w:rPr>
      </w:pPr>
      <w:r>
        <w:rPr>
          <w:b/>
          <w:sz w:val="24"/>
        </w:rPr>
        <w:t>重要提醒：本分析報告是基於所提供案例的有限資訊，並結合事故調查的專業方法論進行。部分內容為根據邏輯與經驗所做的合理推斷，並會明確標示為</w:t>
      </w:r>
      <w:r>
        <w:rPr>
          <w:rFonts w:ascii="Calibri" w:eastAsia="Calibri"/>
          <w:b/>
          <w:sz w:val="24"/>
        </w:rPr>
        <w:t>(</w:t>
      </w:r>
      <w:r>
        <w:rPr>
          <w:b/>
          <w:sz w:val="24"/>
        </w:rPr>
        <w:t>推斷</w:t>
      </w:r>
      <w:r>
        <w:rPr>
          <w:rFonts w:ascii="Calibri" w:eastAsia="Calibri"/>
          <w:b/>
          <w:sz w:val="24"/>
        </w:rPr>
        <w:t>)</w:t>
      </w:r>
      <w:r>
        <w:rPr>
          <w:sz w:val="24"/>
        </w:rPr>
        <w:t>。一場實際、完整的事故調查，需要更詳盡的現場勘查、人員訪談與物證檢驗來支持所有結論。</w:t>
      </w:r>
    </w:p>
    <w:p>
      <w:pPr>
        <w:pStyle w:val="BodyText"/>
        <w:spacing w:before="4"/>
        <w:rPr>
          <w:sz w:val="6"/>
        </w:rPr>
      </w:pPr>
      <w:r>
        <w:rPr/>
        <w:pict>
          <v:group style="position:absolute;margin-left:56.700001pt;margin-top:7.719922pt;width:474.9pt;height:1.55pt;mso-position-horizontal-relative:page;mso-position-vertical-relative:paragraph;z-index:-1024;mso-wrap-distance-left:0;mso-wrap-distance-right:0" coordorigin="1134,154" coordsize="9498,31">
            <v:line style="position:absolute" from="1134,169" to="10632,169" stroked="true" strokeweight="1.5pt" strokecolor="#9f9f9f">
              <v:stroke dashstyle="solid"/>
            </v:line>
            <v:rect style="position:absolute;left:1134;top:154;width:5;height:5" filled="true" fillcolor="#9f9f9f" stroked="false">
              <v:fill type="solid"/>
            </v:rect>
            <v:rect style="position:absolute;left:1134;top:154;width:5;height:5" filled="true" fillcolor="#9f9f9f" stroked="false">
              <v:fill type="solid"/>
            </v:rect>
            <v:line style="position:absolute" from="1139,157" to="10627,157" stroked="true" strokeweight=".239pt" strokecolor="#9f9f9f">
              <v:stroke dashstyle="solid"/>
            </v:line>
            <v:rect style="position:absolute;left:10627;top:154;width:5;height:5" filled="true" fillcolor="#e2e2e2" stroked="false">
              <v:fill type="solid"/>
            </v:rect>
            <v:rect style="position:absolute;left:10627;top:154;width:5;height:5" filled="true" fillcolor="#9f9f9f" stroked="false">
              <v:fill type="solid"/>
            </v:rect>
            <v:rect style="position:absolute;left:1134;top:159;width:5;height:21" filled="true" fillcolor="#9f9f9f" stroked="false">
              <v:fill type="solid"/>
            </v:rect>
            <v:rect style="position:absolute;left:10627;top:159;width:5;height:21" filled="true" fillcolor="#e2e2e2" stroked="false">
              <v:fill type="solid"/>
            </v:rect>
            <v:rect style="position:absolute;left:1134;top:179;width:5;height:5" filled="true" fillcolor="#9f9f9f" stroked="false">
              <v:fill type="solid"/>
            </v:rect>
            <v:rect style="position:absolute;left:1134;top:179;width:5;height:5" filled="true" fillcolor="#e2e2e2" stroked="false">
              <v:fill type="solid"/>
            </v:rect>
            <v:line style="position:absolute" from="1139,182" to="10627,182" stroked="true" strokeweight=".239pt" strokecolor="#e2e2e2">
              <v:stroke dashstyle="solid"/>
            </v:line>
            <v:rect style="position:absolute;left:10627;top:179;width:5;height:5" filled="true" fillcolor="#e2e2e2" stroked="false">
              <v:fill type="solid"/>
            </v:rect>
            <v:rect style="position:absolute;left:10627;top:179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</w:pPr>
      <w:r>
        <w:rPr/>
        <w:t>事故基本資料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415" w:lineRule="exact" w:before="0" w:after="0"/>
        <w:ind w:left="834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9"/>
          <w:sz w:val="24"/>
        </w:rPr>
        <w:t>行業分類： </w:t>
      </w:r>
      <w:r>
        <w:rPr>
          <w:sz w:val="24"/>
        </w:rPr>
        <w:t>合成橡膠原料製造業  </w:t>
      </w:r>
      <w:r>
        <w:rPr>
          <w:rFonts w:ascii="Calibri" w:hAnsi="Calibri" w:eastAsia="Calibri"/>
          <w:sz w:val="24"/>
        </w:rPr>
        <w:t>(1842)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415" w:lineRule="exact" w:before="0" w:after="0"/>
        <w:ind w:left="834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9"/>
          <w:sz w:val="24"/>
        </w:rPr>
        <w:t>災害類型： </w:t>
      </w:r>
      <w:r>
        <w:rPr>
          <w:sz w:val="24"/>
        </w:rPr>
        <w:t>被夾、被捲  </w:t>
      </w:r>
      <w:r>
        <w:rPr>
          <w:rFonts w:ascii="Calibri" w:hAnsi="Calibri" w:eastAsia="Calibri"/>
          <w:sz w:val="24"/>
        </w:rPr>
        <w:t>(07)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415" w:lineRule="exact" w:before="0" w:after="0"/>
        <w:ind w:left="834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11"/>
          <w:sz w:val="24"/>
        </w:rPr>
        <w:t>媒介物： </w:t>
      </w:r>
      <w:r>
        <w:rPr>
          <w:sz w:val="24"/>
        </w:rPr>
        <w:t>其他  </w:t>
      </w:r>
      <w:r>
        <w:rPr>
          <w:rFonts w:ascii="Calibri" w:hAnsi="Calibri" w:eastAsia="Calibri"/>
          <w:sz w:val="24"/>
        </w:rPr>
        <w:t>(</w:t>
      </w:r>
      <w:r>
        <w:rPr>
          <w:sz w:val="24"/>
        </w:rPr>
        <w:t>套布機</w:t>
      </w:r>
      <w:r>
        <w:rPr>
          <w:rFonts w:ascii="Calibri" w:hAnsi="Calibri" w:eastAsia="Calibri"/>
          <w:sz w:val="24"/>
        </w:rPr>
        <w:t>) (159)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415" w:lineRule="exact" w:before="0" w:after="0"/>
        <w:ind w:left="834" w:right="0" w:hanging="360"/>
        <w:jc w:val="left"/>
        <w:rPr>
          <w:sz w:val="24"/>
        </w:rPr>
      </w:pPr>
      <w:r>
        <w:rPr>
          <w:b/>
          <w:sz w:val="24"/>
        </w:rPr>
        <w:t>罹災情形： </w:t>
      </w:r>
      <w:r>
        <w:rPr>
          <w:sz w:val="24"/>
        </w:rPr>
        <w:t>死亡 </w:t>
      </w:r>
      <w:r>
        <w:rPr>
          <w:rFonts w:ascii="Calibri" w:hAnsi="Calibri" w:eastAsia="Calibri"/>
          <w:sz w:val="24"/>
        </w:rPr>
        <w:t>1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人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415" w:lineRule="exact" w:before="0" w:after="0"/>
        <w:ind w:left="834" w:right="0" w:hanging="360"/>
        <w:jc w:val="left"/>
        <w:rPr>
          <w:sz w:val="24"/>
        </w:rPr>
      </w:pPr>
      <w:r>
        <w:rPr>
          <w:b/>
          <w:spacing w:val="9"/>
          <w:sz w:val="24"/>
        </w:rPr>
        <w:t>事故時間： </w:t>
      </w:r>
      <w:r>
        <w:rPr>
          <w:rFonts w:ascii="Calibri" w:hAnsi="Calibri" w:eastAsia="Calibri"/>
          <w:sz w:val="24"/>
        </w:rPr>
        <w:t>112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年 </w:t>
      </w:r>
      <w:r>
        <w:rPr>
          <w:rFonts w:ascii="Calibri" w:hAnsi="Calibri" w:eastAsia="Calibri"/>
          <w:sz w:val="24"/>
        </w:rPr>
        <w:t>8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月 </w:t>
      </w:r>
      <w:r>
        <w:rPr>
          <w:rFonts w:ascii="Calibri" w:hAnsi="Calibri" w:eastAsia="Calibri"/>
          <w:sz w:val="24"/>
        </w:rPr>
        <w:t>30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日，</w:t>
      </w:r>
      <w:r>
        <w:rPr>
          <w:rFonts w:ascii="Calibri" w:hAnsi="Calibri" w:eastAsia="Calibri"/>
          <w:sz w:val="24"/>
        </w:rPr>
        <w:t>18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時 </w:t>
      </w:r>
      <w:r>
        <w:rPr>
          <w:rFonts w:ascii="Calibri" w:hAnsi="Calibri" w:eastAsia="Calibri"/>
          <w:sz w:val="24"/>
        </w:rPr>
        <w:t>19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分許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415" w:lineRule="exact" w:before="0" w:after="0"/>
        <w:ind w:left="834" w:right="0" w:hanging="360"/>
        <w:jc w:val="left"/>
        <w:rPr>
          <w:sz w:val="24"/>
        </w:rPr>
      </w:pPr>
      <w:r>
        <w:rPr>
          <w:b/>
          <w:sz w:val="24"/>
        </w:rPr>
        <w:t>事故地點： </w:t>
      </w:r>
      <w:r>
        <w:rPr>
          <w:sz w:val="24"/>
        </w:rPr>
        <w:t>廠內套布機作業區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25" w:lineRule="auto" w:before="6" w:after="0"/>
        <w:ind w:left="834" w:right="250" w:hanging="360"/>
        <w:jc w:val="both"/>
        <w:rPr>
          <w:sz w:val="24"/>
        </w:rPr>
      </w:pPr>
      <w:r>
        <w:rPr>
          <w:b/>
          <w:spacing w:val="9"/>
          <w:sz w:val="24"/>
        </w:rPr>
        <w:t>事故摘要： </w:t>
      </w:r>
      <w:r>
        <w:rPr>
          <w:rFonts w:ascii="Calibri" w:hAnsi="Calibri" w:eastAsia="Calibri"/>
          <w:sz w:val="24"/>
        </w:rPr>
        <w:t>112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pacing w:val="-1"/>
          <w:sz w:val="24"/>
        </w:rPr>
        <w:t>年 </w:t>
      </w:r>
      <w:r>
        <w:rPr>
          <w:rFonts w:ascii="Calibri" w:hAnsi="Calibri" w:eastAsia="Calibri"/>
          <w:sz w:val="24"/>
        </w:rPr>
        <w:t>8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pacing w:val="-1"/>
          <w:sz w:val="24"/>
        </w:rPr>
        <w:t>月 </w:t>
      </w:r>
      <w:r>
        <w:rPr>
          <w:rFonts w:ascii="Calibri" w:hAnsi="Calibri" w:eastAsia="Calibri"/>
          <w:sz w:val="24"/>
        </w:rPr>
        <w:t>30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日 </w:t>
      </w:r>
      <w:r>
        <w:rPr>
          <w:rFonts w:ascii="Calibri" w:hAnsi="Calibri" w:eastAsia="Calibri"/>
          <w:sz w:val="24"/>
        </w:rPr>
        <w:t>18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時 </w:t>
      </w:r>
      <w:r>
        <w:rPr>
          <w:rFonts w:ascii="Calibri" w:hAnsi="Calibri" w:eastAsia="Calibri"/>
          <w:sz w:val="24"/>
        </w:rPr>
        <w:t>19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分許，罹災者吉員啟動套布機轉軸後，以手</w:t>
      </w:r>
      <w:r>
        <w:rPr>
          <w:spacing w:val="-1"/>
          <w:sz w:val="24"/>
        </w:rPr>
        <w:t>拉套布想藉由轉軸的轉動將套布固定於軸心。過程中，其手部不慎被捲入轉軸與套布之間，隨後整個身體亦被捲入，造成胸腹壓迫傷致壓迫性窒息。因現場僅罹災者一人作業，直至 </w:t>
      </w:r>
      <w:r>
        <w:rPr>
          <w:rFonts w:ascii="Calibri" w:hAnsi="Calibri" w:eastAsia="Calibri"/>
          <w:sz w:val="24"/>
        </w:rPr>
        <w:t>19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時 </w:t>
      </w:r>
      <w:r>
        <w:rPr>
          <w:rFonts w:ascii="Calibri" w:hAnsi="Calibri" w:eastAsia="Calibri"/>
          <w:sz w:val="24"/>
        </w:rPr>
        <w:t>25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分才被同事發現，送醫後仍於 </w:t>
      </w:r>
      <w:r>
        <w:rPr>
          <w:rFonts w:ascii="Calibri" w:hAnsi="Calibri" w:eastAsia="Calibri"/>
          <w:sz w:val="24"/>
        </w:rPr>
        <w:t>20</w:t>
      </w:r>
      <w:r>
        <w:rPr>
          <w:rFonts w:ascii="Calibri" w:hAnsi="Calibri" w:eastAsia="Calibri"/>
          <w:spacing w:val="4"/>
          <w:sz w:val="24"/>
        </w:rPr>
        <w:t> </w:t>
      </w:r>
      <w:r>
        <w:rPr>
          <w:sz w:val="24"/>
        </w:rPr>
        <w:t>時 </w:t>
      </w:r>
      <w:r>
        <w:rPr>
          <w:rFonts w:ascii="Calibri" w:hAnsi="Calibri" w:eastAsia="Calibri"/>
          <w:sz w:val="24"/>
        </w:rPr>
        <w:t>26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分不治死亡。</w:t>
      </w:r>
    </w:p>
    <w:p>
      <w:pPr>
        <w:pStyle w:val="BodyText"/>
        <w:spacing w:before="5"/>
        <w:rPr>
          <w:sz w:val="6"/>
        </w:rPr>
      </w:pPr>
      <w:r>
        <w:rPr/>
        <w:pict>
          <v:group style="position:absolute;margin-left:56.700001pt;margin-top:7.776635pt;width:474.9pt;height:1.55pt;mso-position-horizontal-relative:page;mso-position-vertical-relative:paragraph;z-index:-1000;mso-wrap-distance-left:0;mso-wrap-distance-right:0" coordorigin="1134,156" coordsize="9498,31">
            <v:line style="position:absolute" from="1134,171" to="10632,171" stroked="true" strokeweight="1.5pt" strokecolor="#9f9f9f">
              <v:stroke dashstyle="solid"/>
            </v:line>
            <v:rect style="position:absolute;left:1134;top:155;width:5;height:5" filled="true" fillcolor="#9f9f9f" stroked="false">
              <v:fill type="solid"/>
            </v:rect>
            <v:rect style="position:absolute;left:1134;top:155;width:5;height:5" filled="true" fillcolor="#9f9f9f" stroked="false">
              <v:fill type="solid"/>
            </v:rect>
            <v:line style="position:absolute" from="1139,158" to="10627,158" stroked="true" strokeweight=".239pt" strokecolor="#9f9f9f">
              <v:stroke dashstyle="solid"/>
            </v:line>
            <v:rect style="position:absolute;left:10627;top:155;width:5;height:5" filled="true" fillcolor="#e2e2e2" stroked="false">
              <v:fill type="solid"/>
            </v:rect>
            <v:rect style="position:absolute;left:10627;top:155;width:5;height:5" filled="true" fillcolor="#9f9f9f" stroked="false">
              <v:fill type="solid"/>
            </v:rect>
            <v:rect style="position:absolute;left:1134;top:160;width:5;height:21" filled="true" fillcolor="#9f9f9f" stroked="false">
              <v:fill type="solid"/>
            </v:rect>
            <v:rect style="position:absolute;left:10627;top:160;width:5;height:21" filled="true" fillcolor="#e2e2e2" stroked="false">
              <v:fill type="solid"/>
            </v:rect>
            <v:rect style="position:absolute;left:1134;top:180;width:5;height:5" filled="true" fillcolor="#9f9f9f" stroked="false">
              <v:fill type="solid"/>
            </v:rect>
            <v:rect style="position:absolute;left:1134;top:180;width:5;height:5" filled="true" fillcolor="#e2e2e2" stroked="false">
              <v:fill type="solid"/>
            </v:rect>
            <v:line style="position:absolute" from="1139,183" to="10627,183" stroked="true" strokeweight=".239pt" strokecolor="#e2e2e2">
              <v:stroke dashstyle="solid"/>
            </v:line>
            <v:rect style="position:absolute;left:10627;top:180;width:5;height:5" filled="true" fillcolor="#e2e2e2" stroked="false">
              <v:fill type="solid"/>
            </v:rect>
            <v:rect style="position:absolute;left:10627;top:180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rPr>
          <w:rFonts w:ascii="Calibri" w:eastAsia="Calibri"/>
        </w:rPr>
      </w:pPr>
      <w:r>
        <w:rPr/>
        <w:t>一</w:t>
      </w:r>
      <w:r>
        <w:rPr>
          <w:rFonts w:ascii="Calibri" w:eastAsia="Calibri"/>
        </w:rPr>
        <w:t>. </w:t>
      </w:r>
      <w:r>
        <w:rPr/>
        <w:t>事件成因分析圖  </w:t>
      </w:r>
      <w:r>
        <w:rPr>
          <w:rFonts w:ascii="Calibri" w:eastAsia="Calibri"/>
        </w:rPr>
        <w:t>(ECFC)</w:t>
      </w:r>
    </w:p>
    <w:p>
      <w:pPr>
        <w:pStyle w:val="BodyText"/>
        <w:spacing w:line="225" w:lineRule="auto" w:before="6"/>
        <w:ind w:left="474" w:right="130"/>
      </w:pPr>
      <w:r>
        <w:rPr/>
        <w:t>此圖將事故發生的事件及相關條件按時間順序，由左至右呈現，以視覺化方式釐清因果關係。</w:t>
      </w:r>
    </w:p>
    <w:p>
      <w:pPr>
        <w:pStyle w:val="BodyText"/>
        <w:spacing w:before="1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720090</wp:posOffset>
            </wp:positionH>
            <wp:positionV relativeFrom="paragraph">
              <wp:posOffset>187484</wp:posOffset>
            </wp:positionV>
            <wp:extent cx="6051102" cy="2078831"/>
            <wp:effectExtent l="0" t="0" r="0" b="0"/>
            <wp:wrapTopAndBottom/>
            <wp:docPr id="1" name="image1.png" descr="一張含有 文字, 螢幕擷取畫面, 字型, Rectangle 的圖片  AI 產生的內容可能不正確。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102" cy="2078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  <w:r>
        <w:rPr/>
        <w:pict>
          <v:group style="position:absolute;margin-left:56.700001pt;margin-top:17.252718pt;width:474.9pt;height:1.55pt;mso-position-horizontal-relative:page;mso-position-vertical-relative:paragraph;z-index:-952;mso-wrap-distance-left:0;mso-wrap-distance-right:0" coordorigin="1134,345" coordsize="9498,31">
            <v:line style="position:absolute" from="1134,360" to="10632,360" stroked="true" strokeweight="1.5pt" strokecolor="#9f9f9f">
              <v:stroke dashstyle="solid"/>
            </v:line>
            <v:rect style="position:absolute;left:1134;top:345;width:5;height:5" filled="true" fillcolor="#9f9f9f" stroked="false">
              <v:fill type="solid"/>
            </v:rect>
            <v:rect style="position:absolute;left:1134;top:345;width:5;height:5" filled="true" fillcolor="#9f9f9f" stroked="false">
              <v:fill type="solid"/>
            </v:rect>
            <v:line style="position:absolute" from="1139,348" to="10627,348" stroked="true" strokeweight=".239pt" strokecolor="#9f9f9f">
              <v:stroke dashstyle="solid"/>
            </v:line>
            <v:rect style="position:absolute;left:10627;top:345;width:5;height:5" filled="true" fillcolor="#e2e2e2" stroked="false">
              <v:fill type="solid"/>
            </v:rect>
            <v:rect style="position:absolute;left:10627;top:345;width:5;height:5" filled="true" fillcolor="#9f9f9f" stroked="false">
              <v:fill type="solid"/>
            </v:rect>
            <v:rect style="position:absolute;left:1134;top:350;width:5;height:21" filled="true" fillcolor="#9f9f9f" stroked="false">
              <v:fill type="solid"/>
            </v:rect>
            <v:rect style="position:absolute;left:10627;top:350;width:5;height:21" filled="true" fillcolor="#e2e2e2" stroked="false">
              <v:fill type="solid"/>
            </v:rect>
            <v:rect style="position:absolute;left:1134;top:370;width:5;height:5" filled="true" fillcolor="#9f9f9f" stroked="false">
              <v:fill type="solid"/>
            </v:rect>
            <v:rect style="position:absolute;left:1134;top:370;width:5;height:5" filled="true" fillcolor="#e2e2e2" stroked="false">
              <v:fill type="solid"/>
            </v:rect>
            <v:line style="position:absolute" from="1139,373" to="10627,373" stroked="true" strokeweight=".239pt" strokecolor="#e2e2e2">
              <v:stroke dashstyle="solid"/>
            </v:line>
            <v:rect style="position:absolute;left:10627;top:370;width:5;height:5" filled="true" fillcolor="#e2e2e2" stroked="false">
              <v:fill type="solid"/>
            </v:rect>
            <v:rect style="position:absolute;left:10627;top:370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line="240" w:lineRule="auto"/>
      </w:pPr>
      <w:r>
        <w:rPr/>
        <w:t>二</w:t>
      </w:r>
      <w:r>
        <w:rPr>
          <w:rFonts w:ascii="Calibri" w:eastAsia="Calibri"/>
        </w:rPr>
        <w:t>. </w:t>
      </w:r>
      <w:r>
        <w:rPr/>
        <w:t>時間序列表</w:t>
      </w:r>
    </w:p>
    <w:p>
      <w:pPr>
        <w:spacing w:after="0" w:line="240" w:lineRule="auto"/>
        <w:sectPr>
          <w:type w:val="continuous"/>
          <w:pgSz w:w="11910" w:h="16840"/>
          <w:pgMar w:top="1380" w:bottom="280" w:left="1020" w:right="1160"/>
        </w:sectPr>
      </w:pPr>
    </w:p>
    <w:p>
      <w:pPr>
        <w:pStyle w:val="BodyText"/>
        <w:spacing w:before="28"/>
        <w:ind w:left="474"/>
      </w:pPr>
      <w:r>
        <w:rPr/>
        <w:t>此表以表格形式記錄事故發生的先後順序和相關條件，為後續分析奠定基礎。</w:t>
      </w: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0"/>
        <w:gridCol w:w="2405"/>
        <w:gridCol w:w="659"/>
        <w:gridCol w:w="966"/>
        <w:gridCol w:w="1832"/>
        <w:gridCol w:w="2476"/>
      </w:tblGrid>
      <w:tr>
        <w:trPr>
          <w:trHeight w:val="1037" w:hRule="atLeast"/>
        </w:trPr>
        <w:tc>
          <w:tcPr>
            <w:tcW w:w="1150" w:type="dxa"/>
          </w:tcPr>
          <w:p>
            <w:pPr>
              <w:pStyle w:val="TableParagraph"/>
              <w:spacing w:line="343" w:lineRule="exact"/>
              <w:rPr>
                <w:sz w:val="20"/>
              </w:rPr>
            </w:pPr>
            <w:r>
              <w:rPr>
                <w:sz w:val="20"/>
              </w:rPr>
              <w:t>日期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時間</w:t>
            </w:r>
          </w:p>
        </w:tc>
        <w:tc>
          <w:tcPr>
            <w:tcW w:w="2405" w:type="dxa"/>
          </w:tcPr>
          <w:p>
            <w:pPr>
              <w:pStyle w:val="TableParagraph"/>
              <w:spacing w:line="343" w:lineRule="exact"/>
              <w:rPr>
                <w:sz w:val="20"/>
              </w:rPr>
            </w:pPr>
            <w:r>
              <w:rPr>
                <w:sz w:val="20"/>
              </w:rPr>
              <w:t>事件描述</w:t>
            </w:r>
          </w:p>
        </w:tc>
        <w:tc>
          <w:tcPr>
            <w:tcW w:w="659" w:type="dxa"/>
          </w:tcPr>
          <w:p>
            <w:pPr>
              <w:pStyle w:val="TableParagraph"/>
              <w:spacing w:line="332" w:lineRule="exac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推</w:t>
            </w:r>
          </w:p>
          <w:p>
            <w:pPr>
              <w:pStyle w:val="TableParagraph"/>
              <w:spacing w:line="339" w:lineRule="exact"/>
              <w:rPr>
                <w:sz w:val="20"/>
              </w:rPr>
            </w:pPr>
            <w:r>
              <w:rPr>
                <w:w w:val="100"/>
                <w:sz w:val="20"/>
              </w:rPr>
              <w:t>斷</w:t>
            </w:r>
          </w:p>
        </w:tc>
        <w:tc>
          <w:tcPr>
            <w:tcW w:w="966" w:type="dxa"/>
          </w:tcPr>
          <w:p>
            <w:pPr>
              <w:pStyle w:val="TableParagraph"/>
              <w:spacing w:line="332" w:lineRule="exact"/>
              <w:ind w:left="106"/>
              <w:rPr>
                <w:sz w:val="20"/>
              </w:rPr>
            </w:pPr>
            <w:r>
              <w:rPr>
                <w:sz w:val="20"/>
              </w:rPr>
              <w:t>主</w:t>
            </w:r>
            <w:r>
              <w:rPr>
                <w:rFonts w:ascii="Segoe UI" w:eastAsia="Segoe UI"/>
                <w:sz w:val="20"/>
              </w:rPr>
              <w:t>(P)/</w:t>
            </w:r>
            <w:r>
              <w:rPr>
                <w:sz w:val="20"/>
              </w:rPr>
              <w:t>次</w:t>
            </w:r>
          </w:p>
          <w:p>
            <w:pPr>
              <w:pStyle w:val="TableParagraph"/>
              <w:spacing w:line="346" w:lineRule="exact"/>
              <w:ind w:left="106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(S)</w:t>
            </w:r>
            <w:r>
              <w:rPr>
                <w:sz w:val="20"/>
              </w:rPr>
              <w:t>事件</w:t>
            </w:r>
          </w:p>
          <w:p>
            <w:pPr>
              <w:pStyle w:val="TableParagraph"/>
              <w:spacing w:line="339" w:lineRule="exact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軸</w:t>
            </w:r>
          </w:p>
        </w:tc>
        <w:tc>
          <w:tcPr>
            <w:tcW w:w="1832" w:type="dxa"/>
          </w:tcPr>
          <w:p>
            <w:pPr>
              <w:pStyle w:val="TableParagraph"/>
              <w:spacing w:line="225" w:lineRule="auto"/>
              <w:ind w:right="239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1 (</w:t>
            </w:r>
            <w:r>
              <w:rPr>
                <w:sz w:val="20"/>
              </w:rPr>
              <w:t>直接條件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476" w:type="dxa"/>
          </w:tcPr>
          <w:p>
            <w:pPr>
              <w:pStyle w:val="TableParagraph"/>
              <w:spacing w:line="225" w:lineRule="auto"/>
              <w:ind w:right="274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2 (</w:t>
            </w:r>
            <w:r>
              <w:rPr>
                <w:sz w:val="20"/>
              </w:rPr>
              <w:t>條件 </w:t>
            </w:r>
            <w:r>
              <w:rPr>
                <w:rFonts w:ascii="Segoe UI" w:eastAsia="Segoe UI"/>
                <w:sz w:val="20"/>
              </w:rPr>
              <w:t>1 </w:t>
            </w:r>
            <w:r>
              <w:rPr>
                <w:sz w:val="20"/>
              </w:rPr>
              <w:t>的背景或前提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2075" w:hRule="atLeast"/>
        </w:trPr>
        <w:tc>
          <w:tcPr>
            <w:tcW w:w="1150" w:type="dxa"/>
          </w:tcPr>
          <w:p>
            <w:pPr>
              <w:pStyle w:val="TableParagraph"/>
              <w:spacing w:line="248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112/08/30</w:t>
            </w:r>
          </w:p>
          <w:p>
            <w:pPr>
              <w:pStyle w:val="TableParagraph"/>
              <w:spacing w:line="362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18:19 </w:t>
            </w:r>
            <w:r>
              <w:rPr>
                <w:sz w:val="20"/>
              </w:rPr>
              <w:t>許</w:t>
            </w:r>
          </w:p>
        </w:tc>
        <w:tc>
          <w:tcPr>
            <w:tcW w:w="2405" w:type="dxa"/>
          </w:tcPr>
          <w:p>
            <w:pPr>
              <w:pStyle w:val="TableParagraph"/>
              <w:spacing w:line="225" w:lineRule="auto"/>
              <w:ind w:right="284"/>
              <w:rPr>
                <w:sz w:val="20"/>
              </w:rPr>
            </w:pPr>
            <w:r>
              <w:rPr>
                <w:sz w:val="20"/>
              </w:rPr>
              <w:t>罹災者啟動套布機轉 </w:t>
            </w:r>
            <w:r>
              <w:rPr>
                <w:spacing w:val="-2"/>
                <w:sz w:val="20"/>
              </w:rPr>
              <w:t>軸，並以手拉套布進入</w:t>
            </w:r>
            <w:r>
              <w:rPr>
                <w:sz w:val="20"/>
              </w:rPr>
              <w:t>收捲端。</w:t>
            </w:r>
          </w:p>
        </w:tc>
        <w:tc>
          <w:tcPr>
            <w:tcW w:w="659" w:type="dxa"/>
          </w:tcPr>
          <w:p>
            <w:pPr>
              <w:pStyle w:val="TableParagraph"/>
              <w:spacing w:line="344" w:lineRule="exac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66" w:type="dxa"/>
          </w:tcPr>
          <w:p>
            <w:pPr>
              <w:pStyle w:val="TableParagraph"/>
              <w:spacing w:line="253" w:lineRule="exact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832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59" w:val="left" w:leader="none"/>
              </w:tabs>
              <w:spacing w:line="225" w:lineRule="auto" w:before="0" w:after="0"/>
              <w:ind w:left="107" w:right="261" w:firstLine="0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於運轉中的危</w:t>
            </w:r>
            <w:r>
              <w:rPr>
                <w:sz w:val="20"/>
              </w:rPr>
              <w:t>險機械旁作業。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9" w:val="left" w:leader="none"/>
              </w:tabs>
              <w:spacing w:line="225" w:lineRule="auto" w:before="0" w:after="0"/>
              <w:ind w:left="107" w:right="261" w:firstLine="0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採用不安全的</w:t>
            </w:r>
            <w:r>
              <w:rPr>
                <w:sz w:val="20"/>
              </w:rPr>
              <w:t>作業方法。</w:t>
            </w:r>
          </w:p>
        </w:tc>
        <w:tc>
          <w:tcPr>
            <w:tcW w:w="2476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60" w:val="left" w:leader="none"/>
              </w:tabs>
              <w:spacing w:line="225" w:lineRule="auto" w:before="0" w:after="0"/>
              <w:ind w:left="107" w:right="104" w:firstLine="0"/>
              <w:jc w:val="both"/>
              <w:rPr>
                <w:rFonts w:ascii="Segoe UI" w:eastAsia="Segoe UI"/>
                <w:sz w:val="20"/>
              </w:rPr>
            </w:pPr>
            <w:r>
              <w:rPr>
                <w:spacing w:val="-2"/>
                <w:sz w:val="20"/>
              </w:rPr>
              <w:t>未建立或未落實「套布</w:t>
            </w:r>
            <w:r>
              <w:rPr>
                <w:sz w:val="20"/>
              </w:rPr>
              <w:t>前應停機」的安全作業程序。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推斷</w:t>
            </w:r>
            <w:r>
              <w:rPr>
                <w:rFonts w:ascii="Segoe UI" w:eastAsia="Segoe UI"/>
                <w:sz w:val="20"/>
              </w:rPr>
              <w:t>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0" w:val="left" w:leader="none"/>
              </w:tabs>
              <w:spacing w:line="342" w:lineRule="exact" w:before="0" w:after="0"/>
              <w:ind w:left="359" w:right="0" w:hanging="252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缺乏安全的輔助工具</w:t>
            </w:r>
          </w:p>
          <w:p>
            <w:pPr>
              <w:pStyle w:val="TableParagraph"/>
              <w:spacing w:line="346" w:lineRule="exact"/>
              <w:jc w:val="both"/>
              <w:rPr>
                <w:sz w:val="20"/>
              </w:rPr>
            </w:pPr>
            <w:r>
              <w:rPr>
                <w:rFonts w:ascii="Segoe UI" w:eastAsia="Segoe UI"/>
                <w:spacing w:val="-1"/>
                <w:sz w:val="20"/>
              </w:rPr>
              <w:t>(</w:t>
            </w:r>
            <w:r>
              <w:rPr>
                <w:spacing w:val="-1"/>
                <w:sz w:val="20"/>
              </w:rPr>
              <w:t>如：夾具、導布桿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來取</w:t>
            </w:r>
          </w:p>
          <w:p>
            <w:pPr>
              <w:pStyle w:val="TableParagraph"/>
              <w:spacing w:line="339" w:lineRule="exact"/>
              <w:jc w:val="both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代人手。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推斷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037" w:hRule="atLeast"/>
        </w:trPr>
        <w:tc>
          <w:tcPr>
            <w:tcW w:w="1150" w:type="dxa"/>
          </w:tcPr>
          <w:p>
            <w:pPr>
              <w:pStyle w:val="TableParagraph"/>
              <w:spacing w:line="248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112/08/30</w:t>
            </w:r>
          </w:p>
          <w:p>
            <w:pPr>
              <w:pStyle w:val="TableParagraph"/>
              <w:spacing w:line="351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18:19 </w:t>
            </w:r>
            <w:r>
              <w:rPr>
                <w:sz w:val="20"/>
              </w:rPr>
              <w:t>許</w:t>
            </w:r>
          </w:p>
          <w:p>
            <w:pPr>
              <w:pStyle w:val="TableParagraph"/>
              <w:spacing w:line="357" w:lineRule="exact"/>
              <w:rPr>
                <w:sz w:val="20"/>
              </w:rPr>
            </w:pPr>
            <w:r>
              <w:rPr>
                <w:w w:val="100"/>
                <w:sz w:val="20"/>
              </w:rPr>
              <w:t>後</w:t>
            </w:r>
          </w:p>
        </w:tc>
        <w:tc>
          <w:tcPr>
            <w:tcW w:w="2405" w:type="dxa"/>
          </w:tcPr>
          <w:p>
            <w:pPr>
              <w:pStyle w:val="TableParagraph"/>
              <w:spacing w:line="225" w:lineRule="auto"/>
              <w:ind w:right="283"/>
              <w:rPr>
                <w:sz w:val="20"/>
              </w:rPr>
            </w:pPr>
            <w:r>
              <w:rPr>
                <w:sz w:val="20"/>
              </w:rPr>
              <w:t>罹災者的手被套布機收捲端捲入轉軸和套布之</w:t>
            </w:r>
          </w:p>
          <w:p>
            <w:pPr>
              <w:pStyle w:val="TableParagraph"/>
              <w:spacing w:line="335" w:lineRule="exact"/>
              <w:rPr>
                <w:sz w:val="20"/>
              </w:rPr>
            </w:pPr>
            <w:r>
              <w:rPr>
                <w:sz w:val="20"/>
              </w:rPr>
              <w:t>間。</w:t>
            </w:r>
          </w:p>
        </w:tc>
        <w:tc>
          <w:tcPr>
            <w:tcW w:w="659" w:type="dxa"/>
          </w:tcPr>
          <w:p>
            <w:pPr>
              <w:pStyle w:val="TableParagraph"/>
              <w:spacing w:line="343" w:lineRule="exac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66" w:type="dxa"/>
          </w:tcPr>
          <w:p>
            <w:pPr>
              <w:pStyle w:val="TableParagraph"/>
              <w:spacing w:line="253" w:lineRule="exact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832" w:type="dxa"/>
          </w:tcPr>
          <w:p>
            <w:pPr>
              <w:pStyle w:val="TableParagraph"/>
              <w:spacing w:line="225" w:lineRule="auto"/>
              <w:ind w:right="112"/>
              <w:rPr>
                <w:sz w:val="20"/>
              </w:rPr>
            </w:pPr>
            <w:r>
              <w:rPr>
                <w:sz w:val="20"/>
              </w:rPr>
              <w:t>手部過於靠近運轉中的捲入點。</w:t>
            </w:r>
          </w:p>
        </w:tc>
        <w:tc>
          <w:tcPr>
            <w:tcW w:w="2476" w:type="dxa"/>
          </w:tcPr>
          <w:p>
            <w:pPr>
              <w:pStyle w:val="TableParagraph"/>
              <w:spacing w:line="225" w:lineRule="auto"/>
              <w:ind w:right="155"/>
              <w:rPr>
                <w:sz w:val="20"/>
              </w:rPr>
            </w:pPr>
            <w:r>
              <w:rPr>
                <w:sz w:val="20"/>
              </w:rPr>
              <w:t>轉軸與布料之間形成的捲入點未設置護罩或感應</w:t>
            </w:r>
          </w:p>
          <w:p>
            <w:pPr>
              <w:pStyle w:val="TableParagraph"/>
              <w:spacing w:line="335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器。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推斷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383" w:hRule="atLeast"/>
        </w:trPr>
        <w:tc>
          <w:tcPr>
            <w:tcW w:w="1150" w:type="dxa"/>
          </w:tcPr>
          <w:p>
            <w:pPr>
              <w:pStyle w:val="TableParagraph"/>
              <w:spacing w:line="248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112/08/30</w:t>
            </w:r>
          </w:p>
          <w:p>
            <w:pPr>
              <w:pStyle w:val="TableParagraph"/>
              <w:spacing w:line="351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18:19 </w:t>
            </w:r>
            <w:r>
              <w:rPr>
                <w:sz w:val="20"/>
              </w:rPr>
              <w:t>許</w:t>
            </w:r>
          </w:p>
          <w:p>
            <w:pPr>
              <w:pStyle w:val="TableParagraph"/>
              <w:spacing w:line="357" w:lineRule="exact"/>
              <w:rPr>
                <w:sz w:val="20"/>
              </w:rPr>
            </w:pPr>
            <w:r>
              <w:rPr>
                <w:w w:val="100"/>
                <w:sz w:val="20"/>
              </w:rPr>
              <w:t>後</w:t>
            </w:r>
          </w:p>
        </w:tc>
        <w:tc>
          <w:tcPr>
            <w:tcW w:w="2405" w:type="dxa"/>
          </w:tcPr>
          <w:p>
            <w:pPr>
              <w:pStyle w:val="TableParagraph"/>
              <w:spacing w:line="225" w:lineRule="auto"/>
              <w:ind w:right="283"/>
              <w:rPr>
                <w:sz w:val="20"/>
              </w:rPr>
            </w:pPr>
            <w:r>
              <w:rPr>
                <w:sz w:val="20"/>
              </w:rPr>
              <w:t>整個身體亦隨之被套布一同捲入。</w:t>
            </w:r>
          </w:p>
        </w:tc>
        <w:tc>
          <w:tcPr>
            <w:tcW w:w="659" w:type="dxa"/>
          </w:tcPr>
          <w:p>
            <w:pPr>
              <w:pStyle w:val="TableParagraph"/>
              <w:spacing w:line="343" w:lineRule="exac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66" w:type="dxa"/>
          </w:tcPr>
          <w:p>
            <w:pPr>
              <w:pStyle w:val="TableParagraph"/>
              <w:spacing w:line="253" w:lineRule="exact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832" w:type="dxa"/>
          </w:tcPr>
          <w:p>
            <w:pPr>
              <w:pStyle w:val="TableParagraph"/>
              <w:spacing w:line="225" w:lineRule="auto"/>
              <w:ind w:right="112"/>
              <w:rPr>
                <w:sz w:val="20"/>
              </w:rPr>
            </w:pPr>
            <w:r>
              <w:rPr>
                <w:sz w:val="20"/>
              </w:rPr>
              <w:t>捲入後無法立即停止機器。</w:t>
            </w:r>
          </w:p>
        </w:tc>
        <w:tc>
          <w:tcPr>
            <w:tcW w:w="2476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60" w:val="left" w:leader="none"/>
              </w:tabs>
              <w:spacing w:line="225" w:lineRule="auto" w:before="0" w:after="0"/>
              <w:ind w:left="107" w:right="104" w:firstLine="0"/>
              <w:jc w:val="left"/>
              <w:rPr>
                <w:rFonts w:ascii="Segoe UI" w:eastAsia="Segoe UI"/>
                <w:sz w:val="20"/>
              </w:rPr>
            </w:pPr>
            <w:r>
              <w:rPr>
                <w:spacing w:val="-2"/>
                <w:sz w:val="20"/>
              </w:rPr>
              <w:t>缺乏伸手可及的緊急停</w:t>
            </w:r>
            <w:r>
              <w:rPr>
                <w:sz w:val="20"/>
              </w:rPr>
              <w:t>止裝置。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推斷</w:t>
            </w:r>
            <w:r>
              <w:rPr>
                <w:rFonts w:ascii="Segoe UI" w:eastAsia="Segoe UI"/>
                <w:sz w:val="20"/>
              </w:rPr>
              <w:t>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60" w:val="left" w:leader="none"/>
              </w:tabs>
              <w:spacing w:line="342" w:lineRule="exact" w:before="0" w:after="0"/>
              <w:ind w:left="359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單獨作業，無人可協助</w:t>
            </w:r>
          </w:p>
          <w:p>
            <w:pPr>
              <w:pStyle w:val="TableParagraph"/>
              <w:spacing w:line="338" w:lineRule="exact"/>
              <w:rPr>
                <w:sz w:val="20"/>
              </w:rPr>
            </w:pPr>
            <w:r>
              <w:rPr>
                <w:sz w:val="20"/>
              </w:rPr>
              <w:t>停止機器。</w:t>
            </w:r>
          </w:p>
        </w:tc>
      </w:tr>
      <w:tr>
        <w:trPr>
          <w:trHeight w:val="1037" w:hRule="atLeast"/>
        </w:trPr>
        <w:tc>
          <w:tcPr>
            <w:tcW w:w="1150" w:type="dxa"/>
          </w:tcPr>
          <w:p>
            <w:pPr>
              <w:pStyle w:val="TableParagraph"/>
              <w:spacing w:line="248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112/08/30</w:t>
            </w:r>
          </w:p>
          <w:p>
            <w:pPr>
              <w:pStyle w:val="TableParagraph"/>
              <w:spacing w:line="362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19:25 </w:t>
            </w:r>
            <w:r>
              <w:rPr>
                <w:sz w:val="20"/>
              </w:rPr>
              <w:t>許</w:t>
            </w:r>
          </w:p>
        </w:tc>
        <w:tc>
          <w:tcPr>
            <w:tcW w:w="2405" w:type="dxa"/>
          </w:tcPr>
          <w:p>
            <w:pPr>
              <w:pStyle w:val="TableParagraph"/>
              <w:spacing w:line="225" w:lineRule="auto"/>
              <w:ind w:right="284"/>
              <w:rPr>
                <w:sz w:val="20"/>
              </w:rPr>
            </w:pPr>
            <w:r>
              <w:rPr>
                <w:sz w:val="20"/>
              </w:rPr>
              <w:t>同事李明訓發現罹災者已被捲進套布內。</w:t>
            </w:r>
          </w:p>
        </w:tc>
        <w:tc>
          <w:tcPr>
            <w:tcW w:w="659" w:type="dxa"/>
          </w:tcPr>
          <w:p>
            <w:pPr>
              <w:pStyle w:val="TableParagraph"/>
              <w:spacing w:line="345" w:lineRule="exac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66" w:type="dxa"/>
          </w:tcPr>
          <w:p>
            <w:pPr>
              <w:pStyle w:val="TableParagraph"/>
              <w:spacing w:line="253" w:lineRule="exact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832" w:type="dxa"/>
          </w:tcPr>
          <w:p>
            <w:pPr>
              <w:pStyle w:val="TableParagraph"/>
              <w:spacing w:line="225" w:lineRule="auto"/>
              <w:ind w:right="112"/>
              <w:rPr>
                <w:sz w:val="20"/>
              </w:rPr>
            </w:pPr>
            <w:r>
              <w:rPr>
                <w:b/>
                <w:sz w:val="20"/>
              </w:rPr>
              <w:t>事故發生至發現已延遲約 </w:t>
            </w:r>
            <w:r>
              <w:rPr>
                <w:rFonts w:ascii="Segoe UI" w:eastAsia="Segoe UI"/>
                <w:b/>
                <w:sz w:val="20"/>
              </w:rPr>
              <w:t>1 </w:t>
            </w:r>
            <w:r>
              <w:rPr>
                <w:b/>
                <w:sz w:val="20"/>
              </w:rPr>
              <w:t>小時</w:t>
            </w:r>
            <w:r>
              <w:rPr>
                <w:sz w:val="20"/>
              </w:rPr>
              <w:t>。</w:t>
            </w:r>
          </w:p>
        </w:tc>
        <w:tc>
          <w:tcPr>
            <w:tcW w:w="2476" w:type="dxa"/>
          </w:tcPr>
          <w:p>
            <w:pPr>
              <w:pStyle w:val="TableParagraph"/>
              <w:spacing w:line="225" w:lineRule="auto"/>
              <w:ind w:right="155"/>
              <w:rPr>
                <w:sz w:val="20"/>
              </w:rPr>
            </w:pPr>
            <w:r>
              <w:rPr>
                <w:sz w:val="20"/>
              </w:rPr>
              <w:t>缺乏對作業區域的巡檢機制或單獨作業的監控系</w:t>
            </w:r>
          </w:p>
          <w:p>
            <w:pPr>
              <w:pStyle w:val="TableParagraph"/>
              <w:spacing w:line="333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統。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推斷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038" w:hRule="atLeast"/>
        </w:trPr>
        <w:tc>
          <w:tcPr>
            <w:tcW w:w="1150" w:type="dxa"/>
          </w:tcPr>
          <w:p>
            <w:pPr>
              <w:pStyle w:val="TableParagraph"/>
              <w:spacing w:line="253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112/08/30</w:t>
            </w:r>
          </w:p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20:26</w:t>
            </w:r>
          </w:p>
        </w:tc>
        <w:tc>
          <w:tcPr>
            <w:tcW w:w="2405" w:type="dxa"/>
          </w:tcPr>
          <w:p>
            <w:pPr>
              <w:pStyle w:val="TableParagraph"/>
              <w:spacing w:line="225" w:lineRule="auto"/>
              <w:ind w:right="284"/>
              <w:rPr>
                <w:sz w:val="20"/>
              </w:rPr>
            </w:pPr>
            <w:r>
              <w:rPr>
                <w:sz w:val="20"/>
              </w:rPr>
              <w:t>罹災者因胸腹壓迫傷致壓迫性窒息，經送醫急</w:t>
            </w:r>
          </w:p>
          <w:p>
            <w:pPr>
              <w:pStyle w:val="TableParagraph"/>
              <w:spacing w:line="335" w:lineRule="exact"/>
              <w:rPr>
                <w:sz w:val="20"/>
              </w:rPr>
            </w:pPr>
            <w:r>
              <w:rPr>
                <w:sz w:val="20"/>
              </w:rPr>
              <w:t>救後不治死亡。</w:t>
            </w:r>
          </w:p>
        </w:tc>
        <w:tc>
          <w:tcPr>
            <w:tcW w:w="659" w:type="dxa"/>
          </w:tcPr>
          <w:p>
            <w:pPr>
              <w:pStyle w:val="TableParagraph"/>
              <w:spacing w:line="345" w:lineRule="exac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66" w:type="dxa"/>
          </w:tcPr>
          <w:p>
            <w:pPr>
              <w:pStyle w:val="TableParagraph"/>
              <w:spacing w:line="253" w:lineRule="exact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832" w:type="dxa"/>
          </w:tcPr>
          <w:p>
            <w:pPr>
              <w:pStyle w:val="TableParagraph"/>
              <w:spacing w:line="225" w:lineRule="auto"/>
              <w:ind w:right="112"/>
              <w:rPr>
                <w:sz w:val="20"/>
              </w:rPr>
            </w:pPr>
            <w:r>
              <w:rPr>
                <w:sz w:val="20"/>
              </w:rPr>
              <w:t>身體被套布緊密包覆在轉軸上，持續</w:t>
            </w:r>
          </w:p>
          <w:p>
            <w:pPr>
              <w:pStyle w:val="TableParagraph"/>
              <w:spacing w:line="335" w:lineRule="exact"/>
              <w:rPr>
                <w:sz w:val="20"/>
              </w:rPr>
            </w:pPr>
            <w:r>
              <w:rPr>
                <w:sz w:val="20"/>
              </w:rPr>
              <w:t>壓迫。</w:t>
            </w:r>
          </w:p>
        </w:tc>
        <w:tc>
          <w:tcPr>
            <w:tcW w:w="2476" w:type="dxa"/>
          </w:tcPr>
          <w:p>
            <w:pPr>
              <w:pStyle w:val="TableParagraph"/>
              <w:spacing w:line="225" w:lineRule="auto"/>
              <w:ind w:right="155"/>
              <w:rPr>
                <w:sz w:val="20"/>
              </w:rPr>
            </w:pPr>
            <w:r>
              <w:rPr>
                <w:sz w:val="20"/>
              </w:rPr>
              <w:t>捲入後持續的壓迫造成了致命傷害。</w:t>
            </w:r>
          </w:p>
        </w:tc>
      </w:tr>
    </w:tbl>
    <w:p>
      <w:pPr>
        <w:pStyle w:val="BodyText"/>
        <w:spacing w:before="14"/>
        <w:rPr>
          <w:sz w:val="21"/>
        </w:rPr>
      </w:pPr>
      <w:r>
        <w:rPr/>
        <w:pict>
          <v:group style="position:absolute;margin-left:56.700001pt;margin-top:21.993593pt;width:474.9pt;height:1.55pt;mso-position-horizontal-relative:page;mso-position-vertical-relative:paragraph;z-index:-928;mso-wrap-distance-left:0;mso-wrap-distance-right:0" coordorigin="1134,440" coordsize="9498,31">
            <v:line style="position:absolute" from="1134,455" to="10632,455" stroked="true" strokeweight="1.5pt" strokecolor="#9f9f9f">
              <v:stroke dashstyle="solid"/>
            </v:line>
            <v:rect style="position:absolute;left:1134;top:439;width:5;height:5" filled="true" fillcolor="#9f9f9f" stroked="false">
              <v:fill type="solid"/>
            </v:rect>
            <v:rect style="position:absolute;left:1134;top:439;width:5;height:5" filled="true" fillcolor="#9f9f9f" stroked="false">
              <v:fill type="solid"/>
            </v:rect>
            <v:line style="position:absolute" from="1139,442" to="10627,442" stroked="true" strokeweight=".24pt" strokecolor="#9f9f9f">
              <v:stroke dashstyle="solid"/>
            </v:line>
            <v:rect style="position:absolute;left:10627;top:439;width:5;height:5" filled="true" fillcolor="#e2e2e2" stroked="false">
              <v:fill type="solid"/>
            </v:rect>
            <v:rect style="position:absolute;left:10627;top:439;width:5;height:5" filled="true" fillcolor="#9f9f9f" stroked="false">
              <v:fill type="solid"/>
            </v:rect>
            <v:rect style="position:absolute;left:1134;top:444;width:5;height:21" filled="true" fillcolor="#9f9f9f" stroked="false">
              <v:fill type="solid"/>
            </v:rect>
            <v:rect style="position:absolute;left:10627;top:444;width:5;height:21" filled="true" fillcolor="#e2e2e2" stroked="false">
              <v:fill type="solid"/>
            </v:rect>
            <v:rect style="position:absolute;left:1134;top:465;width:5;height:5" filled="true" fillcolor="#9f9f9f" stroked="false">
              <v:fill type="solid"/>
            </v:rect>
            <v:rect style="position:absolute;left:1134;top:465;width:5;height:5" filled="true" fillcolor="#e2e2e2" stroked="false">
              <v:fill type="solid"/>
            </v:rect>
            <v:line style="position:absolute" from="1139,467" to="10627,467" stroked="true" strokeweight=".24pt" strokecolor="#e2e2e2">
              <v:stroke dashstyle="solid"/>
            </v:line>
            <v:rect style="position:absolute;left:10627;top:465;width:5;height:5" filled="true" fillcolor="#e2e2e2" stroked="false">
              <v:fill type="solid"/>
            </v:rect>
            <v:rect style="position:absolute;left:10627;top:465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rPr>
          <w:rFonts w:ascii="Calibri" w:eastAsia="Calibri"/>
        </w:rPr>
      </w:pPr>
      <w:r>
        <w:rPr/>
        <w:t>三</w:t>
      </w:r>
      <w:r>
        <w:rPr>
          <w:rFonts w:ascii="Calibri" w:eastAsia="Calibri"/>
        </w:rPr>
        <w:t>. </w:t>
      </w:r>
      <w:r>
        <w:rPr/>
        <w:t>為何樹分析  </w:t>
      </w:r>
      <w:r>
        <w:rPr>
          <w:rFonts w:ascii="Calibri" w:eastAsia="Calibri"/>
        </w:rPr>
        <w:t>(Why-Tree)</w:t>
      </w:r>
    </w:p>
    <w:p>
      <w:pPr>
        <w:pStyle w:val="BodyText"/>
        <w:spacing w:line="428" w:lineRule="exact"/>
        <w:ind w:left="473"/>
      </w:pPr>
      <w:r>
        <w:rPr/>
        <w:t>本分析從最終的傷害事件開始，透過不斷追問「為什麼」來探究事件的根本原因。</w:t>
      </w:r>
    </w:p>
    <w:p>
      <w:pPr>
        <w:spacing w:after="0" w:line="428" w:lineRule="exact"/>
        <w:sectPr>
          <w:pgSz w:w="11910" w:h="16840"/>
          <w:pgMar w:top="1380" w:bottom="280" w:left="1020" w:right="11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668"/>
        <w:rPr>
          <w:sz w:val="20"/>
        </w:rPr>
      </w:pPr>
      <w:r>
        <w:rPr>
          <w:sz w:val="20"/>
        </w:rPr>
        <w:drawing>
          <wp:inline distT="0" distB="0" distL="0" distR="0">
            <wp:extent cx="4027241" cy="4937760"/>
            <wp:effectExtent l="0" t="0" r="0" b="0"/>
            <wp:docPr id="3" name="image2.png" descr="一張含有 文字, 螢幕擷取畫面, 圖表, 字型 的圖片  AI 產生的內容可能不正確。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7241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  <w:r>
        <w:rPr/>
        <w:pict>
          <v:group style="position:absolute;margin-left:56.700001pt;margin-top:21.591328pt;width:474.9pt;height:1.55pt;mso-position-horizontal-relative:page;mso-position-vertical-relative:paragraph;z-index:-904;mso-wrap-distance-left:0;mso-wrap-distance-right:0" coordorigin="1134,432" coordsize="9498,31">
            <v:line style="position:absolute" from="1134,447" to="10632,447" stroked="true" strokeweight="1.5pt" strokecolor="#9f9f9f">
              <v:stroke dashstyle="solid"/>
            </v:line>
            <v:rect style="position:absolute;left:1134;top:431;width:5;height:5" filled="true" fillcolor="#9f9f9f" stroked="false">
              <v:fill type="solid"/>
            </v:rect>
            <v:rect style="position:absolute;left:1134;top:431;width:5;height:5" filled="true" fillcolor="#9f9f9f" stroked="false">
              <v:fill type="solid"/>
            </v:rect>
            <v:line style="position:absolute" from="1139,434" to="10627,434" stroked="true" strokeweight=".24pt" strokecolor="#9f9f9f">
              <v:stroke dashstyle="solid"/>
            </v:line>
            <v:rect style="position:absolute;left:10627;top:431;width:5;height:5" filled="true" fillcolor="#e2e2e2" stroked="false">
              <v:fill type="solid"/>
            </v:rect>
            <v:rect style="position:absolute;left:10627;top:431;width:5;height:5" filled="true" fillcolor="#9f9f9f" stroked="false">
              <v:fill type="solid"/>
            </v:rect>
            <v:rect style="position:absolute;left:1134;top:436;width:5;height:21" filled="true" fillcolor="#9f9f9f" stroked="false">
              <v:fill type="solid"/>
            </v:rect>
            <v:rect style="position:absolute;left:10627;top:436;width:5;height:21" filled="true" fillcolor="#e2e2e2" stroked="false">
              <v:fill type="solid"/>
            </v:rect>
            <v:rect style="position:absolute;left:1134;top:457;width:5;height:5" filled="true" fillcolor="#9f9f9f" stroked="false">
              <v:fill type="solid"/>
            </v:rect>
            <v:rect style="position:absolute;left:1134;top:457;width:5;height:5" filled="true" fillcolor="#e2e2e2" stroked="false">
              <v:fill type="solid"/>
            </v:rect>
            <v:line style="position:absolute" from="1139,459" to="10627,459" stroked="true" strokeweight=".24pt" strokecolor="#e2e2e2">
              <v:stroke dashstyle="solid"/>
            </v:line>
            <v:rect style="position:absolute;left:10627;top:457;width:5;height:5" filled="true" fillcolor="#e2e2e2" stroked="false">
              <v:fill type="solid"/>
            </v:rect>
            <v:rect style="position:absolute;left:10627;top:457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rPr>
          <w:rFonts w:ascii="Calibri" w:eastAsia="Calibri"/>
        </w:rPr>
      </w:pPr>
      <w:r>
        <w:rPr/>
        <w:t>四</w:t>
      </w:r>
      <w:r>
        <w:rPr>
          <w:rFonts w:ascii="Calibri" w:eastAsia="Calibri"/>
        </w:rPr>
        <w:t>. </w:t>
      </w:r>
      <w:r>
        <w:rPr/>
        <w:t>屏障分析  </w:t>
      </w:r>
      <w:r>
        <w:rPr>
          <w:rFonts w:ascii="Calibri" w:eastAsia="Calibri"/>
        </w:rPr>
        <w:t>(Barrier Analysis)</w:t>
      </w:r>
    </w:p>
    <w:p>
      <w:pPr>
        <w:pStyle w:val="BodyText"/>
        <w:spacing w:line="415" w:lineRule="exact"/>
        <w:ind w:left="473"/>
      </w:pPr>
      <w:r>
        <w:rPr/>
        <w:t>本分析旨在識別應有但失效、缺失或不足的屏障，導致危害接觸到目標。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415" w:lineRule="exact" w:before="0" w:after="0"/>
        <w:ind w:left="834" w:right="0" w:hanging="360"/>
        <w:jc w:val="left"/>
        <w:rPr>
          <w:rFonts w:ascii="Calibri" w:hAnsi="Calibri" w:eastAsia="Calibri"/>
          <w:sz w:val="24"/>
        </w:rPr>
      </w:pPr>
      <w:r>
        <w:rPr>
          <w:b/>
          <w:sz w:val="24"/>
        </w:rPr>
        <w:t>危害： </w:t>
      </w:r>
      <w:r>
        <w:rPr>
          <w:sz w:val="24"/>
        </w:rPr>
        <w:t>機械能 </w:t>
      </w:r>
      <w:r>
        <w:rPr>
          <w:rFonts w:ascii="Calibri" w:hAnsi="Calibri" w:eastAsia="Calibri"/>
          <w:sz w:val="24"/>
        </w:rPr>
        <w:t>(</w:t>
      </w:r>
      <w:r>
        <w:rPr>
          <w:sz w:val="24"/>
        </w:rPr>
        <w:t>運轉中的套布機轉軸所形成的捲夾動能</w:t>
      </w:r>
      <w:r>
        <w:rPr>
          <w:rFonts w:ascii="Calibri" w:hAnsi="Calibri" w:eastAsia="Calibri"/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428" w:lineRule="exact" w:before="0" w:after="0"/>
        <w:ind w:left="834" w:right="0" w:hanging="360"/>
        <w:jc w:val="left"/>
        <w:rPr>
          <w:sz w:val="24"/>
        </w:rPr>
      </w:pPr>
      <w:r>
        <w:rPr>
          <w:b/>
          <w:sz w:val="24"/>
        </w:rPr>
        <w:t>目標： </w:t>
      </w:r>
      <w:r>
        <w:rPr>
          <w:sz w:val="24"/>
        </w:rPr>
        <w:t>罹災者吉員</w:t>
      </w: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7"/>
        <w:gridCol w:w="1881"/>
        <w:gridCol w:w="873"/>
        <w:gridCol w:w="3141"/>
        <w:gridCol w:w="2834"/>
      </w:tblGrid>
      <w:tr>
        <w:trPr>
          <w:trHeight w:val="1383" w:hRule="atLeast"/>
        </w:trPr>
        <w:tc>
          <w:tcPr>
            <w:tcW w:w="757" w:type="dxa"/>
          </w:tcPr>
          <w:p>
            <w:pPr>
              <w:pStyle w:val="TableParagraph"/>
              <w:spacing w:line="225" w:lineRule="auto"/>
              <w:ind w:right="236"/>
              <w:rPr>
                <w:sz w:val="20"/>
              </w:rPr>
            </w:pPr>
            <w:r>
              <w:rPr>
                <w:sz w:val="20"/>
              </w:rPr>
              <w:t>屏障類型</w:t>
            </w:r>
          </w:p>
        </w:tc>
        <w:tc>
          <w:tcPr>
            <w:tcW w:w="1881" w:type="dxa"/>
          </w:tcPr>
          <w:p>
            <w:pPr>
              <w:pStyle w:val="TableParagraph"/>
              <w:spacing w:line="344" w:lineRule="exact"/>
              <w:rPr>
                <w:sz w:val="20"/>
              </w:rPr>
            </w:pPr>
            <w:r>
              <w:rPr>
                <w:sz w:val="20"/>
              </w:rPr>
              <w:t>屏障</w:t>
            </w:r>
          </w:p>
        </w:tc>
        <w:tc>
          <w:tcPr>
            <w:tcW w:w="873" w:type="dxa"/>
          </w:tcPr>
          <w:p>
            <w:pPr>
              <w:pStyle w:val="TableParagraph"/>
              <w:spacing w:line="225" w:lineRule="auto"/>
              <w:ind w:left="108" w:right="151"/>
              <w:jc w:val="both"/>
              <w:rPr>
                <w:sz w:val="20"/>
              </w:rPr>
            </w:pPr>
            <w:r>
              <w:rPr>
                <w:sz w:val="20"/>
              </w:rPr>
              <w:t>屏障表現 </w:t>
            </w:r>
            <w:r>
              <w:rPr>
                <w:rFonts w:ascii="Segoe UI" w:eastAsia="Segoe UI"/>
                <w:sz w:val="20"/>
              </w:rPr>
              <w:t>( </w:t>
            </w:r>
            <w:r>
              <w:rPr>
                <w:sz w:val="20"/>
              </w:rPr>
              <w:t>事故時狀</w:t>
            </w:r>
          </w:p>
          <w:p>
            <w:pPr>
              <w:pStyle w:val="TableParagraph"/>
              <w:spacing w:line="334" w:lineRule="exact"/>
              <w:ind w:left="108"/>
              <w:jc w:val="both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態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3141" w:type="dxa"/>
          </w:tcPr>
          <w:p>
            <w:pPr>
              <w:pStyle w:val="TableParagraph"/>
              <w:spacing w:line="344" w:lineRule="exact"/>
              <w:ind w:left="109"/>
              <w:rPr>
                <w:sz w:val="20"/>
              </w:rPr>
            </w:pPr>
            <w:r>
              <w:rPr>
                <w:sz w:val="20"/>
              </w:rPr>
              <w:t>屏障失效原因</w:t>
            </w:r>
          </w:p>
        </w:tc>
        <w:tc>
          <w:tcPr>
            <w:tcW w:w="2834" w:type="dxa"/>
          </w:tcPr>
          <w:p>
            <w:pPr>
              <w:pStyle w:val="TableParagraph"/>
              <w:spacing w:line="225" w:lineRule="auto"/>
              <w:ind w:left="109" w:right="152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屏障如何影響事故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失效的後果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384" w:hRule="atLeast"/>
        </w:trPr>
        <w:tc>
          <w:tcPr>
            <w:tcW w:w="757" w:type="dxa"/>
          </w:tcPr>
          <w:p>
            <w:pPr>
              <w:pStyle w:val="TableParagraph"/>
              <w:spacing w:line="225" w:lineRule="auto"/>
              <w:ind w:right="236"/>
              <w:rPr>
                <w:b/>
                <w:sz w:val="20"/>
              </w:rPr>
            </w:pPr>
            <w:r>
              <w:rPr>
                <w:b/>
                <w:spacing w:val="-9"/>
                <w:sz w:val="20"/>
              </w:rPr>
              <w:t>工程控制</w:t>
            </w:r>
          </w:p>
          <w:p>
            <w:pPr>
              <w:pStyle w:val="TableParagraph"/>
              <w:spacing w:line="353" w:lineRule="exact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最關</w:t>
            </w:r>
          </w:p>
        </w:tc>
        <w:tc>
          <w:tcPr>
            <w:tcW w:w="1881" w:type="dxa"/>
          </w:tcPr>
          <w:p>
            <w:pPr>
              <w:pStyle w:val="TableParagraph"/>
              <w:spacing w:line="225" w:lineRule="auto"/>
              <w:ind w:left="108" w:right="160" w:hanging="1"/>
              <w:jc w:val="both"/>
              <w:rPr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1. </w:t>
            </w:r>
            <w:r>
              <w:rPr>
                <w:b/>
                <w:sz w:val="20"/>
              </w:rPr>
              <w:t>安全的套布輔助工具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如：長柄夾具、導布桿、自</w:t>
            </w:r>
          </w:p>
          <w:p>
            <w:pPr>
              <w:pStyle w:val="TableParagraph"/>
              <w:spacing w:line="335" w:lineRule="exact"/>
              <w:ind w:left="108"/>
              <w:jc w:val="both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動穿帶裝置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873" w:type="dxa"/>
          </w:tcPr>
          <w:p>
            <w:pPr>
              <w:pStyle w:val="TableParagraph"/>
              <w:spacing w:line="225" w:lineRule="auto"/>
              <w:ind w:left="108" w:right="151"/>
              <w:rPr>
                <w:b/>
                <w:sz w:val="20"/>
              </w:rPr>
            </w:pPr>
            <w:r>
              <w:rPr>
                <w:b/>
                <w:sz w:val="20"/>
              </w:rPr>
              <w:t>完全不存在</w:t>
            </w:r>
          </w:p>
          <w:p>
            <w:pPr>
              <w:pStyle w:val="TableParagraph"/>
              <w:spacing w:line="353" w:lineRule="exact"/>
              <w:ind w:left="108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推斷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3141" w:type="dxa"/>
          </w:tcPr>
          <w:p>
            <w:pPr>
              <w:pStyle w:val="TableParagraph"/>
              <w:spacing w:line="225" w:lineRule="auto"/>
              <w:ind w:left="109" w:right="219"/>
              <w:jc w:val="both"/>
              <w:rPr>
                <w:sz w:val="20"/>
              </w:rPr>
            </w:pPr>
            <w:r>
              <w:rPr>
                <w:sz w:val="20"/>
              </w:rPr>
              <w:t>未曾從源頭設計或採購可取代人手進行套布的工具，迫使勞工必須用手接近危險點。</w:t>
            </w:r>
          </w:p>
        </w:tc>
        <w:tc>
          <w:tcPr>
            <w:tcW w:w="2834" w:type="dxa"/>
          </w:tcPr>
          <w:p>
            <w:pPr>
              <w:pStyle w:val="TableParagraph"/>
              <w:spacing w:line="333" w:lineRule="exact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最致命的屏障失效。 </w:t>
            </w:r>
            <w:r>
              <w:rPr>
                <w:sz w:val="20"/>
              </w:rPr>
              <w:t>未能將</w:t>
            </w:r>
          </w:p>
          <w:p>
            <w:pPr>
              <w:pStyle w:val="TableParagraph"/>
              <w:spacing w:line="225" w:lineRule="auto" w:before="4"/>
              <w:ind w:left="109" w:right="111"/>
              <w:rPr>
                <w:sz w:val="20"/>
              </w:rPr>
            </w:pPr>
            <w:r>
              <w:rPr>
                <w:sz w:val="20"/>
              </w:rPr>
              <w:t>「人」與「危害」進行物理性隔離，直接導致勞工必須以最</w:t>
            </w:r>
          </w:p>
          <w:p>
            <w:pPr>
              <w:pStyle w:val="TableParagraph"/>
              <w:spacing w:line="335" w:lineRule="exact"/>
              <w:ind w:left="109"/>
              <w:rPr>
                <w:sz w:val="20"/>
              </w:rPr>
            </w:pPr>
            <w:r>
              <w:rPr>
                <w:sz w:val="20"/>
              </w:rPr>
              <w:t>危險的方式作業。</w:t>
            </w:r>
          </w:p>
        </w:tc>
      </w:tr>
    </w:tbl>
    <w:p>
      <w:pPr>
        <w:spacing w:after="0" w:line="335" w:lineRule="exact"/>
        <w:rPr>
          <w:sz w:val="20"/>
        </w:rPr>
        <w:sectPr>
          <w:pgSz w:w="11910" w:h="16840"/>
          <w:pgMar w:top="1580" w:bottom="280" w:left="1020" w:right="1160"/>
        </w:sect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7"/>
        <w:gridCol w:w="1881"/>
        <w:gridCol w:w="873"/>
        <w:gridCol w:w="3141"/>
        <w:gridCol w:w="2834"/>
      </w:tblGrid>
      <w:tr>
        <w:trPr>
          <w:trHeight w:val="692" w:hRule="atLeast"/>
        </w:trPr>
        <w:tc>
          <w:tcPr>
            <w:tcW w:w="757" w:type="dxa"/>
          </w:tcPr>
          <w:p>
            <w:pPr>
              <w:pStyle w:val="TableParagraph"/>
              <w:spacing w:line="34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鍵屏</w:t>
            </w:r>
          </w:p>
          <w:p>
            <w:pPr>
              <w:pStyle w:val="TableParagraph"/>
              <w:spacing w:line="326" w:lineRule="exact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障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88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4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383" w:hRule="atLeast"/>
        </w:trPr>
        <w:tc>
          <w:tcPr>
            <w:tcW w:w="757" w:type="dxa"/>
          </w:tcPr>
          <w:p>
            <w:pPr>
              <w:pStyle w:val="TableParagraph"/>
              <w:spacing w:line="225" w:lineRule="auto" w:before="4"/>
              <w:ind w:right="14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</w:t>
            </w:r>
            <w:r>
              <w:rPr>
                <w:rFonts w:ascii="Segoe UI" w:eastAsia="Segoe UI"/>
                <w:b/>
                <w:sz w:val="20"/>
              </w:rPr>
              <w:t>/ </w:t>
            </w:r>
            <w:r>
              <w:rPr>
                <w:b/>
                <w:sz w:val="20"/>
              </w:rPr>
              <w:t>程序</w:t>
            </w:r>
          </w:p>
          <w:p>
            <w:pPr>
              <w:pStyle w:val="TableParagraph"/>
              <w:spacing w:line="322" w:lineRule="exact"/>
              <w:jc w:val="both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性</w:t>
            </w:r>
          </w:p>
        </w:tc>
        <w:tc>
          <w:tcPr>
            <w:tcW w:w="1881" w:type="dxa"/>
          </w:tcPr>
          <w:p>
            <w:pPr>
              <w:pStyle w:val="TableParagraph"/>
              <w:spacing w:line="225" w:lineRule="auto" w:before="4"/>
              <w:ind w:right="111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2. </w:t>
            </w:r>
            <w:r>
              <w:rPr>
                <w:b/>
                <w:sz w:val="20"/>
              </w:rPr>
              <w:t>安全作業程序</w:t>
            </w:r>
            <w:r>
              <w:rPr>
                <w:rFonts w:ascii="Segoe UI" w:eastAsia="Segoe UI"/>
                <w:b/>
                <w:sz w:val="20"/>
              </w:rPr>
              <w:t>(SOP)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包含停機套布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873" w:type="dxa"/>
          </w:tcPr>
          <w:p>
            <w:pPr>
              <w:pStyle w:val="TableParagraph"/>
              <w:spacing w:line="225" w:lineRule="auto" w:before="4"/>
              <w:ind w:left="108" w:right="151"/>
              <w:rPr>
                <w:b/>
                <w:sz w:val="20"/>
              </w:rPr>
            </w:pPr>
            <w:r>
              <w:rPr>
                <w:b/>
                <w:spacing w:val="-7"/>
                <w:sz w:val="20"/>
              </w:rPr>
              <w:t>不存在或無效</w:t>
            </w:r>
          </w:p>
          <w:p>
            <w:pPr>
              <w:pStyle w:val="TableParagraph"/>
              <w:spacing w:line="353" w:lineRule="exact"/>
              <w:ind w:left="108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pacing w:val="-1"/>
                <w:sz w:val="20"/>
              </w:rPr>
              <w:t>(</w:t>
            </w:r>
            <w:r>
              <w:rPr>
                <w:b/>
                <w:spacing w:val="-1"/>
                <w:sz w:val="20"/>
              </w:rPr>
              <w:t>推斷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3141" w:type="dxa"/>
          </w:tcPr>
          <w:p>
            <w:pPr>
              <w:pStyle w:val="TableParagraph"/>
              <w:spacing w:line="225" w:lineRule="auto" w:before="4"/>
              <w:ind w:left="108" w:right="219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未針對「起始套布」此一特殊、高風險作業，制定標準化的安全</w:t>
            </w:r>
            <w:r>
              <w:rPr>
                <w:spacing w:val="-2"/>
                <w:sz w:val="20"/>
              </w:rPr>
              <w:t>作業程序，例如「啟動前，必須</w:t>
            </w:r>
          </w:p>
          <w:p>
            <w:pPr>
              <w:pStyle w:val="TableParagraph"/>
              <w:spacing w:line="322" w:lineRule="exact"/>
              <w:ind w:left="108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先以手動或工具將布頭固定」。</w:t>
            </w:r>
          </w:p>
        </w:tc>
        <w:tc>
          <w:tcPr>
            <w:tcW w:w="2834" w:type="dxa"/>
          </w:tcPr>
          <w:p>
            <w:pPr>
              <w:pStyle w:val="TableParagraph"/>
              <w:spacing w:line="225" w:lineRule="auto" w:before="4"/>
              <w:ind w:left="109" w:right="111"/>
              <w:rPr>
                <w:sz w:val="20"/>
              </w:rPr>
            </w:pPr>
            <w:r>
              <w:rPr>
                <w:sz w:val="20"/>
              </w:rPr>
              <w:t>缺乏明確的作業指南，導致勞工採取自認為可行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想藉由轉動捲入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，但實際上極度危險</w:t>
            </w:r>
          </w:p>
          <w:p>
            <w:pPr>
              <w:pStyle w:val="TableParagraph"/>
              <w:spacing w:line="322" w:lineRule="exact"/>
              <w:ind w:left="109"/>
              <w:rPr>
                <w:sz w:val="20"/>
              </w:rPr>
            </w:pPr>
            <w:r>
              <w:rPr>
                <w:sz w:val="20"/>
              </w:rPr>
              <w:t>的作業方法。</w:t>
            </w:r>
          </w:p>
        </w:tc>
      </w:tr>
      <w:tr>
        <w:trPr>
          <w:trHeight w:val="1037" w:hRule="atLeast"/>
        </w:trPr>
        <w:tc>
          <w:tcPr>
            <w:tcW w:w="757" w:type="dxa"/>
          </w:tcPr>
          <w:p>
            <w:pPr>
              <w:pStyle w:val="TableParagraph"/>
              <w:spacing w:line="225" w:lineRule="auto" w:before="4"/>
              <w:ind w:right="236"/>
              <w:rPr>
                <w:b/>
                <w:sz w:val="20"/>
              </w:rPr>
            </w:pPr>
            <w:r>
              <w:rPr>
                <w:b/>
                <w:sz w:val="20"/>
              </w:rPr>
              <w:t>工程控制</w:t>
            </w:r>
          </w:p>
        </w:tc>
        <w:tc>
          <w:tcPr>
            <w:tcW w:w="1881" w:type="dxa"/>
          </w:tcPr>
          <w:p>
            <w:pPr>
              <w:pStyle w:val="TableParagraph"/>
              <w:spacing w:line="225" w:lineRule="auto" w:before="4"/>
              <w:ind w:left="108" w:right="291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3. </w:t>
            </w:r>
            <w:r>
              <w:rPr>
                <w:b/>
                <w:sz w:val="20"/>
              </w:rPr>
              <w:t>捲入點護罩或感應裝置</w:t>
            </w:r>
          </w:p>
        </w:tc>
        <w:tc>
          <w:tcPr>
            <w:tcW w:w="873" w:type="dxa"/>
          </w:tcPr>
          <w:p>
            <w:pPr>
              <w:pStyle w:val="TableParagraph"/>
              <w:spacing w:line="34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不存在</w:t>
            </w:r>
          </w:p>
          <w:p>
            <w:pPr>
              <w:pStyle w:val="TableParagraph"/>
              <w:spacing w:line="357" w:lineRule="exact"/>
              <w:ind w:left="108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pacing w:val="-1"/>
                <w:sz w:val="20"/>
              </w:rPr>
              <w:t>(</w:t>
            </w:r>
            <w:r>
              <w:rPr>
                <w:b/>
                <w:spacing w:val="-1"/>
                <w:sz w:val="20"/>
              </w:rPr>
              <w:t>推斷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3141" w:type="dxa"/>
          </w:tcPr>
          <w:p>
            <w:pPr>
              <w:pStyle w:val="TableParagraph"/>
              <w:spacing w:line="225" w:lineRule="auto" w:before="4"/>
              <w:ind w:left="109" w:right="220"/>
              <w:rPr>
                <w:sz w:val="20"/>
              </w:rPr>
            </w:pPr>
            <w:r>
              <w:rPr>
                <w:sz w:val="20"/>
              </w:rPr>
              <w:t>設備在設計或安裝時，未對手部可及的捲入點設置任何物理護罩</w:t>
            </w:r>
          </w:p>
          <w:p>
            <w:pPr>
              <w:pStyle w:val="TableParagraph"/>
              <w:spacing w:line="322" w:lineRule="exact"/>
              <w:ind w:left="109"/>
              <w:rPr>
                <w:sz w:val="20"/>
              </w:rPr>
            </w:pPr>
            <w:r>
              <w:rPr>
                <w:sz w:val="20"/>
              </w:rPr>
              <w:t>或光電感應等停止裝置。</w:t>
            </w:r>
          </w:p>
        </w:tc>
        <w:tc>
          <w:tcPr>
            <w:tcW w:w="2834" w:type="dxa"/>
          </w:tcPr>
          <w:p>
            <w:pPr>
              <w:pStyle w:val="TableParagraph"/>
              <w:spacing w:line="225" w:lineRule="auto" w:before="4"/>
              <w:ind w:left="109" w:right="111"/>
              <w:rPr>
                <w:sz w:val="20"/>
              </w:rPr>
            </w:pPr>
            <w:r>
              <w:rPr>
                <w:sz w:val="20"/>
              </w:rPr>
              <w:t>當勞工的手部進入危險區時， 沒有任何機制可以阻止其接觸</w:t>
            </w:r>
          </w:p>
          <w:p>
            <w:pPr>
              <w:pStyle w:val="TableParagraph"/>
              <w:spacing w:line="322" w:lineRule="exact"/>
              <w:ind w:left="109"/>
              <w:rPr>
                <w:sz w:val="20"/>
              </w:rPr>
            </w:pPr>
            <w:r>
              <w:rPr>
                <w:sz w:val="20"/>
              </w:rPr>
              <w:t>捲入點或立即停止機器。</w:t>
            </w:r>
          </w:p>
        </w:tc>
      </w:tr>
      <w:tr>
        <w:trPr>
          <w:trHeight w:val="1384" w:hRule="atLeast"/>
        </w:trPr>
        <w:tc>
          <w:tcPr>
            <w:tcW w:w="757" w:type="dxa"/>
          </w:tcPr>
          <w:p>
            <w:pPr>
              <w:pStyle w:val="TableParagraph"/>
              <w:spacing w:line="225" w:lineRule="auto" w:before="5"/>
              <w:ind w:right="236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</w:t>
            </w:r>
          </w:p>
        </w:tc>
        <w:tc>
          <w:tcPr>
            <w:tcW w:w="1881" w:type="dxa"/>
          </w:tcPr>
          <w:p>
            <w:pPr>
              <w:pStyle w:val="TableParagraph"/>
              <w:spacing w:line="225" w:lineRule="auto" w:before="5"/>
              <w:ind w:left="108" w:right="291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4. </w:t>
            </w:r>
            <w:r>
              <w:rPr>
                <w:b/>
                <w:sz w:val="20"/>
              </w:rPr>
              <w:t>單人作業安全管制</w:t>
            </w:r>
          </w:p>
        </w:tc>
        <w:tc>
          <w:tcPr>
            <w:tcW w:w="873" w:type="dxa"/>
          </w:tcPr>
          <w:p>
            <w:pPr>
              <w:pStyle w:val="TableParagraph"/>
              <w:spacing w:line="225" w:lineRule="auto" w:before="5"/>
              <w:ind w:left="108" w:right="151"/>
              <w:rPr>
                <w:b/>
                <w:sz w:val="20"/>
              </w:rPr>
            </w:pPr>
            <w:r>
              <w:rPr>
                <w:b/>
                <w:sz w:val="20"/>
              </w:rPr>
              <w:t>完全失效</w:t>
            </w:r>
          </w:p>
        </w:tc>
        <w:tc>
          <w:tcPr>
            <w:tcW w:w="3141" w:type="dxa"/>
          </w:tcPr>
          <w:p>
            <w:pPr>
              <w:pStyle w:val="TableParagraph"/>
              <w:spacing w:line="225" w:lineRule="auto" w:before="5"/>
              <w:ind w:left="109" w:right="219"/>
              <w:jc w:val="both"/>
              <w:rPr>
                <w:sz w:val="20"/>
              </w:rPr>
            </w:pPr>
            <w:r>
              <w:rPr>
                <w:sz w:val="20"/>
              </w:rPr>
              <w:t>公司允許勞工單獨從事此類非例行性的高風險作業，且未建立任何有效的監控或定時回報機制。</w:t>
            </w:r>
          </w:p>
        </w:tc>
        <w:tc>
          <w:tcPr>
            <w:tcW w:w="2834" w:type="dxa"/>
          </w:tcPr>
          <w:p>
            <w:pPr>
              <w:pStyle w:val="TableParagraph"/>
              <w:spacing w:line="225" w:lineRule="auto" w:before="5"/>
              <w:ind w:left="109" w:right="111"/>
              <w:jc w:val="both"/>
              <w:rPr>
                <w:sz w:val="20"/>
              </w:rPr>
            </w:pPr>
            <w:r>
              <w:rPr>
                <w:sz w:val="20"/>
              </w:rPr>
              <w:t>事故發生後，罹災者無法自救或求救，也無人能及時發現， 導致救援時間嚴重延遲，錯失</w:t>
            </w:r>
          </w:p>
          <w:p>
            <w:pPr>
              <w:pStyle w:val="TableParagraph"/>
              <w:spacing w:line="322" w:lineRule="exact"/>
              <w:ind w:left="109"/>
              <w:jc w:val="both"/>
              <w:rPr>
                <w:sz w:val="20"/>
              </w:rPr>
            </w:pPr>
            <w:r>
              <w:rPr>
                <w:sz w:val="20"/>
              </w:rPr>
              <w:t>任何可能的救援時機。</w:t>
            </w:r>
          </w:p>
        </w:tc>
      </w:tr>
    </w:tbl>
    <w:p>
      <w:pPr>
        <w:pStyle w:val="BodyText"/>
        <w:spacing w:before="8"/>
        <w:rPr>
          <w:sz w:val="22"/>
        </w:rPr>
      </w:pPr>
      <w:r>
        <w:rPr/>
        <w:pict>
          <v:group style="position:absolute;margin-left:56.700001pt;margin-top:22.610001pt;width:474.9pt;height:1.55pt;mso-position-horizontal-relative:page;mso-position-vertical-relative:paragraph;z-index:-880;mso-wrap-distance-left:0;mso-wrap-distance-right:0" coordorigin="1134,452" coordsize="9498,31">
            <v:line style="position:absolute" from="1134,467" to="10632,467" stroked="true" strokeweight="1.5pt" strokecolor="#9f9f9f">
              <v:stroke dashstyle="solid"/>
            </v:line>
            <v:rect style="position:absolute;left:1134;top:452;width:5;height:5" filled="true" fillcolor="#9f9f9f" stroked="false">
              <v:fill type="solid"/>
            </v:rect>
            <v:rect style="position:absolute;left:1134;top:452;width:5;height:5" filled="true" fillcolor="#9f9f9f" stroked="false">
              <v:fill type="solid"/>
            </v:rect>
            <v:line style="position:absolute" from="1139,455" to="10627,455" stroked="true" strokeweight=".239pt" strokecolor="#9f9f9f">
              <v:stroke dashstyle="solid"/>
            </v:line>
            <v:rect style="position:absolute;left:10627;top:452;width:5;height:5" filled="true" fillcolor="#e2e2e2" stroked="false">
              <v:fill type="solid"/>
            </v:rect>
            <v:rect style="position:absolute;left:10627;top:452;width:5;height:5" filled="true" fillcolor="#9f9f9f" stroked="false">
              <v:fill type="solid"/>
            </v:rect>
            <v:rect style="position:absolute;left:1134;top:457;width:5;height:21" filled="true" fillcolor="#9f9f9f" stroked="false">
              <v:fill type="solid"/>
            </v:rect>
            <v:rect style="position:absolute;left:10627;top:457;width:5;height:21" filled="true" fillcolor="#e2e2e2" stroked="false">
              <v:fill type="solid"/>
            </v:rect>
            <v:rect style="position:absolute;left:1134;top:477;width:5;height:5" filled="true" fillcolor="#9f9f9f" stroked="false">
              <v:fill type="solid"/>
            </v:rect>
            <v:rect style="position:absolute;left:1134;top:477;width:5;height:5" filled="true" fillcolor="#e2e2e2" stroked="false">
              <v:fill type="solid"/>
            </v:rect>
            <v:line style="position:absolute" from="1139,480" to="10627,480" stroked="true" strokeweight=".239pt" strokecolor="#e2e2e2">
              <v:stroke dashstyle="solid"/>
            </v:line>
            <v:rect style="position:absolute;left:10627;top:477;width:5;height:5" filled="true" fillcolor="#e2e2e2" stroked="false">
              <v:fill type="solid"/>
            </v:rect>
            <v:rect style="position:absolute;left:10627;top:477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rPr>
          <w:rFonts w:ascii="Calibri" w:eastAsia="Calibri"/>
        </w:rPr>
      </w:pPr>
      <w:r>
        <w:rPr/>
        <w:t>五</w:t>
      </w:r>
      <w:r>
        <w:rPr>
          <w:rFonts w:ascii="Calibri" w:eastAsia="Calibri"/>
        </w:rPr>
        <w:t>. </w:t>
      </w:r>
      <w:r>
        <w:rPr/>
        <w:t>變更分析  </w:t>
      </w:r>
      <w:r>
        <w:rPr>
          <w:rFonts w:ascii="Calibri" w:eastAsia="Calibri"/>
        </w:rPr>
        <w:t>(Change Analysis)</w:t>
      </w:r>
    </w:p>
    <w:p>
      <w:pPr>
        <w:pStyle w:val="BodyText"/>
        <w:spacing w:line="428" w:lineRule="exact"/>
        <w:ind w:left="474"/>
      </w:pPr>
      <w:r>
        <w:rPr/>
        <w:t>本分析比較「事故狀況」與一個「理想的無事故狀況」，以識別導致事故的關鍵差異。</w:t>
      </w: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8"/>
        <w:gridCol w:w="1605"/>
        <w:gridCol w:w="2487"/>
        <w:gridCol w:w="1820"/>
        <w:gridCol w:w="2502"/>
      </w:tblGrid>
      <w:tr>
        <w:trPr>
          <w:trHeight w:val="692" w:hRule="atLeast"/>
        </w:trPr>
        <w:tc>
          <w:tcPr>
            <w:tcW w:w="1078" w:type="dxa"/>
          </w:tcPr>
          <w:p>
            <w:pPr>
              <w:pStyle w:val="TableParagraph"/>
              <w:spacing w:line="338" w:lineRule="exact"/>
              <w:rPr>
                <w:sz w:val="20"/>
              </w:rPr>
            </w:pPr>
            <w:r>
              <w:rPr>
                <w:sz w:val="20"/>
              </w:rPr>
              <w:t>因素</w:t>
            </w:r>
          </w:p>
          <w:p>
            <w:pPr>
              <w:pStyle w:val="TableParagraph"/>
              <w:spacing w:line="261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(Factor)</w:t>
            </w:r>
          </w:p>
        </w:tc>
        <w:tc>
          <w:tcPr>
            <w:tcW w:w="1605" w:type="dxa"/>
          </w:tcPr>
          <w:p>
            <w:pPr>
              <w:pStyle w:val="TableParagraph"/>
              <w:spacing w:line="344" w:lineRule="exact"/>
              <w:rPr>
                <w:sz w:val="20"/>
              </w:rPr>
            </w:pPr>
            <w:r>
              <w:rPr>
                <w:sz w:val="20"/>
              </w:rPr>
              <w:t>事故狀況</w:t>
            </w:r>
          </w:p>
        </w:tc>
        <w:tc>
          <w:tcPr>
            <w:tcW w:w="2487" w:type="dxa"/>
          </w:tcPr>
          <w:p>
            <w:pPr>
              <w:pStyle w:val="TableParagraph"/>
              <w:spacing w:line="333" w:lineRule="exact"/>
              <w:ind w:left="106"/>
              <w:rPr>
                <w:sz w:val="20"/>
              </w:rPr>
            </w:pPr>
            <w:r>
              <w:rPr>
                <w:sz w:val="20"/>
              </w:rPr>
              <w:t>先前、理想或未發生事故</w:t>
            </w:r>
          </w:p>
          <w:p>
            <w:pPr>
              <w:pStyle w:val="TableParagraph"/>
              <w:spacing w:line="339" w:lineRule="exact"/>
              <w:ind w:left="106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狀況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比較基準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820" w:type="dxa"/>
          </w:tcPr>
          <w:p>
            <w:pPr>
              <w:pStyle w:val="TableParagraph"/>
              <w:spacing w:line="344" w:lineRule="exact"/>
              <w:ind w:left="106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差異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變更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502" w:type="dxa"/>
          </w:tcPr>
          <w:p>
            <w:pPr>
              <w:pStyle w:val="TableParagraph"/>
              <w:spacing w:line="333" w:lineRule="exact"/>
              <w:ind w:left="105"/>
              <w:rPr>
                <w:sz w:val="20"/>
              </w:rPr>
            </w:pPr>
            <w:r>
              <w:rPr>
                <w:sz w:val="20"/>
              </w:rPr>
              <w:t>效果評估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此差異對事故</w:t>
            </w:r>
          </w:p>
          <w:p>
            <w:pPr>
              <w:pStyle w:val="TableParagraph"/>
              <w:spacing w:line="339" w:lineRule="exact"/>
              <w:ind w:left="105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的影響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728" w:hRule="atLeast"/>
        </w:trPr>
        <w:tc>
          <w:tcPr>
            <w:tcW w:w="1078" w:type="dxa"/>
          </w:tcPr>
          <w:p>
            <w:pPr>
              <w:pStyle w:val="TableParagraph"/>
              <w:spacing w:line="333" w:lineRule="exact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HOW (</w:t>
            </w:r>
            <w:r>
              <w:rPr>
                <w:b/>
                <w:sz w:val="20"/>
              </w:rPr>
              <w:t>方</w:t>
            </w:r>
          </w:p>
          <w:p>
            <w:pPr>
              <w:pStyle w:val="TableParagraph"/>
              <w:spacing w:line="357" w:lineRule="exact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法</w:t>
            </w:r>
            <w:r>
              <w:rPr>
                <w:rFonts w:ascii="Segoe UI" w:eastAsia="Segoe UI"/>
                <w:b/>
                <w:sz w:val="20"/>
              </w:rPr>
              <w:t>/</w:t>
            </w:r>
            <w:r>
              <w:rPr>
                <w:b/>
                <w:sz w:val="20"/>
              </w:rPr>
              <w:t>程序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605" w:type="dxa"/>
          </w:tcPr>
          <w:p>
            <w:pPr>
              <w:pStyle w:val="TableParagraph"/>
              <w:spacing w:line="225" w:lineRule="auto"/>
              <w:ind w:right="120" w:hanging="1"/>
              <w:rPr>
                <w:sz w:val="20"/>
              </w:rPr>
            </w:pPr>
            <w:r>
              <w:rPr>
                <w:sz w:val="20"/>
              </w:rPr>
              <w:t>採用</w:t>
            </w:r>
            <w:r>
              <w:rPr>
                <w:rFonts w:ascii="Segoe UI" w:eastAsia="Segoe UI"/>
                <w:sz w:val="20"/>
              </w:rPr>
              <w:t>**</w:t>
            </w:r>
            <w:r>
              <w:rPr>
                <w:sz w:val="20"/>
              </w:rPr>
              <w:t>「以手送料、以機器轉動帶動」</w:t>
            </w:r>
            <w:r>
              <w:rPr>
                <w:rFonts w:ascii="Segoe UI" w:eastAsia="Segoe UI"/>
                <w:sz w:val="20"/>
              </w:rPr>
              <w:t>**</w:t>
            </w:r>
            <w:r>
              <w:rPr>
                <w:sz w:val="20"/>
              </w:rPr>
              <w:t>的危險自創方法。</w:t>
            </w:r>
          </w:p>
        </w:tc>
        <w:tc>
          <w:tcPr>
            <w:tcW w:w="2487" w:type="dxa"/>
          </w:tcPr>
          <w:p>
            <w:pPr>
              <w:pStyle w:val="TableParagraph"/>
              <w:spacing w:line="225" w:lineRule="auto"/>
              <w:ind w:left="106" w:right="167"/>
              <w:rPr>
                <w:sz w:val="20"/>
              </w:rPr>
            </w:pPr>
            <w:r>
              <w:rPr>
                <w:sz w:val="20"/>
              </w:rPr>
              <w:t>遵循標準程序，在</w:t>
            </w:r>
            <w:r>
              <w:rPr>
                <w:b/>
                <w:spacing w:val="-5"/>
                <w:sz w:val="20"/>
              </w:rPr>
              <w:t>機器停</w:t>
            </w:r>
            <w:r>
              <w:rPr>
                <w:b/>
                <w:sz w:val="20"/>
              </w:rPr>
              <w:t>止狀態下</w:t>
            </w:r>
            <w:r>
              <w:rPr>
                <w:rFonts w:ascii="Segoe UI" w:eastAsia="Segoe UI"/>
                <w:b/>
                <w:sz w:val="20"/>
              </w:rPr>
              <w:t>**</w:t>
            </w:r>
            <w:r>
              <w:rPr>
                <w:b/>
                <w:sz w:val="20"/>
              </w:rPr>
              <w:t>，使用</w:t>
            </w:r>
            <w:r>
              <w:rPr>
                <w:sz w:val="20"/>
              </w:rPr>
              <w:t>安全的輔助工具</w:t>
            </w:r>
            <w:r>
              <w:rPr>
                <w:rFonts w:ascii="Segoe UI" w:eastAsia="Segoe UI"/>
                <w:sz w:val="20"/>
              </w:rPr>
              <w:t>**</w:t>
            </w:r>
            <w:r>
              <w:rPr>
                <w:sz w:val="20"/>
              </w:rPr>
              <w:t>將布頭固定 </w:t>
            </w:r>
            <w:r>
              <w:rPr>
                <w:spacing w:val="-2"/>
                <w:sz w:val="20"/>
              </w:rPr>
              <w:t>後，再退至安全距離外啟</w:t>
            </w:r>
          </w:p>
          <w:p>
            <w:pPr>
              <w:pStyle w:val="TableParagraph"/>
              <w:spacing w:line="334" w:lineRule="exact"/>
              <w:ind w:left="106"/>
              <w:rPr>
                <w:sz w:val="20"/>
              </w:rPr>
            </w:pPr>
            <w:r>
              <w:rPr>
                <w:sz w:val="20"/>
              </w:rPr>
              <w:t>動機器。</w:t>
            </w:r>
          </w:p>
        </w:tc>
        <w:tc>
          <w:tcPr>
            <w:tcW w:w="1820" w:type="dxa"/>
          </w:tcPr>
          <w:p>
            <w:pPr>
              <w:pStyle w:val="TableParagraph"/>
              <w:spacing w:line="225" w:lineRule="auto"/>
              <w:ind w:left="106" w:right="301"/>
              <w:rPr>
                <w:b/>
                <w:sz w:val="20"/>
              </w:rPr>
            </w:pPr>
            <w:r>
              <w:rPr>
                <w:b/>
                <w:sz w:val="20"/>
              </w:rPr>
              <w:t>作業方法由「安全、受控」變為</w:t>
            </w:r>
          </w:p>
          <w:p>
            <w:pPr>
              <w:pStyle w:val="TableParagraph"/>
              <w:spacing w:line="352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「危險、失控」。</w:t>
            </w:r>
          </w:p>
        </w:tc>
        <w:tc>
          <w:tcPr>
            <w:tcW w:w="2502" w:type="dxa"/>
          </w:tcPr>
          <w:p>
            <w:pPr>
              <w:pStyle w:val="TableParagraph"/>
              <w:spacing w:line="225" w:lineRule="auto"/>
              <w:ind w:left="105" w:right="122"/>
              <w:rPr>
                <w:sz w:val="20"/>
              </w:rPr>
            </w:pPr>
            <w:r>
              <w:rPr>
                <w:b/>
                <w:sz w:val="20"/>
              </w:rPr>
              <w:t>核心技術差異。 </w:t>
            </w:r>
            <w:r>
              <w:rPr>
                <w:sz w:val="20"/>
              </w:rPr>
              <w:t>此變更引入了致命的捲夾危害， 作業員的判斷失誤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以為機器轉動可幫忙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直接導致了</w:t>
            </w:r>
          </w:p>
          <w:p>
            <w:pPr>
              <w:pStyle w:val="TableParagraph"/>
              <w:spacing w:line="334" w:lineRule="exact"/>
              <w:ind w:left="105"/>
              <w:rPr>
                <w:sz w:val="20"/>
              </w:rPr>
            </w:pPr>
            <w:r>
              <w:rPr>
                <w:sz w:val="20"/>
              </w:rPr>
              <w:t>事故。</w:t>
            </w:r>
          </w:p>
        </w:tc>
      </w:tr>
      <w:tr>
        <w:trPr>
          <w:trHeight w:val="1384" w:hRule="atLeast"/>
        </w:trPr>
        <w:tc>
          <w:tcPr>
            <w:tcW w:w="1078" w:type="dxa"/>
          </w:tcPr>
          <w:p>
            <w:pPr>
              <w:pStyle w:val="TableParagraph"/>
              <w:spacing w:line="248" w:lineRule="exact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WHAT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工具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605" w:type="dxa"/>
          </w:tcPr>
          <w:p>
            <w:pPr>
              <w:pStyle w:val="TableParagraph"/>
              <w:spacing w:line="334" w:lineRule="exact"/>
              <w:rPr>
                <w:sz w:val="20"/>
              </w:rPr>
            </w:pPr>
            <w:r>
              <w:rPr>
                <w:sz w:val="20"/>
              </w:rPr>
              <w:t>使用</w:t>
            </w:r>
            <w:r>
              <w:rPr>
                <w:rFonts w:ascii="Segoe UI" w:eastAsia="Segoe UI"/>
                <w:sz w:val="20"/>
              </w:rPr>
              <w:t>**</w:t>
            </w:r>
            <w:r>
              <w:rPr>
                <w:sz w:val="20"/>
              </w:rPr>
              <w:t>「雙手」</w:t>
            </w:r>
          </w:p>
          <w:p>
            <w:pPr>
              <w:pStyle w:val="TableParagraph"/>
              <w:spacing w:line="225" w:lineRule="auto" w:before="5"/>
              <w:ind w:right="120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**</w:t>
            </w:r>
            <w:r>
              <w:rPr>
                <w:sz w:val="20"/>
              </w:rPr>
              <w:t>作為直接接觸機器的工具。</w:t>
            </w:r>
          </w:p>
        </w:tc>
        <w:tc>
          <w:tcPr>
            <w:tcW w:w="2487" w:type="dxa"/>
          </w:tcPr>
          <w:p>
            <w:pPr>
              <w:pStyle w:val="TableParagraph"/>
              <w:spacing w:line="225" w:lineRule="auto"/>
              <w:ind w:left="106" w:right="201"/>
              <w:jc w:val="both"/>
              <w:rPr>
                <w:sz w:val="20"/>
              </w:rPr>
            </w:pPr>
            <w:r>
              <w:rPr>
                <w:sz w:val="20"/>
              </w:rPr>
              <w:t>使用</w:t>
            </w:r>
            <w:r>
              <w:rPr>
                <w:rFonts w:ascii="Segoe UI" w:eastAsia="Segoe UI"/>
                <w:sz w:val="20"/>
              </w:rPr>
              <w:t>**</w:t>
            </w:r>
            <w:r>
              <w:rPr>
                <w:sz w:val="20"/>
              </w:rPr>
              <w:t>「長柄夾具、導布桿」</w:t>
            </w:r>
            <w:r>
              <w:rPr>
                <w:rFonts w:ascii="Segoe UI" w:eastAsia="Segoe UI"/>
                <w:sz w:val="20"/>
              </w:rPr>
              <w:t>**</w:t>
            </w:r>
            <w:r>
              <w:rPr>
                <w:sz w:val="20"/>
              </w:rPr>
              <w:t>等工程控制工具， 使手部能遠離危險區。</w:t>
            </w:r>
          </w:p>
        </w:tc>
        <w:tc>
          <w:tcPr>
            <w:tcW w:w="1820" w:type="dxa"/>
          </w:tcPr>
          <w:p>
            <w:pPr>
              <w:pStyle w:val="TableParagraph"/>
              <w:spacing w:line="225" w:lineRule="auto"/>
              <w:ind w:left="106" w:right="10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作業工具由「安全</w:t>
            </w:r>
            <w:r>
              <w:rPr>
                <w:b/>
                <w:spacing w:val="-3"/>
                <w:sz w:val="20"/>
              </w:rPr>
              <w:t>的工程工具」變為</w:t>
            </w:r>
          </w:p>
          <w:p>
            <w:pPr>
              <w:pStyle w:val="TableParagraph"/>
              <w:spacing w:line="341" w:lineRule="exact"/>
              <w:ind w:left="106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「不安全的人體部</w:t>
            </w:r>
          </w:p>
          <w:p>
            <w:pPr>
              <w:pStyle w:val="TableParagraph"/>
              <w:spacing w:line="339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位」。</w:t>
            </w:r>
          </w:p>
        </w:tc>
        <w:tc>
          <w:tcPr>
            <w:tcW w:w="2502" w:type="dxa"/>
          </w:tcPr>
          <w:p>
            <w:pPr>
              <w:pStyle w:val="TableParagraph"/>
              <w:spacing w:line="225" w:lineRule="auto"/>
              <w:ind w:left="105" w:right="183"/>
              <w:jc w:val="both"/>
              <w:rPr>
                <w:sz w:val="20"/>
              </w:rPr>
            </w:pPr>
            <w:r>
              <w:rPr>
                <w:sz w:val="20"/>
              </w:rPr>
              <w:t>未能透過工具將人員與危害點進行隔離，大幅增加了被捲入的機率。</w:t>
            </w:r>
          </w:p>
        </w:tc>
      </w:tr>
      <w:tr>
        <w:trPr>
          <w:trHeight w:val="1383" w:hRule="atLeast"/>
        </w:trPr>
        <w:tc>
          <w:tcPr>
            <w:tcW w:w="1078" w:type="dxa"/>
          </w:tcPr>
          <w:p>
            <w:pPr>
              <w:pStyle w:val="TableParagraph"/>
              <w:spacing w:line="333" w:lineRule="exact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WHO (</w:t>
            </w:r>
            <w:r>
              <w:rPr>
                <w:b/>
                <w:sz w:val="20"/>
              </w:rPr>
              <w:t>人</w:t>
            </w:r>
          </w:p>
          <w:p>
            <w:pPr>
              <w:pStyle w:val="TableParagraph"/>
              <w:spacing w:line="357" w:lineRule="exact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員</w:t>
            </w:r>
            <w:r>
              <w:rPr>
                <w:rFonts w:ascii="Segoe UI" w:eastAsia="Segoe UI"/>
                <w:b/>
                <w:sz w:val="20"/>
              </w:rPr>
              <w:t>/</w:t>
            </w:r>
            <w:r>
              <w:rPr>
                <w:b/>
                <w:sz w:val="20"/>
              </w:rPr>
              <w:t>監督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605" w:type="dxa"/>
          </w:tcPr>
          <w:p>
            <w:pPr>
              <w:pStyle w:val="TableParagraph"/>
              <w:spacing w:line="225" w:lineRule="auto"/>
              <w:ind w:right="15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**</w:t>
            </w:r>
            <w:r>
              <w:rPr>
                <w:sz w:val="20"/>
              </w:rPr>
              <w:t>「單獨」</w:t>
            </w:r>
            <w:r>
              <w:rPr>
                <w:rFonts w:ascii="Segoe UI" w:eastAsia="Segoe UI"/>
                <w:sz w:val="20"/>
              </w:rPr>
              <w:t>**</w:t>
            </w:r>
            <w:r>
              <w:rPr>
                <w:sz w:val="20"/>
              </w:rPr>
              <w:t>一人進行非例行性的高風險作</w:t>
            </w:r>
          </w:p>
          <w:p>
            <w:pPr>
              <w:pStyle w:val="TableParagraph"/>
              <w:spacing w:line="334" w:lineRule="exact"/>
              <w:rPr>
                <w:sz w:val="20"/>
              </w:rPr>
            </w:pPr>
            <w:r>
              <w:rPr>
                <w:sz w:val="20"/>
              </w:rPr>
              <w:t>業。</w:t>
            </w:r>
          </w:p>
        </w:tc>
        <w:tc>
          <w:tcPr>
            <w:tcW w:w="2487" w:type="dxa"/>
          </w:tcPr>
          <w:p>
            <w:pPr>
              <w:pStyle w:val="TableParagraph"/>
              <w:spacing w:line="225" w:lineRule="auto"/>
              <w:ind w:left="106" w:right="167" w:hanging="1"/>
              <w:jc w:val="both"/>
              <w:rPr>
                <w:sz w:val="20"/>
              </w:rPr>
            </w:pPr>
            <w:r>
              <w:rPr>
                <w:sz w:val="20"/>
              </w:rPr>
              <w:t>此類作業應有</w:t>
            </w:r>
            <w:r>
              <w:rPr>
                <w:rFonts w:ascii="Segoe UI" w:eastAsia="Segoe UI"/>
                <w:sz w:val="20"/>
              </w:rPr>
              <w:t>**</w:t>
            </w:r>
            <w:r>
              <w:rPr>
                <w:sz w:val="20"/>
              </w:rPr>
              <w:t>「兩人以上」</w:t>
            </w:r>
            <w:r>
              <w:rPr>
                <w:b/>
                <w:sz w:val="20"/>
              </w:rPr>
              <w:t>共同執行，或至少應有</w:t>
            </w:r>
            <w:r>
              <w:rPr>
                <w:sz w:val="20"/>
              </w:rPr>
              <w:t>「監護人員」</w:t>
            </w:r>
            <w:r>
              <w:rPr>
                <w:rFonts w:ascii="Segoe UI" w:eastAsia="Segoe UI"/>
                <w:sz w:val="20"/>
              </w:rPr>
              <w:t>**</w:t>
            </w:r>
            <w:r>
              <w:rPr>
                <w:sz w:val="20"/>
              </w:rPr>
              <w:t>在旁監</w:t>
            </w:r>
          </w:p>
          <w:p>
            <w:pPr>
              <w:pStyle w:val="TableParagraph"/>
              <w:spacing w:line="334" w:lineRule="exact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看。</w:t>
            </w:r>
          </w:p>
        </w:tc>
        <w:tc>
          <w:tcPr>
            <w:tcW w:w="1820" w:type="dxa"/>
          </w:tcPr>
          <w:p>
            <w:pPr>
              <w:pStyle w:val="TableParagraph"/>
              <w:spacing w:line="333" w:lineRule="exact"/>
              <w:ind w:left="106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作業人力配置由</w:t>
            </w:r>
          </w:p>
          <w:p>
            <w:pPr>
              <w:pStyle w:val="TableParagraph"/>
              <w:spacing w:line="346" w:lineRule="exact"/>
              <w:ind w:left="106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「受監護」變為</w:t>
            </w:r>
          </w:p>
          <w:p>
            <w:pPr>
              <w:pStyle w:val="TableParagraph"/>
              <w:spacing w:line="34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「完全無人監</w:t>
            </w:r>
          </w:p>
          <w:p>
            <w:pPr>
              <w:pStyle w:val="TableParagraph"/>
              <w:spacing w:line="339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護」。</w:t>
            </w:r>
          </w:p>
        </w:tc>
        <w:tc>
          <w:tcPr>
            <w:tcW w:w="2502" w:type="dxa"/>
          </w:tcPr>
          <w:p>
            <w:pPr>
              <w:pStyle w:val="TableParagraph"/>
              <w:spacing w:line="225" w:lineRule="auto"/>
              <w:ind w:left="105" w:right="183"/>
              <w:jc w:val="both"/>
              <w:rPr>
                <w:sz w:val="20"/>
              </w:rPr>
            </w:pPr>
            <w:r>
              <w:rPr>
                <w:sz w:val="20"/>
              </w:rPr>
              <w:t>移除了事故發生時能夠立即反應與求援的最重要屏障，是導致延遲發現的直</w:t>
            </w:r>
          </w:p>
          <w:p>
            <w:pPr>
              <w:pStyle w:val="TableParagraph"/>
              <w:spacing w:line="334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接原因。</w:t>
            </w:r>
          </w:p>
        </w:tc>
      </w:tr>
    </w:tbl>
    <w:p>
      <w:pPr>
        <w:pStyle w:val="BodyText"/>
        <w:spacing w:before="14"/>
        <w:rPr>
          <w:sz w:val="21"/>
        </w:rPr>
      </w:pPr>
      <w:r>
        <w:rPr/>
        <w:pict>
          <v:group style="position:absolute;margin-left:56.700001pt;margin-top:21.983084pt;width:474.9pt;height:1.55pt;mso-position-horizontal-relative:page;mso-position-vertical-relative:paragraph;z-index:-856;mso-wrap-distance-left:0;mso-wrap-distance-right:0" coordorigin="1134,440" coordsize="9498,31">
            <v:line style="position:absolute" from="1134,455" to="10632,455" stroked="true" strokeweight="1.5pt" strokecolor="#9f9f9f">
              <v:stroke dashstyle="solid"/>
            </v:line>
            <v:rect style="position:absolute;left:1134;top:440;width:5;height:5" filled="true" fillcolor="#9f9f9f" stroked="false">
              <v:fill type="solid"/>
            </v:rect>
            <v:rect style="position:absolute;left:1134;top:440;width:5;height:5" filled="true" fillcolor="#9f9f9f" stroked="false">
              <v:fill type="solid"/>
            </v:rect>
            <v:line style="position:absolute" from="1139,442" to="10627,442" stroked="true" strokeweight=".24pt" strokecolor="#9f9f9f">
              <v:stroke dashstyle="solid"/>
            </v:line>
            <v:rect style="position:absolute;left:10627;top:440;width:5;height:5" filled="true" fillcolor="#e2e2e2" stroked="false">
              <v:fill type="solid"/>
            </v:rect>
            <v:rect style="position:absolute;left:10627;top:440;width:5;height:5" filled="true" fillcolor="#9f9f9f" stroked="false">
              <v:fill type="solid"/>
            </v:rect>
            <v:rect style="position:absolute;left:1134;top:444;width:5;height:21" filled="true" fillcolor="#9f9f9f" stroked="false">
              <v:fill type="solid"/>
            </v:rect>
            <v:rect style="position:absolute;left:10627;top:444;width:5;height:21" filled="true" fillcolor="#e2e2e2" stroked="false">
              <v:fill type="solid"/>
            </v:rect>
            <v:rect style="position:absolute;left:1134;top:465;width:5;height:5" filled="true" fillcolor="#9f9f9f" stroked="false">
              <v:fill type="solid"/>
            </v:rect>
            <v:rect style="position:absolute;left:1134;top:465;width:5;height:5" filled="true" fillcolor="#e2e2e2" stroked="false">
              <v:fill type="solid"/>
            </v:rect>
            <v:line style="position:absolute" from="1139,468" to="10627,468" stroked="true" strokeweight=".24pt" strokecolor="#e2e2e2">
              <v:stroke dashstyle="solid"/>
            </v:line>
            <v:rect style="position:absolute;left:10627;top:465;width:5;height:5" filled="true" fillcolor="#e2e2e2" stroked="false">
              <v:fill type="solid"/>
            </v:rect>
            <v:rect style="position:absolute;left:10627;top:465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rPr>
          <w:rFonts w:ascii="Calibri" w:eastAsia="Calibri"/>
        </w:rPr>
      </w:pPr>
      <w:r>
        <w:rPr/>
        <w:t>六</w:t>
      </w:r>
      <w:r>
        <w:rPr>
          <w:rFonts w:ascii="Calibri" w:eastAsia="Calibri"/>
        </w:rPr>
        <w:t>. </w:t>
      </w:r>
      <w:r>
        <w:rPr/>
        <w:t>人為失誤分析  </w:t>
      </w:r>
      <w:r>
        <w:rPr>
          <w:rFonts w:ascii="Calibri" w:eastAsia="Calibri"/>
        </w:rPr>
        <w:t>(Human Failure Analysis)</w:t>
      </w:r>
    </w:p>
    <w:p>
      <w:pPr>
        <w:pStyle w:val="BodyText"/>
        <w:spacing w:line="428" w:lineRule="exact"/>
        <w:ind w:left="473"/>
      </w:pPr>
      <w:r>
        <w:rPr/>
        <w:t>本分析探討影響人員行為的深層次原因，而非僅歸咎於個人。</w:t>
      </w: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6"/>
        <w:gridCol w:w="2435"/>
        <w:gridCol w:w="5028"/>
      </w:tblGrid>
      <w:tr>
        <w:trPr>
          <w:trHeight w:val="346" w:hRule="atLeast"/>
        </w:trPr>
        <w:tc>
          <w:tcPr>
            <w:tcW w:w="2026" w:type="dxa"/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失誤類型</w:t>
            </w:r>
          </w:p>
        </w:tc>
        <w:tc>
          <w:tcPr>
            <w:tcW w:w="2435" w:type="dxa"/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主要不安全行為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失誤</w:t>
            </w:r>
          </w:p>
        </w:tc>
        <w:tc>
          <w:tcPr>
            <w:tcW w:w="5028" w:type="dxa"/>
          </w:tcPr>
          <w:p>
            <w:pPr>
              <w:pStyle w:val="TableParagraph"/>
              <w:spacing w:line="326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根本原因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組織與系統層面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037" w:hRule="atLeast"/>
        </w:trPr>
        <w:tc>
          <w:tcPr>
            <w:tcW w:w="2026" w:type="dxa"/>
          </w:tcPr>
          <w:p>
            <w:pPr>
              <w:pStyle w:val="TableParagraph"/>
              <w:spacing w:line="33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規則性</w:t>
            </w:r>
            <w:r>
              <w:rPr>
                <w:rFonts w:ascii="Segoe UI" w:eastAsia="Segoe UI"/>
                <w:b/>
                <w:sz w:val="20"/>
              </w:rPr>
              <w:t>/</w:t>
            </w:r>
            <w:r>
              <w:rPr>
                <w:b/>
                <w:sz w:val="20"/>
              </w:rPr>
              <w:t>知識性錯誤</w:t>
            </w:r>
          </w:p>
          <w:p>
            <w:pPr>
              <w:pStyle w:val="TableParagraph"/>
              <w:spacing w:line="261" w:lineRule="exact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(Mistake)</w:t>
            </w:r>
          </w:p>
        </w:tc>
        <w:tc>
          <w:tcPr>
            <w:tcW w:w="2435" w:type="dxa"/>
          </w:tcPr>
          <w:p>
            <w:pPr>
              <w:pStyle w:val="TableParagraph"/>
              <w:spacing w:line="225" w:lineRule="auto"/>
              <w:ind w:right="114"/>
              <w:rPr>
                <w:sz w:val="20"/>
              </w:rPr>
            </w:pPr>
            <w:r>
              <w:rPr>
                <w:b/>
                <w:sz w:val="20"/>
              </w:rPr>
              <w:t>罹災者吉員「想藉由轉軸的轉動將套布捲入」</w:t>
            </w:r>
            <w:r>
              <w:rPr>
                <w:sz w:val="20"/>
              </w:rPr>
              <w:t>，因</w:t>
            </w:r>
          </w:p>
        </w:tc>
        <w:tc>
          <w:tcPr>
            <w:tcW w:w="5028" w:type="dxa"/>
          </w:tcPr>
          <w:p>
            <w:pPr>
              <w:pStyle w:val="TableParagraph"/>
              <w:spacing w:line="225" w:lineRule="auto"/>
              <w:ind w:right="107" w:hanging="1"/>
              <w:rPr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1. </w:t>
            </w:r>
            <w:r>
              <w:rPr>
                <w:b/>
                <w:sz w:val="20"/>
              </w:rPr>
              <w:t>缺乏安全作業程序的系統性失敗： </w:t>
            </w:r>
            <w:r>
              <w:rPr>
                <w:sz w:val="20"/>
              </w:rPr>
              <w:t>公司從未提供或教導「起始套布」的正確、安全作法。在沒有規則可循</w:t>
            </w:r>
          </w:p>
          <w:p>
            <w:pPr>
              <w:pStyle w:val="TableParagraph"/>
              <w:spacing w:line="334" w:lineRule="exact"/>
              <w:rPr>
                <w:sz w:val="20"/>
              </w:rPr>
            </w:pPr>
            <w:r>
              <w:rPr>
                <w:sz w:val="20"/>
              </w:rPr>
              <w:t>的情況下，勞工只能依賴自己錯誤的判斷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以為機器轉</w:t>
            </w:r>
          </w:p>
        </w:tc>
      </w:tr>
    </w:tbl>
    <w:p>
      <w:pPr>
        <w:spacing w:after="0" w:line="334" w:lineRule="exact"/>
        <w:rPr>
          <w:sz w:val="20"/>
        </w:rPr>
        <w:sectPr>
          <w:pgSz w:w="11910" w:h="16840"/>
          <w:pgMar w:top="1420" w:bottom="280" w:left="1020" w:right="1160"/>
        </w:sect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6"/>
        <w:gridCol w:w="2435"/>
        <w:gridCol w:w="5028"/>
      </w:tblGrid>
      <w:tr>
        <w:trPr>
          <w:trHeight w:val="1383" w:hRule="atLeast"/>
        </w:trPr>
        <w:tc>
          <w:tcPr>
            <w:tcW w:w="202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spacing w:line="225" w:lineRule="auto" w:before="4"/>
              <w:ind w:right="114"/>
              <w:rPr>
                <w:sz w:val="20"/>
              </w:rPr>
            </w:pPr>
            <w:r>
              <w:rPr>
                <w:sz w:val="20"/>
              </w:rPr>
              <w:t>而以手拉套布進入運轉中的轉軸。</w:t>
            </w:r>
          </w:p>
        </w:tc>
        <w:tc>
          <w:tcPr>
            <w:tcW w:w="5028" w:type="dxa"/>
          </w:tcPr>
          <w:p>
            <w:pPr>
              <w:pStyle w:val="TableParagraph"/>
              <w:spacing w:line="345" w:lineRule="exact"/>
              <w:rPr>
                <w:sz w:val="20"/>
              </w:rPr>
            </w:pPr>
            <w:r>
              <w:rPr>
                <w:sz w:val="20"/>
              </w:rPr>
              <w:t>動是助力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，形成一個致命的「知識性錯誤」。</w:t>
            </w:r>
          </w:p>
          <w:p>
            <w:pPr>
              <w:pStyle w:val="TableParagraph"/>
              <w:spacing w:line="225" w:lineRule="auto" w:before="5"/>
              <w:ind w:right="107" w:hanging="1"/>
              <w:rPr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2. </w:t>
            </w:r>
            <w:r>
              <w:rPr>
                <w:b/>
                <w:sz w:val="20"/>
              </w:rPr>
              <w:t>危害溝通與訓練不足： </w:t>
            </w:r>
            <w:r>
              <w:rPr>
                <w:sz w:val="20"/>
              </w:rPr>
              <w:t>勞工顯然不了解或嚴重低估了「以手靠近慢速轉軸」的致命風險。這反映出公司的</w:t>
            </w:r>
          </w:p>
          <w:p>
            <w:pPr>
              <w:pStyle w:val="TableParagraph"/>
              <w:spacing w:line="321" w:lineRule="exact"/>
              <w:rPr>
                <w:sz w:val="20"/>
              </w:rPr>
            </w:pPr>
            <w:r>
              <w:rPr>
                <w:sz w:val="20"/>
              </w:rPr>
              <w:t>安全衛生教育訓練未能有效傳達關鍵危害資訊。</w:t>
            </w:r>
          </w:p>
        </w:tc>
      </w:tr>
      <w:tr>
        <w:trPr>
          <w:trHeight w:val="2768" w:hRule="atLeast"/>
        </w:trPr>
        <w:tc>
          <w:tcPr>
            <w:tcW w:w="2026" w:type="dxa"/>
          </w:tcPr>
          <w:p>
            <w:pPr>
              <w:pStyle w:val="TableParagraph"/>
              <w:spacing w:line="235" w:lineRule="auto"/>
              <w:ind w:right="145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知識性錯誤</w:t>
            </w:r>
            <w:r>
              <w:rPr>
                <w:rFonts w:ascii="Segoe UI" w:eastAsia="Segoe UI"/>
                <w:b/>
                <w:sz w:val="20"/>
              </w:rPr>
              <w:t>(Knowledge-based Mistake)</w:t>
            </w:r>
          </w:p>
        </w:tc>
        <w:tc>
          <w:tcPr>
            <w:tcW w:w="2435" w:type="dxa"/>
          </w:tcPr>
          <w:p>
            <w:pPr>
              <w:pStyle w:val="TableParagraph"/>
              <w:spacing w:line="225" w:lineRule="auto" w:before="5"/>
              <w:ind w:right="226" w:hanging="1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雇主</w:t>
            </w:r>
            <w:r>
              <w:rPr>
                <w:rFonts w:ascii="Segoe UI" w:eastAsia="Segoe UI"/>
                <w:b/>
                <w:sz w:val="20"/>
              </w:rPr>
              <w:t>/</w:t>
            </w:r>
            <w:r>
              <w:rPr>
                <w:b/>
                <w:sz w:val="20"/>
              </w:rPr>
              <w:t>現場負責人未能提供安全的作業方法與環境。</w:t>
            </w:r>
          </w:p>
        </w:tc>
        <w:tc>
          <w:tcPr>
            <w:tcW w:w="5028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76" w:val="left" w:leader="none"/>
              </w:tabs>
              <w:spacing w:line="225" w:lineRule="auto" w:before="5" w:after="0"/>
              <w:ind w:left="107" w:right="107" w:firstLine="0"/>
              <w:jc w:val="left"/>
              <w:rPr>
                <w:sz w:val="20"/>
              </w:rPr>
            </w:pPr>
            <w:r>
              <w:rPr>
                <w:b/>
                <w:spacing w:val="3"/>
                <w:sz w:val="20"/>
              </w:rPr>
              <w:t>風險評估的完全闕如：  </w:t>
            </w:r>
            <w:r>
              <w:rPr>
                <w:spacing w:val="-1"/>
                <w:sz w:val="20"/>
              </w:rPr>
              <w:t>管理階層從未對「套布作業」進行危害辨識與風險評估，因此也從未思考過需要</w:t>
            </w:r>
          </w:p>
          <w:p>
            <w:pPr>
              <w:pStyle w:val="TableParagraph"/>
              <w:spacing w:line="225" w:lineRule="auto"/>
              <w:ind w:right="138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SOP</w:t>
            </w:r>
            <w:r>
              <w:rPr>
                <w:sz w:val="20"/>
              </w:rPr>
              <w:t>、需要輔助工具、或需要禁止在運轉中操作。這是一個源頭管理的徹底失敗。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76" w:val="left" w:leader="none"/>
              </w:tabs>
              <w:spacing w:line="225" w:lineRule="auto" w:before="1" w:after="0"/>
              <w:ind w:left="107" w:right="107" w:firstLine="0"/>
              <w:jc w:val="left"/>
              <w:rPr>
                <w:sz w:val="20"/>
              </w:rPr>
            </w:pPr>
            <w:r>
              <w:rPr>
                <w:b/>
                <w:spacing w:val="2"/>
                <w:sz w:val="20"/>
              </w:rPr>
              <w:t>安全管理責任與能力不足：  </w:t>
            </w:r>
            <w:r>
              <w:rPr>
                <w:spacing w:val="-1"/>
                <w:sz w:val="20"/>
              </w:rPr>
              <w:t>負責人未能履行其規劃、指揮、監督安全作業的法定職責，顯示其本身安全知識不足，也未能建立一個基本的安全管理制度來保護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勞工。</w:t>
            </w:r>
          </w:p>
        </w:tc>
      </w:tr>
    </w:tbl>
    <w:p>
      <w:pPr>
        <w:pStyle w:val="BodyText"/>
        <w:spacing w:before="8"/>
        <w:rPr>
          <w:sz w:val="22"/>
        </w:rPr>
      </w:pPr>
      <w:r>
        <w:rPr/>
        <w:pict>
          <v:group style="position:absolute;margin-left:56.700001pt;margin-top:22.610001pt;width:474.9pt;height:1.55pt;mso-position-horizontal-relative:page;mso-position-vertical-relative:paragraph;z-index:-832;mso-wrap-distance-left:0;mso-wrap-distance-right:0" coordorigin="1134,452" coordsize="9498,31">
            <v:line style="position:absolute" from="1134,467" to="10632,467" stroked="true" strokeweight="1.5pt" strokecolor="#9f9f9f">
              <v:stroke dashstyle="solid"/>
            </v:line>
            <v:rect style="position:absolute;left:1134;top:452;width:5;height:5" filled="true" fillcolor="#9f9f9f" stroked="false">
              <v:fill type="solid"/>
            </v:rect>
            <v:rect style="position:absolute;left:1134;top:452;width:5;height:5" filled="true" fillcolor="#9f9f9f" stroked="false">
              <v:fill type="solid"/>
            </v:rect>
            <v:line style="position:absolute" from="1139,455" to="10627,455" stroked="true" strokeweight=".24pt" strokecolor="#9f9f9f">
              <v:stroke dashstyle="solid"/>
            </v:line>
            <v:rect style="position:absolute;left:10627;top:452;width:5;height:5" filled="true" fillcolor="#e2e2e2" stroked="false">
              <v:fill type="solid"/>
            </v:rect>
            <v:rect style="position:absolute;left:10627;top:452;width:5;height:5" filled="true" fillcolor="#9f9f9f" stroked="false">
              <v:fill type="solid"/>
            </v:rect>
            <v:rect style="position:absolute;left:1134;top:457;width:5;height:21" filled="true" fillcolor="#9f9f9f" stroked="false">
              <v:fill type="solid"/>
            </v:rect>
            <v:rect style="position:absolute;left:10627;top:457;width:5;height:21" filled="true" fillcolor="#e2e2e2" stroked="false">
              <v:fill type="solid"/>
            </v:rect>
            <v:rect style="position:absolute;left:1134;top:477;width:5;height:5" filled="true" fillcolor="#9f9f9f" stroked="false">
              <v:fill type="solid"/>
            </v:rect>
            <v:rect style="position:absolute;left:1134;top:477;width:5;height:5" filled="true" fillcolor="#e2e2e2" stroked="false">
              <v:fill type="solid"/>
            </v:rect>
            <v:line style="position:absolute" from="1139,480" to="10627,480" stroked="true" strokeweight=".24pt" strokecolor="#e2e2e2">
              <v:stroke dashstyle="solid"/>
            </v:line>
            <v:rect style="position:absolute;left:10627;top:477;width:5;height:5" filled="true" fillcolor="#e2e2e2" stroked="false">
              <v:fill type="solid"/>
            </v:rect>
            <v:rect style="position:absolute;left:10627;top:477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</w:pPr>
      <w:r>
        <w:rPr/>
        <w:t>七</w:t>
      </w:r>
      <w:r>
        <w:rPr>
          <w:rFonts w:ascii="Calibri" w:eastAsia="Calibri"/>
        </w:rPr>
        <w:t>. </w:t>
      </w:r>
      <w:r>
        <w:rPr/>
        <w:t>根本原因分析與矯正改善措施</w:t>
      </w:r>
    </w:p>
    <w:p>
      <w:pPr>
        <w:pStyle w:val="BodyText"/>
        <w:spacing w:line="225" w:lineRule="auto" w:before="6"/>
        <w:ind w:left="474" w:right="130"/>
      </w:pPr>
      <w:r>
        <w:rPr/>
        <w:t>本章節匯總前述六項分析的結果，旨在明確事故的直接原因與根本原因，並依據控制階層理論，提出能有效防止災害再次發生的系統性改善建議。</w:t>
      </w:r>
    </w:p>
    <w:p>
      <w:pPr>
        <w:pStyle w:val="Heading1"/>
        <w:spacing w:line="410" w:lineRule="exact" w:before="0"/>
      </w:pPr>
      <w:r>
        <w:rPr>
          <w:rFonts w:ascii="Calibri" w:eastAsia="Calibri"/>
        </w:rPr>
        <w:t>(</w:t>
      </w:r>
      <w:r>
        <w:rPr/>
        <w:t>一</w:t>
      </w:r>
      <w:r>
        <w:rPr>
          <w:rFonts w:ascii="Calibri" w:eastAsia="Calibri"/>
        </w:rPr>
        <w:t>) </w:t>
      </w:r>
      <w:r>
        <w:rPr/>
        <w:t>立即原因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415" w:lineRule="exact" w:before="0" w:after="0"/>
        <w:ind w:left="834" w:right="0" w:hanging="360"/>
        <w:jc w:val="left"/>
        <w:rPr>
          <w:rFonts w:ascii="Calibri" w:hAnsi="Calibri" w:eastAsia="Calibri"/>
          <w:b/>
          <w:sz w:val="24"/>
        </w:rPr>
      </w:pPr>
      <w:r>
        <w:rPr>
          <w:b/>
          <w:spacing w:val="8"/>
          <w:sz w:val="24"/>
        </w:rPr>
        <w:t>不安全的狀況 </w:t>
      </w:r>
      <w:r>
        <w:rPr>
          <w:rFonts w:ascii="Calibri" w:hAnsi="Calibri" w:eastAsia="Calibri"/>
          <w:b/>
          <w:sz w:val="24"/>
        </w:rPr>
        <w:t>(Unsafe Conditions):</w:t>
      </w:r>
    </w:p>
    <w:p>
      <w:pPr>
        <w:pStyle w:val="ListParagraph"/>
        <w:numPr>
          <w:ilvl w:val="1"/>
          <w:numId w:val="1"/>
        </w:numPr>
        <w:tabs>
          <w:tab w:pos="1554" w:val="left" w:leader="none"/>
        </w:tabs>
        <w:spacing w:line="415" w:lineRule="exact" w:before="0" w:after="0"/>
        <w:ind w:left="1554" w:right="0" w:hanging="360"/>
        <w:jc w:val="left"/>
        <w:rPr>
          <w:sz w:val="24"/>
        </w:rPr>
      </w:pPr>
      <w:r>
        <w:rPr>
          <w:sz w:val="24"/>
        </w:rPr>
        <w:t>套布機的收捲端轉軸於作業時處於運轉狀態。</w:t>
      </w:r>
    </w:p>
    <w:p>
      <w:pPr>
        <w:pStyle w:val="ListParagraph"/>
        <w:numPr>
          <w:ilvl w:val="1"/>
          <w:numId w:val="1"/>
        </w:numPr>
        <w:tabs>
          <w:tab w:pos="1554" w:val="left" w:leader="none"/>
        </w:tabs>
        <w:spacing w:line="415" w:lineRule="exact" w:before="0" w:after="0"/>
        <w:ind w:left="1554" w:right="0" w:hanging="360"/>
        <w:jc w:val="left"/>
        <w:rPr>
          <w:rFonts w:ascii="Calibri" w:eastAsia="Calibri"/>
          <w:sz w:val="24"/>
        </w:rPr>
      </w:pPr>
      <w:r>
        <w:rPr>
          <w:sz w:val="24"/>
        </w:rPr>
        <w:t>轉動的轉軸與套布之間形成捲夾點，且未設置護罩。</w:t>
      </w:r>
      <w:r>
        <w:rPr>
          <w:rFonts w:ascii="Calibri" w:eastAsia="Calibri"/>
          <w:sz w:val="24"/>
        </w:rPr>
        <w:t>(</w:t>
      </w:r>
      <w:r>
        <w:rPr>
          <w:sz w:val="24"/>
        </w:rPr>
        <w:t>推斷</w:t>
      </w:r>
      <w:r>
        <w:rPr>
          <w:rFonts w:ascii="Calibri" w:eastAsia="Calibri"/>
          <w:sz w:val="24"/>
        </w:rPr>
        <w:t>)</w:t>
      </w:r>
    </w:p>
    <w:p>
      <w:pPr>
        <w:pStyle w:val="ListParagraph"/>
        <w:numPr>
          <w:ilvl w:val="1"/>
          <w:numId w:val="1"/>
        </w:numPr>
        <w:tabs>
          <w:tab w:pos="1554" w:val="left" w:leader="none"/>
        </w:tabs>
        <w:spacing w:line="415" w:lineRule="exact" w:before="0" w:after="0"/>
        <w:ind w:left="1554" w:right="0" w:hanging="360"/>
        <w:jc w:val="left"/>
        <w:rPr>
          <w:sz w:val="24"/>
        </w:rPr>
      </w:pPr>
      <w:r>
        <w:rPr>
          <w:sz w:val="24"/>
        </w:rPr>
        <w:t>缺乏安全的輔助工具來取代人手進行套布。</w:t>
      </w:r>
    </w:p>
    <w:p>
      <w:pPr>
        <w:pStyle w:val="Heading1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415" w:lineRule="exact" w:before="0" w:after="0"/>
        <w:ind w:left="834" w:right="0" w:hanging="360"/>
        <w:jc w:val="left"/>
        <w:rPr>
          <w:rFonts w:ascii="Calibri" w:hAnsi="Calibri" w:eastAsia="Calibri"/>
        </w:rPr>
      </w:pPr>
      <w:r>
        <w:rPr>
          <w:spacing w:val="8"/>
        </w:rPr>
        <w:t>不安全的行為 </w:t>
      </w:r>
      <w:r>
        <w:rPr>
          <w:rFonts w:ascii="Calibri" w:hAnsi="Calibri" w:eastAsia="Calibri"/>
        </w:rPr>
        <w:t>(Unsafe Acts):</w:t>
      </w:r>
    </w:p>
    <w:p>
      <w:pPr>
        <w:pStyle w:val="ListParagraph"/>
        <w:numPr>
          <w:ilvl w:val="0"/>
          <w:numId w:val="6"/>
        </w:numPr>
        <w:tabs>
          <w:tab w:pos="1554" w:val="left" w:leader="none"/>
        </w:tabs>
        <w:spacing w:line="415" w:lineRule="exact" w:before="0" w:after="0"/>
        <w:ind w:left="1554" w:right="0" w:hanging="360"/>
        <w:jc w:val="left"/>
        <w:rPr>
          <w:sz w:val="24"/>
        </w:rPr>
      </w:pPr>
      <w:r>
        <w:rPr>
          <w:sz w:val="24"/>
        </w:rPr>
        <w:t>作業員在機器運轉中，以手部直接拉扯套布靠近捲入點。</w:t>
      </w:r>
    </w:p>
    <w:p>
      <w:pPr>
        <w:pStyle w:val="ListParagraph"/>
        <w:numPr>
          <w:ilvl w:val="0"/>
          <w:numId w:val="6"/>
        </w:numPr>
        <w:tabs>
          <w:tab w:pos="1554" w:val="left" w:leader="none"/>
        </w:tabs>
        <w:spacing w:line="415" w:lineRule="exact" w:before="0" w:after="0"/>
        <w:ind w:left="1554" w:right="0" w:hanging="360"/>
        <w:jc w:val="left"/>
        <w:rPr>
          <w:sz w:val="24"/>
        </w:rPr>
      </w:pPr>
      <w:r>
        <w:rPr>
          <w:sz w:val="24"/>
        </w:rPr>
        <w:t>單獨一人從事非例行性的高風險作業。</w:t>
      </w:r>
    </w:p>
    <w:p>
      <w:pPr>
        <w:pStyle w:val="Heading1"/>
        <w:spacing w:line="415" w:lineRule="exact" w:before="0"/>
        <w:ind w:left="113"/>
      </w:pPr>
      <w:r>
        <w:rPr>
          <w:rFonts w:ascii="Calibri" w:eastAsia="Calibri"/>
        </w:rPr>
        <w:t>(</w:t>
      </w:r>
      <w:r>
        <w:rPr/>
        <w:t>二</w:t>
      </w:r>
      <w:r>
        <w:rPr>
          <w:rFonts w:ascii="Calibri" w:eastAsia="Calibri"/>
        </w:rPr>
        <w:t>) </w:t>
      </w:r>
      <w:r>
        <w:rPr/>
        <w:t>根本原因</w:t>
      </w:r>
    </w:p>
    <w:p>
      <w:pPr>
        <w:pStyle w:val="ListParagraph"/>
        <w:numPr>
          <w:ilvl w:val="0"/>
          <w:numId w:val="7"/>
        </w:numPr>
        <w:tabs>
          <w:tab w:pos="834" w:val="left" w:leader="none"/>
        </w:tabs>
        <w:spacing w:line="225" w:lineRule="auto" w:before="6" w:after="0"/>
        <w:ind w:left="834" w:right="250" w:hanging="360"/>
        <w:jc w:val="both"/>
        <w:rPr>
          <w:sz w:val="24"/>
        </w:rPr>
      </w:pPr>
      <w:r>
        <w:rPr>
          <w:b/>
          <w:sz w:val="24"/>
        </w:rPr>
        <w:t>未建立「起始套布」此項作業的安全作業程序</w:t>
      </w:r>
      <w:r>
        <w:rPr>
          <w:rFonts w:ascii="Calibri" w:eastAsia="Calibri"/>
          <w:b/>
          <w:sz w:val="24"/>
        </w:rPr>
        <w:t>(SOP)</w:t>
      </w:r>
      <w:r>
        <w:rPr>
          <w:b/>
          <w:spacing w:val="28"/>
          <w:sz w:val="24"/>
        </w:rPr>
        <w:t>： </w:t>
      </w:r>
      <w:r>
        <w:rPr>
          <w:sz w:val="24"/>
        </w:rPr>
        <w:t>這是本次事故最核心的根本</w:t>
      </w:r>
      <w:r>
        <w:rPr>
          <w:spacing w:val="-1"/>
          <w:sz w:val="24"/>
        </w:rPr>
        <w:t>原因。公司完全沒有針對此項特殊、高風險的作業，提供任何標準化、安全的作業</w:t>
      </w:r>
      <w:r>
        <w:rPr>
          <w:sz w:val="24"/>
        </w:rPr>
        <w:t>方法與規範，導致勞工只能憑藉錯誤的判斷自行操作。</w:t>
      </w:r>
    </w:p>
    <w:p>
      <w:pPr>
        <w:pStyle w:val="ListParagraph"/>
        <w:numPr>
          <w:ilvl w:val="0"/>
          <w:numId w:val="7"/>
        </w:numPr>
        <w:tabs>
          <w:tab w:pos="834" w:val="left" w:leader="none"/>
        </w:tabs>
        <w:spacing w:line="225" w:lineRule="auto" w:before="2" w:after="0"/>
        <w:ind w:left="834" w:right="130" w:hanging="360"/>
        <w:jc w:val="left"/>
        <w:rPr>
          <w:sz w:val="24"/>
        </w:rPr>
      </w:pPr>
      <w:r>
        <w:rPr>
          <w:b/>
          <w:sz w:val="24"/>
        </w:rPr>
        <w:t>未提供安全的工程控制措施以取代人手作業： </w:t>
      </w:r>
      <w:r>
        <w:rPr>
          <w:spacing w:val="-1"/>
          <w:sz w:val="24"/>
        </w:rPr>
        <w:t>公司未能從源頭思考如何消除危害， </w:t>
      </w:r>
      <w:r>
        <w:rPr>
          <w:sz w:val="24"/>
        </w:rPr>
        <w:t>未提供如長柄夾具、導布桿等簡單有效的輔助工具，迫使勞工必須用最危險的方式</w:t>
      </w:r>
    </w:p>
    <w:p>
      <w:pPr>
        <w:pStyle w:val="BodyText"/>
        <w:spacing w:line="409" w:lineRule="exact"/>
        <w:ind w:left="833"/>
      </w:pPr>
      <w:r>
        <w:rPr>
          <w:rFonts w:ascii="Calibri" w:eastAsia="Calibri"/>
        </w:rPr>
        <w:t>(</w:t>
      </w:r>
      <w:r>
        <w:rPr/>
        <w:t>徒手</w:t>
      </w:r>
      <w:r>
        <w:rPr>
          <w:rFonts w:ascii="Calibri" w:eastAsia="Calibri"/>
        </w:rPr>
        <w:t>)</w:t>
      </w:r>
      <w:r>
        <w:rPr/>
        <w:t>完成工作。</w:t>
      </w:r>
    </w:p>
    <w:p>
      <w:pPr>
        <w:pStyle w:val="ListParagraph"/>
        <w:numPr>
          <w:ilvl w:val="0"/>
          <w:numId w:val="7"/>
        </w:numPr>
        <w:tabs>
          <w:tab w:pos="834" w:val="left" w:leader="none"/>
        </w:tabs>
        <w:spacing w:line="225" w:lineRule="auto" w:before="6" w:after="0"/>
        <w:ind w:left="834" w:right="130" w:hanging="360"/>
        <w:jc w:val="left"/>
        <w:rPr>
          <w:sz w:val="24"/>
        </w:rPr>
      </w:pPr>
      <w:r>
        <w:rPr>
          <w:b/>
          <w:sz w:val="24"/>
        </w:rPr>
        <w:t>危害辨識與風險評估的失敗： </w:t>
      </w:r>
      <w:r>
        <w:rPr>
          <w:spacing w:val="-1"/>
          <w:sz w:val="24"/>
        </w:rPr>
        <w:t>管理階層從未對「套布作業」進行過系統性的風險評</w:t>
      </w:r>
      <w:r>
        <w:rPr>
          <w:sz w:val="24"/>
        </w:rPr>
        <w:t>估，因此未能辨識出「運轉中徒手套布」的致命風險，自然也不可能制定任何預防措施。</w:t>
      </w:r>
    </w:p>
    <w:p>
      <w:pPr>
        <w:spacing w:after="0" w:line="225" w:lineRule="auto"/>
        <w:jc w:val="left"/>
        <w:rPr>
          <w:sz w:val="24"/>
        </w:rPr>
        <w:sectPr>
          <w:pgSz w:w="11910" w:h="16840"/>
          <w:pgMar w:top="1420" w:bottom="280" w:left="1020" w:right="1160"/>
        </w:sectPr>
      </w:pPr>
    </w:p>
    <w:p>
      <w:pPr>
        <w:pStyle w:val="ListParagraph"/>
        <w:numPr>
          <w:ilvl w:val="0"/>
          <w:numId w:val="7"/>
        </w:numPr>
        <w:tabs>
          <w:tab w:pos="834" w:val="left" w:leader="none"/>
        </w:tabs>
        <w:spacing w:line="225" w:lineRule="auto" w:before="47" w:after="0"/>
        <w:ind w:left="834" w:right="130" w:hanging="360"/>
        <w:jc w:val="left"/>
        <w:rPr>
          <w:sz w:val="24"/>
        </w:rPr>
      </w:pPr>
      <w:r>
        <w:rPr>
          <w:b/>
          <w:sz w:val="24"/>
        </w:rPr>
        <w:t>單獨作業的風險管控完全闕如： </w:t>
      </w:r>
      <w:r>
        <w:rPr>
          <w:spacing w:val="-1"/>
          <w:sz w:val="24"/>
        </w:rPr>
        <w:t>公司未辨識出「單獨從事非例行性作業」為一項高</w:t>
      </w:r>
      <w:r>
        <w:rPr>
          <w:sz w:val="24"/>
        </w:rPr>
        <w:t>風險活動，因此也從未建立相關的管制程序，例如禁止單獨作業或派工需有監護</w:t>
      </w:r>
    </w:p>
    <w:p>
      <w:pPr>
        <w:pStyle w:val="BodyText"/>
        <w:spacing w:line="410" w:lineRule="exact"/>
        <w:ind w:left="833"/>
      </w:pPr>
      <w:r>
        <w:rPr/>
        <w:t>人，是導致憾事無法被及時發現的關鍵。</w:t>
      </w:r>
    </w:p>
    <w:p>
      <w:pPr>
        <w:pStyle w:val="Heading1"/>
        <w:spacing w:line="415" w:lineRule="exact" w:before="0"/>
        <w:ind w:left="113"/>
      </w:pPr>
      <w:r>
        <w:rPr>
          <w:rFonts w:ascii="Calibri" w:eastAsia="Calibri"/>
        </w:rPr>
        <w:t>(</w:t>
      </w:r>
      <w:r>
        <w:rPr/>
        <w:t>三</w:t>
      </w:r>
      <w:r>
        <w:rPr>
          <w:rFonts w:ascii="Calibri" w:eastAsia="Calibri"/>
        </w:rPr>
        <w:t>) </w:t>
      </w:r>
      <w:r>
        <w:rPr/>
        <w:t>矯正改善措施建議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25" w:lineRule="auto" w:before="6" w:after="0"/>
        <w:ind w:left="834" w:right="224" w:hanging="360"/>
        <w:jc w:val="left"/>
        <w:rPr>
          <w:sz w:val="24"/>
        </w:rPr>
      </w:pPr>
      <w:r>
        <w:rPr>
          <w:sz w:val="24"/>
        </w:rPr>
        <w:t>依據風險控制階層 </w:t>
      </w:r>
      <w:r>
        <w:rPr>
          <w:rFonts w:ascii="Calibri" w:hAnsi="Calibri" w:eastAsia="Calibri"/>
          <w:sz w:val="24"/>
        </w:rPr>
        <w:t>(</w:t>
      </w:r>
      <w:r>
        <w:rPr>
          <w:sz w:val="24"/>
        </w:rPr>
        <w:t>消除 </w:t>
      </w:r>
      <w:r>
        <w:rPr>
          <w:rFonts w:ascii="Calibri" w:hAnsi="Calibri" w:eastAsia="Calibri"/>
          <w:spacing w:val="5"/>
          <w:sz w:val="24"/>
        </w:rPr>
        <w:t>&gt; </w:t>
      </w:r>
      <w:r>
        <w:rPr>
          <w:sz w:val="24"/>
        </w:rPr>
        <w:t>取代  </w:t>
      </w:r>
      <w:r>
        <w:rPr>
          <w:rFonts w:ascii="Calibri" w:hAnsi="Calibri" w:eastAsia="Calibri"/>
          <w:spacing w:val="3"/>
          <w:sz w:val="24"/>
        </w:rPr>
        <w:t>&gt;  </w:t>
      </w:r>
      <w:r>
        <w:rPr>
          <w:sz w:val="24"/>
        </w:rPr>
        <w:t>工程控制  </w:t>
      </w:r>
      <w:r>
        <w:rPr>
          <w:rFonts w:ascii="Calibri" w:hAnsi="Calibri" w:eastAsia="Calibri"/>
          <w:spacing w:val="3"/>
          <w:sz w:val="24"/>
        </w:rPr>
        <w:t>&gt;  </w:t>
      </w:r>
      <w:r>
        <w:rPr>
          <w:sz w:val="24"/>
        </w:rPr>
        <w:t>管理控制  </w:t>
      </w:r>
      <w:r>
        <w:rPr>
          <w:rFonts w:ascii="Calibri" w:hAnsi="Calibri" w:eastAsia="Calibri"/>
          <w:spacing w:val="3"/>
          <w:sz w:val="24"/>
        </w:rPr>
        <w:t>&gt;  </w:t>
      </w:r>
      <w:r>
        <w:rPr>
          <w:sz w:val="24"/>
        </w:rPr>
        <w:t>個人防護具</w:t>
      </w:r>
      <w:r>
        <w:rPr>
          <w:rFonts w:ascii="Calibri" w:hAnsi="Calibri" w:eastAsia="Calibri"/>
          <w:sz w:val="24"/>
        </w:rPr>
        <w:t>)</w:t>
      </w:r>
      <w:r>
        <w:rPr>
          <w:spacing w:val="-4"/>
          <w:sz w:val="24"/>
        </w:rPr>
        <w:t>，提出以</w:t>
      </w:r>
      <w:r>
        <w:rPr>
          <w:sz w:val="24"/>
        </w:rPr>
        <w:t>下矯正措施：</w:t>
      </w:r>
    </w:p>
    <w:p>
      <w:pPr>
        <w:pStyle w:val="Heading1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410" w:lineRule="exact" w:before="0" w:after="0"/>
        <w:ind w:left="834" w:right="0" w:hanging="360"/>
        <w:jc w:val="left"/>
      </w:pPr>
      <w:r>
        <w:rPr/>
        <w:t>工程控制</w:t>
      </w:r>
      <w:r>
        <w:rPr>
          <w:rFonts w:ascii="Calibri" w:hAnsi="Calibri" w:eastAsia="Calibri"/>
        </w:rPr>
        <w:t>/</w:t>
      </w:r>
      <w:r>
        <w:rPr>
          <w:spacing w:val="11"/>
        </w:rPr>
        <w:t>消除層面 </w:t>
      </w:r>
      <w:r>
        <w:rPr>
          <w:rFonts w:ascii="Calibri" w:hAnsi="Calibri" w:eastAsia="Calibri"/>
        </w:rPr>
        <w:t>(</w:t>
      </w:r>
      <w:r>
        <w:rPr/>
        <w:t>最優先</w:t>
      </w:r>
      <w:r>
        <w:rPr>
          <w:rFonts w:ascii="Calibri" w:hAnsi="Calibri" w:eastAsia="Calibri"/>
        </w:rPr>
        <w:t>)</w:t>
      </w:r>
      <w:r>
        <w:rPr/>
        <w:t>：</w:t>
      </w:r>
    </w:p>
    <w:p>
      <w:pPr>
        <w:pStyle w:val="ListParagraph"/>
        <w:numPr>
          <w:ilvl w:val="1"/>
          <w:numId w:val="7"/>
        </w:numPr>
        <w:tabs>
          <w:tab w:pos="1554" w:val="left" w:leader="none"/>
        </w:tabs>
        <w:spacing w:line="225" w:lineRule="auto" w:before="6" w:after="0"/>
        <w:ind w:left="1554" w:right="130" w:hanging="360"/>
        <w:jc w:val="left"/>
        <w:rPr>
          <w:sz w:val="24"/>
        </w:rPr>
      </w:pPr>
      <w:r>
        <w:rPr>
          <w:b/>
          <w:spacing w:val="4"/>
          <w:sz w:val="24"/>
        </w:rPr>
        <w:t>提供安全的套布輔助工具 </w:t>
      </w:r>
      <w:r>
        <w:rPr>
          <w:rFonts w:ascii="Calibri" w:eastAsia="Calibri"/>
          <w:b/>
          <w:sz w:val="24"/>
        </w:rPr>
        <w:t>(</w:t>
      </w:r>
      <w:r>
        <w:rPr>
          <w:b/>
          <w:sz w:val="24"/>
        </w:rPr>
        <w:t>消除徒手作業</w:t>
      </w:r>
      <w:r>
        <w:rPr>
          <w:rFonts w:ascii="Calibri" w:eastAsia="Calibri"/>
          <w:b/>
          <w:sz w:val="24"/>
        </w:rPr>
        <w:t>)</w:t>
      </w:r>
      <w:r>
        <w:rPr>
          <w:b/>
          <w:sz w:val="24"/>
        </w:rPr>
        <w:t>： 此為必須立即執行的最優先事項。 </w:t>
      </w:r>
      <w:r>
        <w:rPr>
          <w:spacing w:val="-1"/>
          <w:sz w:val="24"/>
        </w:rPr>
        <w:t>應立即設計或採購長柄式夾具、導布桿或類似工具，讓作業員在固定布</w:t>
      </w:r>
      <w:r>
        <w:rPr>
          <w:sz w:val="24"/>
        </w:rPr>
        <w:t>頭時，雙手能與捲入點保持絕對的安全距離。</w:t>
      </w:r>
    </w:p>
    <w:p>
      <w:pPr>
        <w:pStyle w:val="ListParagraph"/>
        <w:numPr>
          <w:ilvl w:val="1"/>
          <w:numId w:val="7"/>
        </w:numPr>
        <w:tabs>
          <w:tab w:pos="1554" w:val="left" w:leader="none"/>
        </w:tabs>
        <w:spacing w:line="225" w:lineRule="auto" w:before="1" w:after="0"/>
        <w:ind w:left="1554" w:right="130" w:hanging="360"/>
        <w:jc w:val="left"/>
        <w:rPr>
          <w:sz w:val="24"/>
        </w:rPr>
      </w:pPr>
      <w:r>
        <w:rPr>
          <w:b/>
          <w:sz w:val="24"/>
        </w:rPr>
        <w:t>評估增設連鎖裝置或護罩： </w:t>
      </w:r>
      <w:r>
        <w:rPr>
          <w:spacing w:val="-1"/>
          <w:sz w:val="24"/>
        </w:rPr>
        <w:t>評估在收捲軸處加裝護蓋，或增設「雙手啟動裝</w:t>
      </w:r>
      <w:r>
        <w:rPr>
          <w:sz w:val="24"/>
        </w:rPr>
        <w:t>置」，要求在機器啟動時，作業員雙手必須在安全區內，從根本上防止手部靠近。</w:t>
      </w:r>
    </w:p>
    <w:p>
      <w:pPr>
        <w:pStyle w:val="Heading1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410" w:lineRule="exact" w:before="0" w:after="0"/>
        <w:ind w:left="834" w:right="0" w:hanging="360"/>
        <w:jc w:val="left"/>
      </w:pPr>
      <w:r>
        <w:rPr/>
        <w:t>管理控制層面：</w:t>
      </w:r>
    </w:p>
    <w:p>
      <w:pPr>
        <w:pStyle w:val="ListParagraph"/>
        <w:numPr>
          <w:ilvl w:val="0"/>
          <w:numId w:val="8"/>
        </w:numPr>
        <w:tabs>
          <w:tab w:pos="1554" w:val="left" w:leader="none"/>
        </w:tabs>
        <w:spacing w:line="225" w:lineRule="auto" w:before="5" w:after="0"/>
        <w:ind w:left="1554" w:right="130" w:hanging="360"/>
        <w:jc w:val="left"/>
        <w:rPr>
          <w:sz w:val="24"/>
        </w:rPr>
      </w:pPr>
      <w:r>
        <w:rPr>
          <w:b/>
          <w:sz w:val="24"/>
        </w:rPr>
        <w:t>立即建立並嚴格執行「套布機安全作業標準</w:t>
      </w:r>
      <w:r>
        <w:rPr>
          <w:rFonts w:ascii="Calibri" w:eastAsia="Calibri"/>
          <w:b/>
          <w:sz w:val="24"/>
        </w:rPr>
        <w:t>(SOP)</w:t>
      </w:r>
      <w:r>
        <w:rPr>
          <w:b/>
          <w:spacing w:val="19"/>
          <w:sz w:val="24"/>
        </w:rPr>
        <w:t>」： </w:t>
      </w:r>
      <w:r>
        <w:rPr>
          <w:rFonts w:ascii="Calibri" w:eastAsia="Calibri"/>
          <w:sz w:val="24"/>
        </w:rPr>
        <w:t>SOP</w:t>
      </w:r>
      <w:r>
        <w:rPr>
          <w:rFonts w:ascii="Calibri" w:eastAsia="Calibri"/>
          <w:spacing w:val="4"/>
          <w:sz w:val="24"/>
        </w:rPr>
        <w:t> </w:t>
      </w:r>
      <w:r>
        <w:rPr>
          <w:sz w:val="24"/>
        </w:rPr>
        <w:t>應圖文並茂，明確規範 </w:t>
      </w:r>
      <w:r>
        <w:rPr>
          <w:b/>
          <w:sz w:val="24"/>
        </w:rPr>
        <w:t>「啟動前，必須先在停機狀態下，使用輔助工具將布頭固定妥當」</w:t>
      </w:r>
      <w:r>
        <w:rPr>
          <w:spacing w:val="-18"/>
          <w:sz w:val="24"/>
        </w:rPr>
        <w:t>。</w:t>
      </w:r>
      <w:r>
        <w:rPr>
          <w:sz w:val="24"/>
        </w:rPr>
        <w:t>此 </w:t>
      </w:r>
      <w:r>
        <w:rPr>
          <w:rFonts w:ascii="Calibri" w:eastAsia="Calibri"/>
          <w:sz w:val="24"/>
        </w:rPr>
        <w:t>SOP</w:t>
      </w:r>
      <w:r>
        <w:rPr>
          <w:rFonts w:ascii="Calibri" w:eastAsia="Calibri"/>
          <w:spacing w:val="5"/>
          <w:sz w:val="24"/>
        </w:rPr>
        <w:t> </w:t>
      </w:r>
      <w:r>
        <w:rPr>
          <w:sz w:val="24"/>
        </w:rPr>
        <w:t>應翻譯成相關人員的母語，並嚴格訓練與要求。</w:t>
      </w:r>
    </w:p>
    <w:p>
      <w:pPr>
        <w:pStyle w:val="ListParagraph"/>
        <w:numPr>
          <w:ilvl w:val="0"/>
          <w:numId w:val="8"/>
        </w:numPr>
        <w:tabs>
          <w:tab w:pos="1554" w:val="left" w:leader="none"/>
        </w:tabs>
        <w:spacing w:line="225" w:lineRule="auto" w:before="1" w:after="0"/>
        <w:ind w:left="1554" w:right="130" w:hanging="360"/>
        <w:jc w:val="left"/>
        <w:rPr>
          <w:sz w:val="24"/>
        </w:rPr>
      </w:pPr>
      <w:r>
        <w:rPr>
          <w:b/>
          <w:sz w:val="24"/>
        </w:rPr>
        <w:t>建立「單獨作業管制」程序： </w:t>
      </w:r>
      <w:r>
        <w:rPr>
          <w:spacing w:val="-1"/>
          <w:sz w:val="24"/>
        </w:rPr>
        <w:t>全面禁止勞工單獨從事非例行性、高風險的作</w:t>
      </w:r>
      <w:r>
        <w:rPr>
          <w:sz w:val="24"/>
        </w:rPr>
        <w:t>業</w:t>
      </w:r>
      <w:r>
        <w:rPr>
          <w:rFonts w:ascii="Calibri" w:eastAsia="Calibri"/>
          <w:sz w:val="24"/>
        </w:rPr>
        <w:t>(</w:t>
      </w:r>
      <w:r>
        <w:rPr>
          <w:sz w:val="24"/>
        </w:rPr>
        <w:t>如本案</w:t>
      </w:r>
      <w:r>
        <w:rPr>
          <w:rFonts w:ascii="Calibri" w:eastAsia="Calibri"/>
          <w:sz w:val="24"/>
        </w:rPr>
        <w:t>)</w:t>
      </w:r>
      <w:r>
        <w:rPr>
          <w:sz w:val="24"/>
        </w:rPr>
        <w:t>。若因故必須單獨作業，則需啟動作業許可，並建立有效的監控機制</w:t>
      </w:r>
      <w:r>
        <w:rPr>
          <w:rFonts w:ascii="Calibri" w:eastAsia="Calibri"/>
          <w:sz w:val="24"/>
        </w:rPr>
        <w:t>(</w:t>
      </w:r>
      <w:r>
        <w:rPr>
          <w:sz w:val="24"/>
        </w:rPr>
        <w:t>如定時回報、影像監控</w:t>
      </w:r>
      <w:r>
        <w:rPr>
          <w:rFonts w:ascii="Calibri" w:eastAsia="Calibri"/>
          <w:sz w:val="24"/>
        </w:rPr>
        <w:t>)</w:t>
      </w:r>
      <w:r>
        <w:rPr>
          <w:sz w:val="24"/>
        </w:rPr>
        <w:t>。</w:t>
      </w:r>
    </w:p>
    <w:p>
      <w:pPr>
        <w:pStyle w:val="ListParagraph"/>
        <w:numPr>
          <w:ilvl w:val="0"/>
          <w:numId w:val="8"/>
        </w:numPr>
        <w:tabs>
          <w:tab w:pos="1554" w:val="left" w:leader="none"/>
        </w:tabs>
        <w:spacing w:line="225" w:lineRule="auto" w:before="1" w:after="0"/>
        <w:ind w:left="1554" w:right="130" w:hanging="360"/>
        <w:jc w:val="left"/>
        <w:rPr>
          <w:sz w:val="24"/>
        </w:rPr>
      </w:pPr>
      <w:r>
        <w:rPr>
          <w:b/>
          <w:sz w:val="24"/>
        </w:rPr>
        <w:t>將本次事故納入教育訓練： </w:t>
      </w:r>
      <w:r>
        <w:rPr>
          <w:spacing w:val="-1"/>
          <w:sz w:val="24"/>
        </w:rPr>
        <w:t>將此案例製作成教材，對全體相關人員進行再訓</w:t>
      </w:r>
      <w:r>
        <w:rPr>
          <w:sz w:val="24"/>
        </w:rPr>
        <w:t>練，強調捲夾危害及正確的作業方法，破除「用機器轉動來帶動套布比較方便」的錯誤迷思。</w:t>
      </w:r>
    </w:p>
    <w:p>
      <w:pPr>
        <w:pStyle w:val="ListParagraph"/>
        <w:numPr>
          <w:ilvl w:val="0"/>
          <w:numId w:val="8"/>
        </w:numPr>
        <w:tabs>
          <w:tab w:pos="1554" w:val="left" w:leader="none"/>
        </w:tabs>
        <w:spacing w:line="225" w:lineRule="auto" w:before="2" w:after="0"/>
        <w:ind w:left="1554" w:right="156" w:hanging="360"/>
        <w:jc w:val="left"/>
        <w:rPr>
          <w:sz w:val="24"/>
        </w:rPr>
      </w:pPr>
      <w:r>
        <w:rPr>
          <w:b/>
          <w:spacing w:val="4"/>
          <w:sz w:val="24"/>
        </w:rPr>
        <w:t>落實自動檢查與主管巡檢： </w:t>
      </w:r>
      <w:r>
        <w:rPr>
          <w:sz w:val="24"/>
        </w:rPr>
        <w:t>將輔助工具的可用性、</w:t>
      </w:r>
      <w:r>
        <w:rPr>
          <w:rFonts w:ascii="Calibri" w:eastAsia="Calibri"/>
          <w:sz w:val="24"/>
        </w:rPr>
        <w:t>SOP</w:t>
      </w:r>
      <w:r>
        <w:rPr>
          <w:rFonts w:ascii="Calibri" w:eastAsia="Calibri"/>
          <w:spacing w:val="6"/>
          <w:sz w:val="24"/>
        </w:rPr>
        <w:t> </w:t>
      </w:r>
      <w:r>
        <w:rPr>
          <w:spacing w:val="-2"/>
          <w:sz w:val="24"/>
        </w:rPr>
        <w:t>的執行狀況列入每日</w:t>
      </w:r>
      <w:r>
        <w:rPr>
          <w:sz w:val="24"/>
        </w:rPr>
        <w:t>自動檢查及主管現場巡檢的重點項目，確保制度被確實執行。</w:t>
      </w:r>
    </w:p>
    <w:sectPr>
      <w:pgSz w:w="11910" w:h="16840"/>
      <w:pgMar w:top="1380" w:bottom="280" w:left="102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微軟正黑體">
    <w:altName w:val="微軟正黑體"/>
    <w:charset w:val="88"/>
    <w:family w:val="swiss"/>
    <w:pitch w:val="variable"/>
  </w:font>
  <w:font w:name="Segoe UI">
    <w:altName w:val="Segoe U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1554" w:hanging="360"/>
        <w:jc w:val="left"/>
      </w:pPr>
      <w:rPr>
        <w:rFonts w:hint="default" w:ascii="Calibri" w:hAnsi="Calibri" w:eastAsia="Calibri" w:cs="Calibri"/>
        <w:spacing w:val="-18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7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0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2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4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5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7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34" w:hanging="360"/>
        <w:jc w:val="left"/>
      </w:pPr>
      <w:rPr>
        <w:rFonts w:hint="default" w:ascii="Calibri" w:hAnsi="Calibri" w:eastAsia="Calibri" w:cs="Calibri"/>
        <w:spacing w:val="-17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ind w:left="1554" w:hanging="360"/>
        <w:jc w:val="left"/>
      </w:pPr>
      <w:rPr>
        <w:rFonts w:hint="default" w:ascii="Calibri" w:hAnsi="Calibri" w:eastAsia="Calibri" w:cs="Calibri"/>
        <w:spacing w:val="-17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46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8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11" w:hanging="36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554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7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0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2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4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5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7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7" w:hanging="269"/>
        <w:jc w:val="left"/>
      </w:pPr>
      <w:rPr>
        <w:rFonts w:hint="default" w:ascii="Segoe UI" w:hAnsi="Segoe UI" w:eastAsia="Segoe UI" w:cs="Segoe UI"/>
        <w:b/>
        <w:bCs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591" w:hanging="26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83" w:hanging="2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75" w:hanging="2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67" w:hanging="2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59" w:hanging="2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50" w:hanging="2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42" w:hanging="2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34" w:hanging="269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7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36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73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09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46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83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19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56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92" w:hanging="252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7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36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73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09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46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83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19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56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92" w:hanging="252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7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72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44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6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88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61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3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05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77" w:hanging="25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4" w:hanging="360"/>
      </w:pPr>
      <w:rPr>
        <w:rFonts w:hint="default" w:ascii="Symbol" w:hAnsi="Symbol" w:eastAsia="Symbol" w:cs="Symbol"/>
        <w:w w:val="100"/>
        <w:sz w:val="20"/>
        <w:szCs w:val="20"/>
      </w:rPr>
    </w:lvl>
    <w:lvl w:ilvl="1">
      <w:start w:val="1"/>
      <w:numFmt w:val="decimal"/>
      <w:lvlText w:val="%2."/>
      <w:lvlJc w:val="left"/>
      <w:pPr>
        <w:ind w:left="1554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46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8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11" w:hanging="360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軟正黑體" w:hAnsi="微軟正黑體" w:eastAsia="微軟正黑體" w:cs="微軟正黑體"/>
    </w:rPr>
  </w:style>
  <w:style w:styleId="BodyText" w:type="paragraph">
    <w:name w:val="Body Text"/>
    <w:basedOn w:val="Normal"/>
    <w:uiPriority w:val="1"/>
    <w:qFormat/>
    <w:pPr/>
    <w:rPr>
      <w:rFonts w:ascii="微軟正黑體" w:hAnsi="微軟正黑體" w:eastAsia="微軟正黑體" w:cs="微軟正黑體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7" w:line="428" w:lineRule="exact"/>
      <w:ind w:left="114"/>
      <w:outlineLvl w:val="1"/>
    </w:pPr>
    <w:rPr>
      <w:rFonts w:ascii="微軟正黑體" w:hAnsi="微軟正黑體" w:eastAsia="微軟正黑體" w:cs="微軟正黑體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415" w:lineRule="exact"/>
      <w:ind w:left="834" w:hanging="360"/>
    </w:pPr>
    <w:rPr>
      <w:rFonts w:ascii="微軟正黑體" w:hAnsi="微軟正黑體" w:eastAsia="微軟正黑體" w:cs="微軟正黑體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微軟正黑體" w:hAnsi="微軟正黑體" w:eastAsia="微軟正黑體" w:cs="微軟正黑體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Ho</dc:creator>
  <dcterms:created xsi:type="dcterms:W3CDTF">2025-07-25T00:34:35Z</dcterms:created>
  <dcterms:modified xsi:type="dcterms:W3CDTF">2025-07-25T00:34:35Z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2025-07-15T00:00:00Z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2025-07-25T00:00:00Z</vt:filetime>
  </property>
</Properties>
</file>