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40" w:lineRule="auto" w:before="28"/>
        <w:ind w:left="3042"/>
      </w:pPr>
      <w:r>
        <w:rPr/>
        <w:t>火災爆炸案 </w:t>
      </w:r>
      <w:r>
        <w:rPr>
          <w:rFonts w:ascii="Calibri" w:eastAsia="Calibri"/>
        </w:rPr>
        <w:t>3_</w:t>
      </w:r>
      <w:r>
        <w:rPr/>
        <w:t>分析參考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line="225" w:lineRule="auto" w:before="1"/>
        <w:ind w:left="120" w:right="144"/>
      </w:pPr>
      <w:r>
        <w:rPr>
          <w:b/>
        </w:rPr>
        <w:t>重要提醒： </w:t>
      </w:r>
      <w:r>
        <w:rPr/>
        <w:t>本分析報告是基於所提供案例的有限資訊，並結合事故調查的專業方法論進行。部分內容為根據邏輯與經驗所做的合理假設，並會明確標示為</w:t>
      </w:r>
    </w:p>
    <w:p>
      <w:pPr>
        <w:pStyle w:val="BodyText"/>
        <w:spacing w:line="225" w:lineRule="auto"/>
        <w:ind w:left="120" w:right="119"/>
      </w:pPr>
      <w:r>
        <w:rPr>
          <w:rFonts w:ascii="Calibri" w:eastAsia="Calibri"/>
        </w:rPr>
        <w:t>(</w:t>
      </w:r>
      <w:r>
        <w:rPr/>
        <w:t>假設</w:t>
      </w:r>
      <w:r>
        <w:rPr>
          <w:rFonts w:ascii="Calibri" w:eastAsia="Calibri"/>
        </w:rPr>
        <w:t>)</w:t>
      </w:r>
      <w:r>
        <w:rPr/>
        <w:t>。一場實際、完整的事故調查，需要更詳盡的現場勘查、人員訪談與物證檢驗來支持所有結論。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90pt;margin-top:7.741465pt;width:415.35pt;height:1.55pt;mso-position-horizontal-relative:page;mso-position-vertical-relative:paragraph;z-index:-1024;mso-wrap-distance-left:0;mso-wrap-distance-right:0" coordorigin="1800,155" coordsize="8307,31">
            <v:line style="position:absolute" from="1800,170" to="10106,170" stroked="true" strokeweight="1.5pt" strokecolor="#9f9f9f">
              <v:stroke dashstyle="solid"/>
            </v:line>
            <v:rect style="position:absolute;left:1800;top:155;width:5;height:5" filled="true" fillcolor="#9f9f9f" stroked="false">
              <v:fill type="solid"/>
            </v:rect>
            <v:rect style="position:absolute;left:1800;top:155;width:5;height:5" filled="true" fillcolor="#9f9f9f" stroked="false">
              <v:fill type="solid"/>
            </v:rect>
            <v:line style="position:absolute" from="1805,157" to="10102,157" stroked="true" strokeweight=".239pt" strokecolor="#9f9f9f">
              <v:stroke dashstyle="solid"/>
            </v:line>
            <v:rect style="position:absolute;left:10101;top:155;width:5;height:5" filled="true" fillcolor="#e2e2e2" stroked="false">
              <v:fill type="solid"/>
            </v:rect>
            <v:rect style="position:absolute;left:10101;top:155;width:5;height:5" filled="true" fillcolor="#9f9f9f" stroked="false">
              <v:fill type="solid"/>
            </v:rect>
            <v:rect style="position:absolute;left:1800;top:159;width:5;height:21" filled="true" fillcolor="#9f9f9f" stroked="false">
              <v:fill type="solid"/>
            </v:rect>
            <v:rect style="position:absolute;left:10101;top:159;width:5;height:21" filled="true" fillcolor="#e2e2e2" stroked="false">
              <v:fill type="solid"/>
            </v:rect>
            <v:rect style="position:absolute;left:1800;top:180;width:5;height:5" filled="true" fillcolor="#9f9f9f" stroked="false">
              <v:fill type="solid"/>
            </v:rect>
            <v:rect style="position:absolute;left:1800;top:180;width:5;height:5" filled="true" fillcolor="#e2e2e2" stroked="false">
              <v:fill type="solid"/>
            </v:rect>
            <v:line style="position:absolute" from="1805,183" to="10102,183" stroked="true" strokeweight=".239pt" strokecolor="#e2e2e2">
              <v:stroke dashstyle="solid"/>
            </v:line>
            <v:rect style="position:absolute;left:10101;top:180;width:5;height:5" filled="true" fillcolor="#e2e2e2" stroked="false">
              <v:fill type="solid"/>
            </v:rect>
            <v:rect style="position:absolute;left:10101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2"/>
        <w:spacing w:line="225" w:lineRule="auto" w:before="26"/>
        <w:ind w:right="191"/>
      </w:pPr>
      <w:r>
        <w:rPr/>
        <w:t>整地、基礎及結構工程業 </w:t>
      </w:r>
      <w:r>
        <w:rPr>
          <w:rFonts w:ascii="Calibri" w:eastAsia="Calibri"/>
        </w:rPr>
        <w:t>- </w:t>
      </w:r>
      <w:r>
        <w:rPr/>
        <w:t>勞工從事側溝鑽孔作業發生火災災害調查分析報告事故基本資料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09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整地、基礎及結構工程業  </w:t>
      </w:r>
      <w:r>
        <w:rPr>
          <w:rFonts w:ascii="Calibri" w:hAnsi="Calibri" w:eastAsia="Calibri"/>
          <w:sz w:val="24"/>
        </w:rPr>
        <w:t>(4310)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火災  </w:t>
      </w:r>
      <w:r>
        <w:rPr>
          <w:rFonts w:ascii="Calibri" w:hAnsi="Calibri" w:eastAsia="Calibri"/>
          <w:sz w:val="24"/>
        </w:rPr>
        <w:t>(16)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易燃液體（汽油）</w:t>
      </w:r>
      <w:r>
        <w:rPr>
          <w:rFonts w:ascii="Calibri" w:hAnsi="Calibri" w:eastAsia="Calibri"/>
          <w:sz w:val="24"/>
        </w:rPr>
        <w:t>(512)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113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6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月某日  下午 </w:t>
      </w:r>
      <w:r>
        <w:rPr>
          <w:rFonts w:ascii="Calibri" w:hAnsi="Calibri" w:eastAsia="Calibri"/>
          <w:sz w:val="24"/>
        </w:rPr>
        <w:t>15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25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分許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貨車後車廂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25" w:lineRule="auto" w:before="7" w:after="0"/>
        <w:ind w:left="840" w:right="143" w:hanging="360"/>
        <w:jc w:val="left"/>
        <w:rPr>
          <w:sz w:val="24"/>
        </w:rPr>
      </w:pPr>
      <w:r>
        <w:rPr>
          <w:b/>
          <w:sz w:val="24"/>
        </w:rPr>
        <w:t>事故摘要： </w:t>
      </w:r>
      <w:r>
        <w:rPr>
          <w:spacing w:val="-1"/>
          <w:sz w:val="24"/>
        </w:rPr>
        <w:t>勞工因發電機熄火，至貨車車廂確認狀況。放置於發電機排</w:t>
      </w:r>
      <w:r>
        <w:rPr>
          <w:sz w:val="24"/>
        </w:rPr>
        <w:t>氣口（</w:t>
      </w:r>
      <w:r>
        <w:rPr>
          <w:spacing w:val="-1"/>
          <w:sz w:val="24"/>
        </w:rPr>
        <w:t>約 </w:t>
      </w:r>
      <w:r>
        <w:rPr>
          <w:rFonts w:ascii="Calibri" w:hAnsi="Calibri" w:eastAsia="Calibri"/>
          <w:sz w:val="24"/>
        </w:rPr>
        <w:t>15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公分）</w:t>
      </w:r>
      <w:r>
        <w:rPr>
          <w:spacing w:val="-1"/>
          <w:sz w:val="24"/>
        </w:rPr>
        <w:t>附近的備用汽油桶，因長時間受高溫廢氣加熱，產生</w:t>
      </w:r>
      <w:r>
        <w:rPr>
          <w:sz w:val="24"/>
        </w:rPr>
        <w:t>汽油蒸氣，接觸到發電機熱表面後起火，並引燃車廂內可燃物，造成車廂上的勞工逃生不及，全身嚴重燒傷，經治療後仍傷重不治死亡。</w:t>
      </w:r>
    </w:p>
    <w:p>
      <w:pPr>
        <w:pStyle w:val="Heading2"/>
        <w:spacing w:line="428" w:lineRule="exact" w:before="275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225" w:lineRule="auto" w:before="5"/>
        <w:ind w:left="120" w:right="264"/>
      </w:pPr>
      <w:r>
        <w:rPr/>
        <w:t>此圖將事故發生的事件及相關條件按時間順序呈現，以視覺化方式釐清因果關係。</w:t>
      </w:r>
    </w:p>
    <w:p>
      <w:pPr>
        <w:pStyle w:val="BodyText"/>
        <w:spacing w:before="1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187065</wp:posOffset>
            </wp:positionV>
            <wp:extent cx="5206709" cy="1173480"/>
            <wp:effectExtent l="0" t="0" r="0" b="0"/>
            <wp:wrapTopAndBottom/>
            <wp:docPr id="1" name="image1.jpeg" descr="一張含有 文字, 螢幕擷取畫面, 圖表, 字型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709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90pt;margin-top:13.368983pt;width:415.35pt;height:.8pt;mso-position-horizontal-relative:page;mso-position-vertical-relative:paragraph;z-index:-976;mso-wrap-distance-left:0;mso-wrap-distance-right:0" coordorigin="1800,267" coordsize="8307,16">
            <v:line style="position:absolute" from="1800,275" to="10106,275" stroked="true" strokeweight=".75pt" strokecolor="#9f9f9f">
              <v:stroke dashstyle="solid"/>
            </v:line>
            <v:rect style="position:absolute;left:1800;top:267;width:5;height:5" filled="true" fillcolor="#9f9f9f" stroked="false">
              <v:fill type="solid"/>
            </v:rect>
            <v:rect style="position:absolute;left:1800;top:267;width:5;height:5" filled="true" fillcolor="#9f9f9f" stroked="false">
              <v:fill type="solid"/>
            </v:rect>
            <v:line style="position:absolute" from="1805,270" to="10102,270" stroked="true" strokeweight=".239pt" strokecolor="#9f9f9f">
              <v:stroke dashstyle="solid"/>
            </v:line>
            <v:rect style="position:absolute;left:10101;top:267;width:5;height:5" filled="true" fillcolor="#e2e2e2" stroked="false">
              <v:fill type="solid"/>
            </v:rect>
            <v:rect style="position:absolute;left:10101;top:267;width:5;height:5" filled="true" fillcolor="#9f9f9f" stroked="false">
              <v:fill type="solid"/>
            </v:rect>
            <v:rect style="position:absolute;left:1800;top:272;width:5;height:7" filled="true" fillcolor="#9f9f9f" stroked="false">
              <v:fill type="solid"/>
            </v:rect>
            <v:rect style="position:absolute;left:10101;top:272;width:5;height:7" filled="true" fillcolor="#e2e2e2" stroked="false">
              <v:fill type="solid"/>
            </v:rect>
            <v:rect style="position:absolute;left:1800;top:278;width:5;height:5" filled="true" fillcolor="#9f9f9f" stroked="false">
              <v:fill type="solid"/>
            </v:rect>
            <v:rect style="position:absolute;left:1800;top:278;width:5;height:5" filled="true" fillcolor="#e2e2e2" stroked="false">
              <v:fill type="solid"/>
            </v:rect>
            <v:line style="position:absolute" from="1805,281" to="10102,281" stroked="true" strokeweight=".239pt" strokecolor="#e2e2e2">
              <v:stroke dashstyle="solid"/>
            </v:line>
            <v:rect style="position:absolute;left:10101;top:278;width:5;height:5" filled="true" fillcolor="#e2e2e2" stroked="false">
              <v:fill type="solid"/>
            </v:rect>
            <v:rect style="position:absolute;left:10101;top:27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2"/>
        <w:spacing w:line="428" w:lineRule="exact"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120"/>
      </w:pPr>
      <w:r>
        <w:rPr/>
        <w:t>此表以表格形式記錄事故發生的先後順序和相關條件，作為 </w:t>
      </w:r>
      <w:r>
        <w:rPr>
          <w:rFonts w:ascii="Calibri" w:eastAsia="Calibri"/>
        </w:rPr>
        <w:t>ECFC </w:t>
      </w:r>
      <w:r>
        <w:rPr/>
        <w:t>的輔助。</w:t>
      </w:r>
    </w:p>
    <w:p>
      <w:pPr>
        <w:spacing w:after="0" w:line="428" w:lineRule="exact"/>
        <w:sectPr>
          <w:type w:val="continuous"/>
          <w:pgSz w:w="11910" w:h="16840"/>
          <w:pgMar w:top="138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2493"/>
        <w:gridCol w:w="581"/>
        <w:gridCol w:w="851"/>
        <w:gridCol w:w="1492"/>
        <w:gridCol w:w="1644"/>
      </w:tblGrid>
      <w:tr>
        <w:trPr>
          <w:trHeight w:val="1383" w:hRule="atLeast"/>
        </w:trPr>
        <w:tc>
          <w:tcPr>
            <w:tcW w:w="123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493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581" w:type="dxa"/>
          </w:tcPr>
          <w:p>
            <w:pPr>
              <w:pStyle w:val="TableParagraph"/>
              <w:spacing w:line="225" w:lineRule="auto" w:before="4"/>
              <w:ind w:left="108" w:right="181"/>
              <w:jc w:val="both"/>
              <w:rPr>
                <w:sz w:val="20"/>
              </w:rPr>
            </w:pPr>
            <w:r>
              <w:rPr>
                <w:sz w:val="20"/>
              </w:rPr>
              <w:t>事實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2" w:lineRule="exact"/>
              <w:ind w:left="108"/>
              <w:jc w:val="both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851" w:type="dxa"/>
          </w:tcPr>
          <w:p>
            <w:pPr>
              <w:pStyle w:val="TableParagraph"/>
              <w:spacing w:line="345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</w:p>
          <w:p>
            <w:pPr>
              <w:pStyle w:val="TableParagraph"/>
              <w:spacing w:line="346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次</w:t>
            </w:r>
            <w:r>
              <w:rPr>
                <w:rFonts w:ascii="Segoe UI" w:eastAsia="Segoe UI"/>
                <w:sz w:val="20"/>
              </w:rPr>
              <w:t>(S)</w:t>
            </w:r>
          </w:p>
          <w:p>
            <w:pPr>
              <w:pStyle w:val="TableParagraph"/>
              <w:spacing w:line="357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事件軸</w:t>
            </w:r>
          </w:p>
        </w:tc>
        <w:tc>
          <w:tcPr>
            <w:tcW w:w="1492" w:type="dxa"/>
          </w:tcPr>
          <w:p>
            <w:pPr>
              <w:pStyle w:val="TableParagraph"/>
              <w:spacing w:line="225" w:lineRule="auto" w:before="4"/>
              <w:ind w:left="109" w:right="9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44" w:type="dxa"/>
          </w:tcPr>
          <w:p>
            <w:pPr>
              <w:pStyle w:val="TableParagraph"/>
              <w:spacing w:line="346" w:lineRule="exact"/>
              <w:ind w:left="111"/>
              <w:rPr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</w:t>
            </w:r>
          </w:p>
          <w:p>
            <w:pPr>
              <w:pStyle w:val="TableParagraph"/>
              <w:spacing w:line="225" w:lineRule="auto" w:before="5"/>
              <w:ind w:left="111" w:right="72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4" w:hRule="atLeast"/>
        </w:trPr>
        <w:tc>
          <w:tcPr>
            <w:tcW w:w="1231" w:type="dxa"/>
          </w:tcPr>
          <w:p>
            <w:pPr>
              <w:pStyle w:val="TableParagraph"/>
              <w:spacing w:line="225" w:lineRule="auto" w:before="5"/>
              <w:ind w:right="214" w:hanging="1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113/06/</w:t>
            </w:r>
            <w:r>
              <w:rPr>
                <w:sz w:val="20"/>
              </w:rPr>
              <w:t>某日 上 午 </w:t>
            </w:r>
            <w:r>
              <w:rPr>
                <w:rFonts w:ascii="Segoe UI" w:eastAsia="Segoe UI"/>
                <w:sz w:val="20"/>
              </w:rPr>
              <w:t>9 </w:t>
            </w:r>
            <w:r>
              <w:rPr>
                <w:sz w:val="20"/>
              </w:rPr>
              <w:t>時</w:t>
            </w:r>
          </w:p>
        </w:tc>
        <w:tc>
          <w:tcPr>
            <w:tcW w:w="2493" w:type="dxa"/>
          </w:tcPr>
          <w:p>
            <w:pPr>
              <w:pStyle w:val="TableParagraph"/>
              <w:spacing w:line="225" w:lineRule="auto" w:before="5"/>
              <w:ind w:left="108" w:right="172"/>
              <w:rPr>
                <w:sz w:val="20"/>
              </w:rPr>
            </w:pPr>
            <w:r>
              <w:rPr>
                <w:sz w:val="20"/>
              </w:rPr>
              <w:t>李罹災者與同事曾員從事鑽孔作業。</w:t>
            </w:r>
          </w:p>
        </w:tc>
        <w:tc>
          <w:tcPr>
            <w:tcW w:w="581" w:type="dxa"/>
          </w:tcPr>
          <w:p>
            <w:pPr>
              <w:pStyle w:val="TableParagraph"/>
              <w:spacing w:line="225" w:lineRule="auto" w:before="5"/>
              <w:ind w:left="108" w:right="25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1" w:type="dxa"/>
          </w:tcPr>
          <w:p>
            <w:pPr>
              <w:pStyle w:val="TableParagraph"/>
              <w:ind w:left="109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492" w:type="dxa"/>
          </w:tcPr>
          <w:p>
            <w:pPr>
              <w:pStyle w:val="TableParagraph"/>
              <w:spacing w:line="225" w:lineRule="auto" w:before="5"/>
              <w:ind w:left="109" w:right="169"/>
              <w:jc w:val="both"/>
              <w:rPr>
                <w:sz w:val="20"/>
              </w:rPr>
            </w:pPr>
            <w:r>
              <w:rPr>
                <w:sz w:val="20"/>
              </w:rPr>
              <w:t>發電機與備用汽油桶放置於同一貨車車</w:t>
            </w:r>
          </w:p>
          <w:p>
            <w:pPr>
              <w:pStyle w:val="TableParagraph"/>
              <w:spacing w:line="322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廂。</w:t>
            </w:r>
          </w:p>
        </w:tc>
        <w:tc>
          <w:tcPr>
            <w:tcW w:w="1644" w:type="dxa"/>
          </w:tcPr>
          <w:p>
            <w:pPr>
              <w:pStyle w:val="TableParagraph"/>
              <w:spacing w:line="225" w:lineRule="auto" w:before="5"/>
              <w:ind w:left="111" w:right="120"/>
              <w:jc w:val="both"/>
              <w:rPr>
                <w:sz w:val="20"/>
              </w:rPr>
            </w:pPr>
            <w:r>
              <w:rPr>
                <w:sz w:val="20"/>
              </w:rPr>
              <w:t>缺乏對易燃物與熱源共同存放的危害認知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2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1037" w:hRule="atLeast"/>
        </w:trPr>
        <w:tc>
          <w:tcPr>
            <w:tcW w:w="1231" w:type="dxa"/>
          </w:tcPr>
          <w:p>
            <w:pPr>
              <w:pStyle w:val="TableParagraph"/>
              <w:spacing w:line="345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9 </w:t>
            </w:r>
            <w:r>
              <w:rPr>
                <w:sz w:val="20"/>
              </w:rPr>
              <w:t>時至 </w:t>
            </w:r>
            <w:r>
              <w:rPr>
                <w:rFonts w:ascii="Segoe UI" w:eastAsia="Segoe UI"/>
                <w:sz w:val="20"/>
              </w:rPr>
              <w:t>15</w:t>
            </w:r>
          </w:p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時 </w:t>
            </w:r>
            <w:r>
              <w:rPr>
                <w:rFonts w:ascii="Segoe UI" w:eastAsia="Segoe UI"/>
                <w:sz w:val="20"/>
              </w:rPr>
              <w:t>25 </w:t>
            </w:r>
            <w:r>
              <w:rPr>
                <w:sz w:val="20"/>
              </w:rPr>
              <w:t>分</w:t>
            </w:r>
          </w:p>
        </w:tc>
        <w:tc>
          <w:tcPr>
            <w:tcW w:w="2493" w:type="dxa"/>
          </w:tcPr>
          <w:p>
            <w:pPr>
              <w:pStyle w:val="TableParagraph"/>
              <w:spacing w:line="225" w:lineRule="auto" w:before="4"/>
              <w:ind w:left="108" w:right="172"/>
              <w:rPr>
                <w:sz w:val="20"/>
              </w:rPr>
            </w:pPr>
            <w:r>
              <w:rPr>
                <w:sz w:val="20"/>
              </w:rPr>
              <w:t>發電機長時間持續運轉， 供應鑽孔作業電力。</w:t>
            </w:r>
          </w:p>
        </w:tc>
        <w:tc>
          <w:tcPr>
            <w:tcW w:w="581" w:type="dxa"/>
          </w:tcPr>
          <w:p>
            <w:pPr>
              <w:pStyle w:val="TableParagraph"/>
              <w:spacing w:line="225" w:lineRule="auto" w:before="4"/>
              <w:ind w:left="108" w:right="25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1" w:type="dxa"/>
          </w:tcPr>
          <w:p>
            <w:pPr>
              <w:pStyle w:val="TableParagraph"/>
              <w:ind w:left="109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492" w:type="dxa"/>
          </w:tcPr>
          <w:p>
            <w:pPr>
              <w:pStyle w:val="TableParagraph"/>
              <w:spacing w:line="225" w:lineRule="auto" w:before="4"/>
              <w:ind w:left="109" w:right="169"/>
              <w:rPr>
                <w:sz w:val="20"/>
              </w:rPr>
            </w:pPr>
            <w:r>
              <w:rPr>
                <w:sz w:val="20"/>
              </w:rPr>
              <w:t>發電機排氣口持續對金屬油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桶加熱。</w:t>
            </w:r>
          </w:p>
        </w:tc>
        <w:tc>
          <w:tcPr>
            <w:tcW w:w="1644" w:type="dxa"/>
          </w:tcPr>
          <w:p>
            <w:pPr>
              <w:pStyle w:val="TableParagraph"/>
              <w:spacing w:line="225" w:lineRule="auto" w:before="4"/>
              <w:ind w:left="111" w:right="12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油桶放置位置距排氣口僅約 </w:t>
            </w:r>
            <w:r>
              <w:rPr>
                <w:rFonts w:ascii="Segoe UI" w:eastAsia="Segoe UI"/>
                <w:sz w:val="20"/>
              </w:rPr>
              <w:t>15</w:t>
            </w:r>
          </w:p>
          <w:p>
            <w:pPr>
              <w:pStyle w:val="TableParagraph"/>
              <w:spacing w:line="322" w:lineRule="exact"/>
              <w:ind w:left="111"/>
              <w:rPr>
                <w:sz w:val="20"/>
              </w:rPr>
            </w:pPr>
            <w:r>
              <w:rPr>
                <w:sz w:val="20"/>
              </w:rPr>
              <w:t>公分。</w:t>
            </w:r>
          </w:p>
        </w:tc>
      </w:tr>
      <w:tr>
        <w:trPr>
          <w:trHeight w:val="1383" w:hRule="atLeast"/>
        </w:trPr>
        <w:tc>
          <w:tcPr>
            <w:tcW w:w="123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時間未知</w:t>
            </w:r>
          </w:p>
        </w:tc>
        <w:tc>
          <w:tcPr>
            <w:tcW w:w="2493" w:type="dxa"/>
          </w:tcPr>
          <w:p>
            <w:pPr>
              <w:pStyle w:val="TableParagraph"/>
              <w:spacing w:line="225" w:lineRule="auto" w:before="4"/>
              <w:ind w:right="172"/>
              <w:rPr>
                <w:sz w:val="20"/>
              </w:rPr>
            </w:pPr>
            <w:r>
              <w:rPr>
                <w:spacing w:val="-2"/>
                <w:sz w:val="20"/>
              </w:rPr>
              <w:t>金屬油桶受熱，內部汽油</w:t>
            </w:r>
            <w:r>
              <w:rPr>
                <w:sz w:val="20"/>
              </w:rPr>
              <w:t>揮發產生高濃度易燃蒸 氣。</w:t>
            </w:r>
          </w:p>
        </w:tc>
        <w:tc>
          <w:tcPr>
            <w:tcW w:w="581" w:type="dxa"/>
          </w:tcPr>
          <w:p>
            <w:pPr>
              <w:pStyle w:val="TableParagraph"/>
              <w:spacing w:line="225" w:lineRule="auto" w:before="4"/>
              <w:ind w:left="108" w:right="181"/>
              <w:jc w:val="both"/>
              <w:rPr>
                <w:sz w:val="20"/>
              </w:rPr>
            </w:pPr>
            <w:r>
              <w:rPr>
                <w:sz w:val="20"/>
              </w:rPr>
              <w:t>事實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22" w:lineRule="exact"/>
              <w:ind w:left="108"/>
              <w:jc w:val="both"/>
              <w:rPr>
                <w:sz w:val="20"/>
              </w:rPr>
            </w:pPr>
            <w:r>
              <w:rPr>
                <w:w w:val="100"/>
                <w:sz w:val="20"/>
              </w:rPr>
              <w:t>論</w:t>
            </w:r>
          </w:p>
        </w:tc>
        <w:tc>
          <w:tcPr>
            <w:tcW w:w="851" w:type="dxa"/>
          </w:tcPr>
          <w:p>
            <w:pPr>
              <w:pStyle w:val="TableParagraph"/>
              <w:spacing w:line="345" w:lineRule="exact"/>
              <w:ind w:left="109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C (</w:t>
            </w:r>
            <w:r>
              <w:rPr>
                <w:sz w:val="20"/>
              </w:rPr>
              <w:t>條</w:t>
            </w:r>
          </w:p>
          <w:p>
            <w:pPr>
              <w:pStyle w:val="TableParagraph"/>
              <w:spacing w:line="357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49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2" w:val="left" w:leader="none"/>
              </w:tabs>
              <w:spacing w:line="225" w:lineRule="auto" w:before="4" w:after="0"/>
              <w:ind w:left="109" w:right="120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汽油易揮發</w:t>
            </w:r>
            <w:r>
              <w:rPr>
                <w:sz w:val="20"/>
              </w:rPr>
              <w:t>特性。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2" w:val="left" w:leader="none"/>
              </w:tabs>
              <w:spacing w:line="342" w:lineRule="exact" w:before="0" w:after="0"/>
              <w:ind w:left="361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車廂內通風</w:t>
            </w:r>
          </w:p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不良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644" w:type="dxa"/>
          </w:tcPr>
          <w:p>
            <w:pPr>
              <w:pStyle w:val="TableParagraph"/>
              <w:spacing w:line="225" w:lineRule="auto" w:before="4"/>
              <w:ind w:left="111" w:right="99"/>
              <w:jc w:val="both"/>
              <w:rPr>
                <w:sz w:val="20"/>
              </w:rPr>
            </w:pPr>
            <w:r>
              <w:rPr>
                <w:sz w:val="20"/>
              </w:rPr>
              <w:t>未進行作業前風險評估，未識別此危害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1037" w:hRule="atLeast"/>
        </w:trPr>
        <w:tc>
          <w:tcPr>
            <w:tcW w:w="1231" w:type="dxa"/>
          </w:tcPr>
          <w:p>
            <w:pPr>
              <w:pStyle w:val="TableParagraph"/>
              <w:spacing w:line="225" w:lineRule="auto" w:before="4"/>
              <w:ind w:right="86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15 </w:t>
            </w:r>
            <w:r>
              <w:rPr>
                <w:sz w:val="20"/>
              </w:rPr>
              <w:t>時 </w:t>
            </w:r>
            <w:r>
              <w:rPr>
                <w:rFonts w:ascii="Segoe UI" w:eastAsia="Segoe UI"/>
                <w:sz w:val="20"/>
              </w:rPr>
              <w:t>25 </w:t>
            </w:r>
            <w:r>
              <w:rPr>
                <w:sz w:val="20"/>
              </w:rPr>
              <w:t>分許</w:t>
            </w:r>
          </w:p>
        </w:tc>
        <w:tc>
          <w:tcPr>
            <w:tcW w:w="2493" w:type="dxa"/>
          </w:tcPr>
          <w:p>
            <w:pPr>
              <w:pStyle w:val="TableParagraph"/>
              <w:spacing w:line="225" w:lineRule="auto" w:before="4"/>
              <w:ind w:left="108" w:right="371"/>
              <w:rPr>
                <w:sz w:val="20"/>
              </w:rPr>
            </w:pPr>
            <w:r>
              <w:rPr>
                <w:sz w:val="20"/>
              </w:rPr>
              <w:t>發電機突然熄火停止運轉。</w:t>
            </w:r>
          </w:p>
        </w:tc>
        <w:tc>
          <w:tcPr>
            <w:tcW w:w="581" w:type="dxa"/>
          </w:tcPr>
          <w:p>
            <w:pPr>
              <w:pStyle w:val="TableParagraph"/>
              <w:spacing w:line="225" w:lineRule="auto" w:before="4"/>
              <w:ind w:left="108" w:right="25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1" w:type="dxa"/>
          </w:tcPr>
          <w:p>
            <w:pPr>
              <w:pStyle w:val="TableParagraph"/>
              <w:ind w:left="109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492" w:type="dxa"/>
          </w:tcPr>
          <w:p>
            <w:pPr>
              <w:pStyle w:val="TableParagraph"/>
              <w:spacing w:line="345" w:lineRule="exact"/>
              <w:ind w:left="109"/>
              <w:rPr>
                <w:sz w:val="20"/>
              </w:rPr>
            </w:pPr>
            <w:r>
              <w:rPr>
                <w:sz w:val="20"/>
              </w:rPr>
              <w:t>熄火原因未知</w:t>
            </w:r>
          </w:p>
          <w:p>
            <w:pPr>
              <w:pStyle w:val="TableParagraph"/>
              <w:spacing w:line="346" w:lineRule="exact"/>
              <w:ind w:left="109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可能為供油不</w:t>
            </w:r>
          </w:p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順或過熱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644" w:type="dxa"/>
          </w:tcPr>
          <w:p>
            <w:pPr>
              <w:pStyle w:val="TableParagraph"/>
              <w:ind w:left="111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/</w:t>
            </w:r>
          </w:p>
        </w:tc>
      </w:tr>
      <w:tr>
        <w:trPr>
          <w:trHeight w:val="1037" w:hRule="atLeast"/>
        </w:trPr>
        <w:tc>
          <w:tcPr>
            <w:tcW w:w="1231" w:type="dxa"/>
          </w:tcPr>
          <w:p>
            <w:pPr>
              <w:pStyle w:val="TableParagraph"/>
              <w:spacing w:line="225" w:lineRule="auto" w:before="4"/>
              <w:ind w:right="86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15 </w:t>
            </w:r>
            <w:r>
              <w:rPr>
                <w:sz w:val="20"/>
              </w:rPr>
              <w:t>時 </w:t>
            </w:r>
            <w:r>
              <w:rPr>
                <w:rFonts w:ascii="Segoe UI" w:eastAsia="Segoe UI"/>
                <w:sz w:val="20"/>
              </w:rPr>
              <w:t>25 </w:t>
            </w:r>
            <w:r>
              <w:rPr>
                <w:sz w:val="20"/>
              </w:rPr>
              <w:t>分許</w:t>
            </w:r>
          </w:p>
        </w:tc>
        <w:tc>
          <w:tcPr>
            <w:tcW w:w="2493" w:type="dxa"/>
          </w:tcPr>
          <w:p>
            <w:pPr>
              <w:pStyle w:val="TableParagraph"/>
              <w:spacing w:line="225" w:lineRule="auto" w:before="4"/>
              <w:ind w:left="108" w:right="172"/>
              <w:rPr>
                <w:sz w:val="20"/>
              </w:rPr>
            </w:pPr>
            <w:r>
              <w:rPr>
                <w:sz w:val="20"/>
              </w:rPr>
              <w:t>李罹災者前往車廂上確認發電機狀況。</w:t>
            </w:r>
          </w:p>
        </w:tc>
        <w:tc>
          <w:tcPr>
            <w:tcW w:w="581" w:type="dxa"/>
          </w:tcPr>
          <w:p>
            <w:pPr>
              <w:pStyle w:val="TableParagraph"/>
              <w:spacing w:line="225" w:lineRule="auto" w:before="4"/>
              <w:ind w:left="108" w:right="25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1" w:type="dxa"/>
          </w:tcPr>
          <w:p>
            <w:pPr>
              <w:pStyle w:val="TableParagraph"/>
              <w:ind w:left="109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492" w:type="dxa"/>
          </w:tcPr>
          <w:p>
            <w:pPr>
              <w:pStyle w:val="TableParagraph"/>
              <w:spacing w:line="225" w:lineRule="auto" w:before="4"/>
              <w:ind w:left="109" w:right="169"/>
              <w:rPr>
                <w:sz w:val="20"/>
              </w:rPr>
            </w:pPr>
            <w:r>
              <w:rPr>
                <w:spacing w:val="-3"/>
                <w:sz w:val="20"/>
              </w:rPr>
              <w:t>罹災者進入了</w:t>
            </w:r>
            <w:r>
              <w:rPr>
                <w:spacing w:val="-4"/>
                <w:sz w:val="20"/>
              </w:rPr>
              <w:t>充滿汽油蒸氣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的侷限空間。</w:t>
            </w:r>
          </w:p>
        </w:tc>
        <w:tc>
          <w:tcPr>
            <w:tcW w:w="1644" w:type="dxa"/>
          </w:tcPr>
          <w:p>
            <w:pPr>
              <w:pStyle w:val="TableParagraph"/>
              <w:ind w:left="111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/</w:t>
            </w:r>
          </w:p>
        </w:tc>
      </w:tr>
      <w:tr>
        <w:trPr>
          <w:trHeight w:val="1730" w:hRule="atLeast"/>
        </w:trPr>
        <w:tc>
          <w:tcPr>
            <w:tcW w:w="1231" w:type="dxa"/>
          </w:tcPr>
          <w:p>
            <w:pPr>
              <w:pStyle w:val="TableParagraph"/>
              <w:spacing w:line="225" w:lineRule="auto" w:before="5"/>
              <w:ind w:right="86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15 </w:t>
            </w:r>
            <w:r>
              <w:rPr>
                <w:sz w:val="20"/>
              </w:rPr>
              <w:t>時 </w:t>
            </w:r>
            <w:r>
              <w:rPr>
                <w:rFonts w:ascii="Segoe UI" w:eastAsia="Segoe UI"/>
                <w:sz w:val="20"/>
              </w:rPr>
              <w:t>25 </w:t>
            </w:r>
            <w:r>
              <w:rPr>
                <w:sz w:val="20"/>
              </w:rPr>
              <w:t>分許</w:t>
            </w:r>
          </w:p>
        </w:tc>
        <w:tc>
          <w:tcPr>
            <w:tcW w:w="2493" w:type="dxa"/>
          </w:tcPr>
          <w:p>
            <w:pPr>
              <w:pStyle w:val="TableParagraph"/>
              <w:spacing w:line="225" w:lineRule="auto" w:before="5"/>
              <w:ind w:left="108" w:right="172"/>
              <w:rPr>
                <w:sz w:val="20"/>
              </w:rPr>
            </w:pPr>
            <w:r>
              <w:rPr>
                <w:sz w:val="20"/>
              </w:rPr>
              <w:t>汽油蒸氣接觸發電機排氣管等熱表面後起火燃燒。</w:t>
            </w:r>
          </w:p>
        </w:tc>
        <w:tc>
          <w:tcPr>
            <w:tcW w:w="581" w:type="dxa"/>
          </w:tcPr>
          <w:p>
            <w:pPr>
              <w:pStyle w:val="TableParagraph"/>
              <w:spacing w:line="225" w:lineRule="auto" w:before="5"/>
              <w:ind w:left="108" w:right="25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1" w:type="dxa"/>
          </w:tcPr>
          <w:p>
            <w:pPr>
              <w:pStyle w:val="TableParagraph"/>
              <w:ind w:left="109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49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2" w:val="left" w:leader="none"/>
              </w:tabs>
              <w:spacing w:line="225" w:lineRule="auto" w:before="5" w:after="0"/>
              <w:ind w:left="109" w:right="120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易燃蒸氣已</w:t>
            </w:r>
            <w:r>
              <w:rPr>
                <w:sz w:val="20"/>
              </w:rPr>
              <w:t>達燃燒範圍。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2" w:val="left" w:leader="none"/>
              </w:tabs>
              <w:spacing w:line="225" w:lineRule="auto" w:before="0" w:after="0"/>
              <w:ind w:left="109" w:right="120" w:firstLine="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發電機排氣</w:t>
            </w:r>
            <w:r>
              <w:rPr>
                <w:sz w:val="20"/>
              </w:rPr>
              <w:t>管為有效熱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源。</w:t>
            </w:r>
          </w:p>
        </w:tc>
        <w:tc>
          <w:tcPr>
            <w:tcW w:w="1644" w:type="dxa"/>
          </w:tcPr>
          <w:p>
            <w:pPr>
              <w:pStyle w:val="TableParagraph"/>
              <w:spacing w:line="225" w:lineRule="auto" w:before="5"/>
              <w:ind w:left="111" w:right="120"/>
              <w:rPr>
                <w:sz w:val="20"/>
              </w:rPr>
            </w:pPr>
            <w:r>
              <w:rPr>
                <w:sz w:val="20"/>
              </w:rPr>
              <w:t>安全作業標準或訓練不足 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1037" w:hRule="atLeast"/>
        </w:trPr>
        <w:tc>
          <w:tcPr>
            <w:tcW w:w="1231" w:type="dxa"/>
          </w:tcPr>
          <w:p>
            <w:pPr>
              <w:pStyle w:val="TableParagraph"/>
              <w:spacing w:line="225" w:lineRule="auto" w:before="4"/>
              <w:ind w:right="86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15 </w:t>
            </w:r>
            <w:r>
              <w:rPr>
                <w:sz w:val="20"/>
              </w:rPr>
              <w:t>時 </w:t>
            </w:r>
            <w:r>
              <w:rPr>
                <w:rFonts w:ascii="Segoe UI" w:eastAsia="Segoe UI"/>
                <w:sz w:val="20"/>
              </w:rPr>
              <w:t>25 </w:t>
            </w:r>
            <w:r>
              <w:rPr>
                <w:sz w:val="20"/>
              </w:rPr>
              <w:t>分許</w:t>
            </w:r>
          </w:p>
        </w:tc>
        <w:tc>
          <w:tcPr>
            <w:tcW w:w="2493" w:type="dxa"/>
          </w:tcPr>
          <w:p>
            <w:pPr>
              <w:pStyle w:val="TableParagraph"/>
              <w:spacing w:line="225" w:lineRule="auto" w:before="4"/>
              <w:ind w:left="108" w:right="172"/>
              <w:rPr>
                <w:sz w:val="20"/>
              </w:rPr>
            </w:pPr>
            <w:r>
              <w:rPr>
                <w:sz w:val="20"/>
              </w:rPr>
              <w:t>火勢引燃汽油液體及後車廂內可燃物。</w:t>
            </w:r>
          </w:p>
        </w:tc>
        <w:tc>
          <w:tcPr>
            <w:tcW w:w="581" w:type="dxa"/>
          </w:tcPr>
          <w:p>
            <w:pPr>
              <w:pStyle w:val="TableParagraph"/>
              <w:spacing w:line="225" w:lineRule="auto" w:before="4"/>
              <w:ind w:left="108" w:right="25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1" w:type="dxa"/>
          </w:tcPr>
          <w:p>
            <w:pPr>
              <w:pStyle w:val="TableParagraph"/>
              <w:ind w:left="109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492" w:type="dxa"/>
          </w:tcPr>
          <w:p>
            <w:pPr>
              <w:pStyle w:val="TableParagraph"/>
              <w:spacing w:line="225" w:lineRule="auto" w:before="4"/>
              <w:ind w:left="109" w:right="169"/>
              <w:rPr>
                <w:sz w:val="20"/>
              </w:rPr>
            </w:pPr>
            <w:r>
              <w:rPr>
                <w:sz w:val="20"/>
              </w:rPr>
              <w:t>車廂內可能存放其他可燃物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644" w:type="dxa"/>
          </w:tcPr>
          <w:p>
            <w:pPr>
              <w:pStyle w:val="TableParagraph"/>
              <w:spacing w:line="345" w:lineRule="exact"/>
              <w:ind w:left="111"/>
              <w:rPr>
                <w:sz w:val="20"/>
              </w:rPr>
            </w:pPr>
            <w:r>
              <w:rPr>
                <w:sz w:val="20"/>
              </w:rPr>
              <w:t>未落實工作場所</w:t>
            </w:r>
          </w:p>
          <w:p>
            <w:pPr>
              <w:pStyle w:val="TableParagraph"/>
              <w:spacing w:line="346" w:lineRule="exact"/>
              <w:ind w:left="11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5S </w:t>
            </w:r>
            <w:r>
              <w:rPr>
                <w:sz w:val="20"/>
              </w:rPr>
              <w:t>管理 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6" w:lineRule="exact"/>
              <w:ind w:left="111"/>
              <w:rPr>
                <w:sz w:val="20"/>
              </w:rPr>
            </w:pPr>
            <w:r>
              <w:rPr>
                <w:sz w:val="20"/>
              </w:rPr>
              <w:t>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1384" w:hRule="atLeast"/>
        </w:trPr>
        <w:tc>
          <w:tcPr>
            <w:tcW w:w="123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事故後</w:t>
            </w:r>
          </w:p>
        </w:tc>
        <w:tc>
          <w:tcPr>
            <w:tcW w:w="2493" w:type="dxa"/>
          </w:tcPr>
          <w:p>
            <w:pPr>
              <w:pStyle w:val="TableParagraph"/>
              <w:spacing w:line="225" w:lineRule="auto" w:before="4"/>
              <w:ind w:right="139"/>
              <w:jc w:val="both"/>
              <w:rPr>
                <w:sz w:val="20"/>
              </w:rPr>
            </w:pPr>
            <w:r>
              <w:rPr>
                <w:sz w:val="20"/>
              </w:rPr>
              <w:t>李員因臉、軀幹、四肢等全身約 </w:t>
            </w:r>
            <w:r>
              <w:rPr>
                <w:rFonts w:ascii="Segoe UI" w:eastAsia="Segoe UI"/>
                <w:sz w:val="20"/>
              </w:rPr>
              <w:t>66%</w:t>
            </w:r>
            <w:r>
              <w:rPr>
                <w:sz w:val="20"/>
              </w:rPr>
              <w:t>體表面積 </w:t>
            </w:r>
            <w:r>
              <w:rPr>
                <w:rFonts w:ascii="Segoe UI" w:eastAsia="Segoe UI"/>
                <w:sz w:val="20"/>
              </w:rPr>
              <w:t>2~3 </w:t>
            </w:r>
            <w:r>
              <w:rPr>
                <w:sz w:val="20"/>
              </w:rPr>
              <w:t>度燒傷，住院治療後仍因</w:t>
            </w:r>
          </w:p>
          <w:p>
            <w:pPr>
              <w:pStyle w:val="TableParagraph"/>
              <w:spacing w:line="323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傷重不治死亡。</w:t>
            </w:r>
          </w:p>
        </w:tc>
        <w:tc>
          <w:tcPr>
            <w:tcW w:w="581" w:type="dxa"/>
          </w:tcPr>
          <w:p>
            <w:pPr>
              <w:pStyle w:val="TableParagraph"/>
              <w:spacing w:line="225" w:lineRule="auto" w:before="4"/>
              <w:ind w:left="108" w:right="25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1" w:type="dxa"/>
          </w:tcPr>
          <w:p>
            <w:pPr>
              <w:pStyle w:val="TableParagraph"/>
              <w:ind w:left="109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49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62" w:val="left" w:leader="none"/>
              </w:tabs>
              <w:spacing w:line="225" w:lineRule="auto" w:before="4" w:after="0"/>
              <w:ind w:left="109" w:right="120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火勢迅速猛</w:t>
            </w:r>
            <w:r>
              <w:rPr>
                <w:sz w:val="20"/>
              </w:rPr>
              <w:t>烈。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2" w:val="left" w:leader="none"/>
              </w:tabs>
              <w:spacing w:line="353" w:lineRule="exact" w:before="0" w:after="0"/>
              <w:ind w:left="361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逃生不及。</w:t>
            </w:r>
          </w:p>
        </w:tc>
        <w:tc>
          <w:tcPr>
            <w:tcW w:w="1644" w:type="dxa"/>
          </w:tcPr>
          <w:p>
            <w:pPr>
              <w:pStyle w:val="TableParagraph"/>
              <w:spacing w:line="225" w:lineRule="auto" w:before="4"/>
              <w:ind w:left="111" w:right="120"/>
              <w:rPr>
                <w:sz w:val="20"/>
              </w:rPr>
            </w:pPr>
            <w:r>
              <w:rPr>
                <w:sz w:val="20"/>
              </w:rPr>
              <w:t>未規劃緊急應變程序與逃生路線</w:t>
            </w:r>
          </w:p>
          <w:p>
            <w:pPr>
              <w:pStyle w:val="TableParagraph"/>
              <w:spacing w:line="353" w:lineRule="exact"/>
              <w:ind w:left="11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</w:tbl>
    <w:p>
      <w:pPr>
        <w:pStyle w:val="BodyText"/>
        <w:spacing w:before="4"/>
        <w:rPr>
          <w:sz w:val="23"/>
        </w:rPr>
      </w:pPr>
      <w:r>
        <w:rPr/>
        <w:pict>
          <v:group style="position:absolute;margin-left:90pt;margin-top:23.34pt;width:415.35pt;height:.8pt;mso-position-horizontal-relative:page;mso-position-vertical-relative:paragraph;z-index:-952;mso-wrap-distance-left:0;mso-wrap-distance-right:0" coordorigin="1800,467" coordsize="8307,16">
            <v:line style="position:absolute" from="1800,475" to="10106,475" stroked="true" strokeweight=".8pt" strokecolor="#9f9f9f">
              <v:stroke dashstyle="solid"/>
            </v:line>
            <v:rect style="position:absolute;left:1800;top:466;width:5;height:5" filled="true" fillcolor="#9f9f9f" stroked="false">
              <v:fill type="solid"/>
            </v:rect>
            <v:rect style="position:absolute;left:1800;top:466;width:5;height:5" filled="true" fillcolor="#9f9f9f" stroked="false">
              <v:fill type="solid"/>
            </v:rect>
            <v:line style="position:absolute" from="1805,469" to="10102,469" stroked="true" strokeweight=".24pt" strokecolor="#9f9f9f">
              <v:stroke dashstyle="solid"/>
            </v:line>
            <v:rect style="position:absolute;left:10101;top:466;width:5;height:5" filled="true" fillcolor="#e2e2e2" stroked="false">
              <v:fill type="solid"/>
            </v:rect>
            <v:rect style="position:absolute;left:10101;top:466;width:5;height:5" filled="true" fillcolor="#9f9f9f" stroked="false">
              <v:fill type="solid"/>
            </v:rect>
            <v:rect style="position:absolute;left:1800;top:471;width:5;height:6" filled="true" fillcolor="#9f9f9f" stroked="false">
              <v:fill type="solid"/>
            </v:rect>
            <v:rect style="position:absolute;left:10101;top:471;width:5;height:6" filled="true" fillcolor="#e2e2e2" stroked="false">
              <v:fill type="solid"/>
            </v:rect>
            <v:rect style="position:absolute;left:1800;top:477;width:5;height:5" filled="true" fillcolor="#9f9f9f" stroked="false">
              <v:fill type="solid"/>
            </v:rect>
            <v:rect style="position:absolute;left:1800;top:477;width:5;height:5" filled="true" fillcolor="#e2e2e2" stroked="false">
              <v:fill type="solid"/>
            </v:rect>
            <v:line style="position:absolute" from="1805,480" to="10102,480" stroked="true" strokeweight=".24pt" strokecolor="#e2e2e2">
              <v:stroke dashstyle="solid"/>
            </v:line>
            <v:rect style="position:absolute;left:10101;top:477;width:5;height:5" filled="true" fillcolor="#e2e2e2" stroked="false">
              <v:fill type="solid"/>
            </v:rect>
            <v:rect style="position:absolute;left:10101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2"/>
        <w:spacing w:line="428" w:lineRule="exact"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 Tree)</w:t>
      </w:r>
    </w:p>
    <w:p>
      <w:pPr>
        <w:pStyle w:val="BodyText"/>
        <w:spacing w:line="225" w:lineRule="auto" w:before="6"/>
        <w:ind w:left="120" w:right="264"/>
      </w:pPr>
      <w:r>
        <w:rPr/>
        <w:t>本分析從最終的傷害事件開始，透過不斷追問「為什麼」來探究事件的根本原因。</w:t>
      </w:r>
    </w:p>
    <w:p>
      <w:pPr>
        <w:spacing w:after="0" w:line="225" w:lineRule="auto"/>
        <w:sectPr>
          <w:pgSz w:w="11910" w:h="16840"/>
          <w:pgMar w:top="1420" w:bottom="280" w:left="1680" w:right="1680"/>
        </w:sectPr>
      </w:pPr>
    </w:p>
    <w:p>
      <w:pPr>
        <w:pStyle w:val="BodyText"/>
        <w:ind w:left="2305"/>
        <w:rPr>
          <w:sz w:val="20"/>
        </w:rPr>
      </w:pPr>
      <w:r>
        <w:rPr>
          <w:sz w:val="20"/>
        </w:rPr>
        <w:pict>
          <v:group style="width:94.1pt;height:84.35pt;mso-position-horizontal-relative:char;mso-position-vertical-relative:line" coordorigin="0,0" coordsize="1882,1687">
            <v:shape style="position:absolute;left:300;top:0;width:1428;height:1046" type="#_x0000_t75" stroked="false">
              <v:imagedata r:id="rId6" o:title=""/>
            </v:shape>
            <v:line style="position:absolute" from="7,1673" to="7,1087" stroked="true" strokeweight=".699568pt" strokecolor="#000000">
              <v:stroke dashstyle="solid"/>
            </v:line>
            <v:line style="position:absolute" from="7,1087" to="1882,1087" stroked="true" strokeweight=".697087pt" strokecolor="#000000">
              <v:stroke dashstyle="solid"/>
            </v:line>
            <v:line style="position:absolute" from="7,1673" to="1882,1673" stroked="true" strokeweight=".697087pt" strokecolor="#000000">
              <v:stroke dashstyle="solid"/>
            </v:line>
            <v:line style="position:absolute" from="1868,1687" to="1868,1074" stroked="true" strokeweight="1.399135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7"/>
        </w:rPr>
      </w:pPr>
    </w:p>
    <w:p>
      <w:pPr>
        <w:pStyle w:val="Heading1"/>
        <w:ind w:right="1919"/>
      </w:pPr>
      <w:r>
        <w:rPr/>
        <w:pict>
          <v:group style="position:absolute;margin-left:198.94632pt;margin-top:-76.258949pt;width:105.65pt;height:84pt;mso-position-horizontal-relative:page;mso-position-vertical-relative:paragraph;z-index:-23728" coordorigin="3979,-1525" coordsize="2113,1680">
            <v:shape style="position:absolute;left:1716;top:9953;width:2091;height:596" coordorigin="1717,9954" coordsize="2091,596" path="m3993,-459l6092,-459m3993,141l3993,-459m3979,141l6092,141e" filled="false" stroked="true" strokeweight="1.396654pt" strokecolor="#000000">
              <v:path arrowok="t"/>
              <v:stroke dashstyle="solid"/>
            </v:shape>
            <v:line style="position:absolute" from="5854,155" to="5854,-473" stroked="true" strokeweight=".69956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78;top:-975;width:2113;height:1129" type="#_x0000_t202" filled="false" stroked="false">
              <v:textbox inset="0,0,0,0">
                <w:txbxContent>
                  <w:p>
                    <w:pPr>
                      <w:spacing w:line="657" w:lineRule="exact" w:before="0"/>
                      <w:ind w:left="0" w:right="83" w:firstLine="0"/>
                      <w:jc w:val="center"/>
                      <w:rPr>
                        <w:rFonts w:ascii="Times New Roman"/>
                        <w:sz w:val="59"/>
                      </w:rPr>
                    </w:pPr>
                    <w:r>
                      <w:rPr>
                        <w:rFonts w:ascii="Times New Roman"/>
                        <w:color w:val="111113"/>
                        <w:w w:val="60"/>
                        <w:sz w:val="59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4006;top:-445;width:1840;height:572" type="#_x0000_t202" filled="false" stroked="false">
              <v:textbox inset="0,0,0,0">
                <w:txbxContent>
                  <w:p>
                    <w:pPr>
                      <w:spacing w:before="157"/>
                      <w:ind w:left="216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726B85"/>
                        <w:sz w:val="24"/>
                      </w:rPr>
                      <w:t>l!i</w:t>
                    </w:r>
                    <w:r>
                      <w:rPr>
                        <w:rFonts w:ascii="Arial"/>
                        <w:color w:val="504D64"/>
                        <w:sz w:val="23"/>
                      </w:rPr>
                      <w:t>lll lll </w:t>
                    </w:r>
                    <w:r>
                      <w:rPr>
                        <w:rFonts w:ascii="Arial"/>
                        <w:color w:val="726B85"/>
                        <w:sz w:val="23"/>
                      </w:rPr>
                      <w:t>ffii </w:t>
                    </w:r>
                    <w:r>
                      <w:rPr>
                        <w:rFonts w:ascii="Times New Roman"/>
                        <w:color w:val="726B85"/>
                        <w:sz w:val="25"/>
                      </w:rPr>
                      <w:t>*mit1t</w:t>
                    </w:r>
                  </w:p>
                </w:txbxContent>
              </v:textbox>
              <w10:wrap type="none"/>
            </v:shape>
            <v:shape style="position:absolute;left:3999;top:-1526;width:1840;height:572" type="#_x0000_t202" filled="false" stroked="false">
              <v:textbox inset="0,0,0,0">
                <w:txbxContent>
                  <w:p>
                    <w:pPr>
                      <w:spacing w:before="153"/>
                      <w:ind w:left="313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726B85"/>
                        <w:spacing w:val="-9"/>
                        <w:w w:val="105"/>
                        <w:sz w:val="23"/>
                      </w:rPr>
                      <w:t>iE</w:t>
                    </w:r>
                    <w:r>
                      <w:rPr>
                        <w:rFonts w:ascii="Arial"/>
                        <w:color w:val="504D64"/>
                        <w:spacing w:val="-9"/>
                        <w:w w:val="105"/>
                        <w:sz w:val="23"/>
                      </w:rPr>
                      <w:t>!} </w:t>
                    </w:r>
                    <w:r>
                      <w:rPr>
                        <w:rFonts w:ascii="Arial"/>
                        <w:color w:val="726B85"/>
                        <w:spacing w:val="-3"/>
                        <w:w w:val="105"/>
                        <w:sz w:val="23"/>
                      </w:rPr>
                      <w:t>;l(:iffiffitll</w:t>
                    </w:r>
                    <w:r>
                      <w:rPr>
                        <w:rFonts w:ascii="Arial"/>
                        <w:color w:val="7B4477"/>
                        <w:spacing w:val="-3"/>
                        <w:w w:val="105"/>
                        <w:sz w:val="23"/>
                      </w:rPr>
                      <w:t>f</w:t>
                    </w:r>
                    <w:r>
                      <w:rPr>
                        <w:rFonts w:ascii="Arial"/>
                        <w:color w:val="726B85"/>
                        <w:spacing w:val="-3"/>
                        <w:w w:val="105"/>
                        <w:sz w:val="23"/>
                      </w:rPr>
                      <w:t>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8.103012pt;margin-top:30.743853pt;width:222.15pt;height:43.95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1"/>
                    <w:gridCol w:w="742"/>
                    <w:gridCol w:w="168"/>
                    <w:gridCol w:w="1945"/>
                  </w:tblGrid>
                  <w:tr>
                    <w:trPr>
                      <w:trHeight w:val="569" w:hRule="atLeast"/>
                    </w:trPr>
                    <w:tc>
                      <w:tcPr>
                        <w:tcW w:w="2323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015" w:val="left" w:leader="none"/>
                          </w:tabs>
                          <w:spacing w:before="159"/>
                          <w:ind w:left="26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726B85"/>
                            <w:spacing w:val="4"/>
                            <w:sz w:val="22"/>
                          </w:rPr>
                          <w:t>;</w:t>
                        </w:r>
                        <w:r>
                          <w:rPr>
                            <w:rFonts w:ascii="Arial"/>
                            <w:color w:val="504D64"/>
                            <w:spacing w:val="4"/>
                            <w:sz w:val="22"/>
                          </w:rPr>
                          <w:t>"i</w:t>
                        </w:r>
                        <w:r>
                          <w:rPr>
                            <w:rFonts w:ascii="Arial"/>
                            <w:color w:val="504D64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color w:val="726B85"/>
                            <w:spacing w:val="3"/>
                            <w:sz w:val="22"/>
                          </w:rPr>
                          <w:t>;III</w:t>
                          <w:tab/>
                        </w:r>
                        <w:r>
                          <w:rPr>
                            <w:rFonts w:ascii="Arial"/>
                            <w:color w:val="726B85"/>
                            <w:spacing w:val="-12"/>
                            <w:sz w:val="23"/>
                          </w:rPr>
                          <w:t>H!</w:t>
                        </w:r>
                        <w:r>
                          <w:rPr>
                            <w:rFonts w:ascii="Arial"/>
                            <w:color w:val="504D64"/>
                            <w:spacing w:val="-12"/>
                            <w:sz w:val="23"/>
                          </w:rPr>
                          <w:t>Mi</w:t>
                        </w:r>
                        <w:r>
                          <w:rPr>
                            <w:rFonts w:ascii="Arial"/>
                            <w:color w:val="504D64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color w:val="726B85"/>
                            <w:spacing w:val="-8"/>
                            <w:sz w:val="20"/>
                          </w:rPr>
                          <w:t>;Ei</w:t>
                        </w:r>
                        <w:r>
                          <w:rPr>
                            <w:rFonts w:ascii="Arial"/>
                            <w:color w:val="504D64"/>
                            <w:spacing w:val="-8"/>
                            <w:sz w:val="22"/>
                          </w:rPr>
                          <w:t>5</w:t>
                        </w:r>
                        <w:r>
                          <w:rPr>
                            <w:rFonts w:ascii="Arial"/>
                            <w:color w:val="9E4D62"/>
                            <w:spacing w:val="-8"/>
                            <w:sz w:val="22"/>
                          </w:rPr>
                          <w:t>1</w:t>
                        </w:r>
                        <w:r>
                          <w:rPr>
                            <w:rFonts w:ascii="Arial"/>
                            <w:color w:val="726B85"/>
                            <w:spacing w:val="-8"/>
                            <w:sz w:val="18"/>
                          </w:rPr>
                          <w:t>It,!</w:t>
                        </w:r>
                      </w:p>
                    </w:tc>
                    <w:tc>
                      <w:tcPr>
                        <w:tcW w:w="168" w:type="dxa"/>
                        <w:tcBorders>
                          <w:left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94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581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10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945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11113"/>
          <w:w w:val="60"/>
        </w:rPr>
        <w:t>+</w:t>
      </w:r>
    </w:p>
    <w:p>
      <w:pPr>
        <w:tabs>
          <w:tab w:pos="5651" w:val="left" w:leader="none"/>
        </w:tabs>
        <w:spacing w:before="270"/>
        <w:ind w:left="2900" w:right="0" w:firstLine="0"/>
        <w:jc w:val="left"/>
        <w:rPr>
          <w:rFonts w:ascii="Times New Roman"/>
          <w:sz w:val="19"/>
        </w:rPr>
      </w:pPr>
      <w:r>
        <w:rPr/>
        <w:pict>
          <v:shape style="position:absolute;margin-left:62.30769pt;margin-top:351.892822pt;width:107.35pt;height:30.5pt;mso-position-horizontal-relative:page;mso-position-vertical-relative:paragraph;z-index:-23704" coordorigin="1246,7038" coordsize="2147,610" path="m3517,960l5658,960m3517,1546l3517,960m3503,1546l5672,1546m5658,1560l5658,946e" filled="false" stroked="true" strokeweight="1.396654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04.231262pt;margin-top:47.314762pt;width:129.1pt;height:30.7pt;mso-position-horizontal-relative:page;mso-position-vertical-relative:paragraph;z-index:-23656" coordorigin="6085,946" coordsize="2582,614">
            <v:line style="position:absolute" from="6092,960" to="8652,960" stroked="true" strokeweight="1.394173pt" strokecolor="#000000">
              <v:stroke dashstyle="solid"/>
            </v:line>
            <v:shape style="position:absolute;left:3807;top:7051;width:2548;height:582" coordorigin="3808,7052" coordsize="2548,582" path="m6092,1546l6092,960m6092,1546l8666,1546e" filled="false" stroked="true" strokeweight=".698328pt" strokecolor="#000000">
              <v:path arrowok="t"/>
              <v:stroke dashstyle="solid"/>
            </v:shape>
            <v:line style="position:absolute" from="8652,1560" to="8652,946" stroked="true" strokeweight="1.399135pt" strokecolor="#000000">
              <v:stroke dashstyle="solid"/>
            </v:line>
            <v:shape style="position:absolute;left:6098;top:974;width:2540;height:565" type="#_x0000_t202" filled="false" stroked="false">
              <v:textbox inset="0,0,0,0">
                <w:txbxContent>
                  <w:p>
                    <w:pPr>
                      <w:tabs>
                        <w:tab w:pos="828" w:val="left" w:leader="none"/>
                        <w:tab w:pos="1601" w:val="left" w:leader="none"/>
                      </w:tabs>
                      <w:spacing w:before="138"/>
                      <w:ind w:left="269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726B85"/>
                        <w:sz w:val="22"/>
                      </w:rPr>
                      <w:t>tr</w:t>
                      <w:tab/>
                    </w:r>
                    <w:r>
                      <w:rPr>
                        <w:rFonts w:ascii="Arial"/>
                        <w:color w:val="705B64"/>
                        <w:spacing w:val="-10"/>
                        <w:sz w:val="22"/>
                      </w:rPr>
                      <w:t>U</w:t>
                    </w:r>
                    <w:r>
                      <w:rPr>
                        <w:rFonts w:ascii="Arial"/>
                        <w:color w:val="918E9C"/>
                        <w:spacing w:val="-10"/>
                        <w:sz w:val="22"/>
                      </w:rPr>
                      <w:t>t</w:t>
                      <w:tab/>
                    </w:r>
                    <w:r>
                      <w:rPr>
                        <w:rFonts w:ascii="Arial"/>
                        <w:color w:val="504D64"/>
                        <w:spacing w:val="-7"/>
                        <w:w w:val="95"/>
                        <w:sz w:val="22"/>
                      </w:rPr>
                      <w:t>ilii</w:t>
                    </w:r>
                    <w:r>
                      <w:rPr>
                        <w:rFonts w:ascii="Times New Roman"/>
                        <w:color w:val="726B85"/>
                        <w:spacing w:val="-7"/>
                        <w:w w:val="95"/>
                        <w:sz w:val="24"/>
                      </w:rPr>
                      <w:t>;</w:t>
                    </w:r>
                    <w:r>
                      <w:rPr>
                        <w:rFonts w:ascii="Times New Roman"/>
                        <w:color w:val="726B85"/>
                        <w:spacing w:val="-4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726B85"/>
                        <w:spacing w:val="-4"/>
                        <w:w w:val="95"/>
                        <w:sz w:val="24"/>
                      </w:rPr>
                      <w:t>1.11</w:t>
                    </w:r>
                    <w:r>
                      <w:rPr>
                        <w:rFonts w:ascii="Arial"/>
                        <w:color w:val="726B85"/>
                        <w:spacing w:val="-4"/>
                        <w:w w:val="95"/>
                        <w:sz w:val="20"/>
                      </w:rPr>
                      <w:t>;Ji;i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115"/>
          <w:sz w:val="59"/>
        </w:rPr>
        <w:t>.;</w:t>
        <w:tab/>
      </w:r>
      <w:r>
        <w:rPr>
          <w:rFonts w:ascii="Times New Roman"/>
          <w:w w:val="115"/>
          <w:position w:val="-7"/>
          <w:sz w:val="19"/>
        </w:rPr>
        <w:t>T</w:t>
      </w:r>
    </w:p>
    <w:p>
      <w:pPr>
        <w:spacing w:line="255" w:lineRule="exact" w:before="164"/>
        <w:ind w:left="2060" w:right="0" w:firstLine="0"/>
        <w:jc w:val="left"/>
        <w:rPr>
          <w:rFonts w:ascii="Arial"/>
          <w:sz w:val="23"/>
        </w:rPr>
      </w:pPr>
      <w:r>
        <w:rPr>
          <w:rFonts w:ascii="Arial"/>
          <w:color w:val="504D64"/>
          <w:w w:val="115"/>
          <w:sz w:val="22"/>
        </w:rPr>
        <w:t>ilii </w:t>
      </w:r>
      <w:r>
        <w:rPr>
          <w:rFonts w:ascii="Arial"/>
          <w:color w:val="726B85"/>
          <w:w w:val="115"/>
          <w:sz w:val="23"/>
        </w:rPr>
        <w:t>!ff</w:t>
      </w:r>
      <w:r>
        <w:rPr>
          <w:rFonts w:ascii="Arial"/>
          <w:color w:val="726B85"/>
          <w:w w:val="115"/>
          <w:sz w:val="22"/>
        </w:rPr>
        <w:t>;</w:t>
      </w:r>
      <w:r>
        <w:rPr>
          <w:rFonts w:ascii="Arial"/>
          <w:color w:val="504D64"/>
          <w:w w:val="115"/>
          <w:sz w:val="22"/>
        </w:rPr>
        <w:t>"i</w:t>
      </w:r>
      <w:r>
        <w:rPr>
          <w:rFonts w:ascii="Arial"/>
          <w:color w:val="726B85"/>
          <w:w w:val="115"/>
          <w:sz w:val="22"/>
        </w:rPr>
        <w:t>;Ill</w:t>
      </w:r>
      <w:r>
        <w:rPr>
          <w:rFonts w:ascii="Times New Roman"/>
          <w:color w:val="726B85"/>
          <w:w w:val="115"/>
          <w:sz w:val="24"/>
        </w:rPr>
        <w:t>iil </w:t>
      </w:r>
      <w:r>
        <w:rPr>
          <w:rFonts w:ascii="Arial"/>
          <w:color w:val="726B85"/>
          <w:w w:val="115"/>
          <w:sz w:val="23"/>
        </w:rPr>
        <w:t>ffi</w:t>
      </w:r>
    </w:p>
    <w:p>
      <w:pPr>
        <w:tabs>
          <w:tab w:pos="1426" w:val="left" w:leader="none"/>
          <w:tab w:pos="3534" w:val="left" w:leader="none"/>
        </w:tabs>
        <w:spacing w:line="658" w:lineRule="exact" w:before="0"/>
        <w:ind w:left="0" w:right="2632" w:firstLine="0"/>
        <w:jc w:val="center"/>
        <w:rPr>
          <w:rFonts w:ascii="Times New Roman"/>
          <w:sz w:val="27"/>
        </w:rPr>
      </w:pPr>
      <w:r>
        <w:rPr/>
        <w:pict>
          <v:group style="position:absolute;margin-left:139.483047pt;margin-top:29.452717pt;width:144.15pt;height:34.550pt;mso-position-horizontal-relative:page;mso-position-vertical-relative:paragraph;z-index:-23608" coordorigin="2790,589" coordsize="2883,691">
            <v:shape style="position:absolute;left:2146;top:4589;width:1233;height:679" coordorigin="2146,4590" coordsize="1233,679" path="m4413,596l5658,596m5658,1279l5658,596e" filled="false" stroked="true" strokeweight=".698328pt" strokecolor="#000000">
              <v:path arrowok="t"/>
              <v:stroke dashstyle="solid"/>
            </v:shape>
            <v:line style="position:absolute" from="2790,1265" to="5672,1265" stroked="true" strokeweight="1.394173pt" strokecolor="#000000">
              <v:stroke dashstyle="solid"/>
            </v:line>
            <v:shape style="position:absolute;left:2789;top:589;width:2883;height:691" type="#_x0000_t202" filled="false" stroked="false">
              <v:textbox inset="0,0,0,0">
                <w:txbxContent>
                  <w:p>
                    <w:pPr>
                      <w:tabs>
                        <w:tab w:pos="2112" w:val="left" w:leader="none"/>
                      </w:tabs>
                      <w:spacing w:before="167"/>
                      <w:ind w:left="205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Arial" w:hAnsi="Arial"/>
                        <w:color w:val="726B85"/>
                        <w:spacing w:val="14"/>
                        <w:w w:val="58"/>
                        <w:sz w:val="22"/>
                      </w:rPr>
                      <w:t>;</w:t>
                    </w:r>
                    <w:r>
                      <w:rPr>
                        <w:rFonts w:ascii="Arial" w:hAnsi="Arial"/>
                        <w:color w:val="504D64"/>
                        <w:spacing w:val="-1"/>
                        <w:w w:val="58"/>
                        <w:sz w:val="22"/>
                      </w:rPr>
                      <w:t>"</w:t>
                    </w:r>
                    <w:r>
                      <w:rPr>
                        <w:rFonts w:ascii="Arial" w:hAnsi="Arial"/>
                        <w:color w:val="504D64"/>
                        <w:w w:val="58"/>
                        <w:sz w:val="22"/>
                      </w:rPr>
                      <w:t>i</w:t>
                    </w:r>
                    <w:r>
                      <w:rPr>
                        <w:rFonts w:ascii="Arial" w:hAnsi="Arial"/>
                        <w:color w:val="504D64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726B85"/>
                        <w:w w:val="58"/>
                        <w:sz w:val="22"/>
                      </w:rPr>
                      <w:t>;</w:t>
                    </w:r>
                    <w:r>
                      <w:rPr>
                        <w:rFonts w:ascii="Arial" w:hAnsi="Arial"/>
                        <w:color w:val="726B85"/>
                        <w:spacing w:val="-1"/>
                        <w:w w:val="46"/>
                        <w:sz w:val="22"/>
                      </w:rPr>
                      <w:t>11</w:t>
                    </w:r>
                    <w:r>
                      <w:rPr>
                        <w:rFonts w:ascii="Arial" w:hAnsi="Arial"/>
                        <w:color w:val="726B85"/>
                        <w:spacing w:val="-28"/>
                        <w:w w:val="46"/>
                        <w:sz w:val="22"/>
                      </w:rPr>
                      <w:t>1</w:t>
                    </w:r>
                    <w:r>
                      <w:rPr>
                        <w:rFonts w:ascii="Arial" w:hAnsi="Arial"/>
                        <w:color w:val="504D64"/>
                        <w:w w:val="75"/>
                        <w:sz w:val="22"/>
                      </w:rPr>
                      <w:t>-lffi</w:t>
                    </w:r>
                    <w:r>
                      <w:rPr>
                        <w:rFonts w:ascii="Arial" w:hAnsi="Arial"/>
                        <w:color w:val="504D64"/>
                        <w:sz w:val="22"/>
                      </w:rPr>
                      <w:t>  </w:t>
                    </w:r>
                    <w:r>
                      <w:rPr>
                        <w:rFonts w:ascii="Arial" w:hAnsi="Arial"/>
                        <w:color w:val="504D64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726B85"/>
                        <w:spacing w:val="-1"/>
                        <w:w w:val="116"/>
                        <w:sz w:val="22"/>
                      </w:rPr>
                      <w:t>ili</w:t>
                    </w:r>
                    <w:r>
                      <w:rPr>
                        <w:rFonts w:ascii="Arial" w:hAnsi="Arial"/>
                        <w:color w:val="726B85"/>
                        <w:spacing w:val="-32"/>
                        <w:w w:val="116"/>
                        <w:sz w:val="22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726B85"/>
                        <w:spacing w:val="-1"/>
                        <w:w w:val="115"/>
                        <w:sz w:val="22"/>
                      </w:rPr>
                      <w:t>;E!.ll</w:t>
                    </w:r>
                    <w:r>
                      <w:rPr>
                        <w:rFonts w:ascii="Times New Roman" w:hAnsi="Times New Roman"/>
                        <w:color w:val="726B85"/>
                        <w:w w:val="115"/>
                        <w:sz w:val="22"/>
                      </w:rPr>
                      <w:t>l</w:t>
                    </w:r>
                    <w:r>
                      <w:rPr>
                        <w:rFonts w:ascii="Times New Roman" w:hAnsi="Times New Roman"/>
                        <w:color w:val="726B85"/>
                        <w:sz w:val="22"/>
                      </w:rPr>
                      <w:tab/>
                    </w:r>
                    <w:r>
                      <w:rPr>
                        <w:rFonts w:ascii="Arial" w:hAnsi="Arial"/>
                        <w:color w:val="504D64"/>
                        <w:spacing w:val="-38"/>
                        <w:w w:val="101"/>
                        <w:sz w:val="22"/>
                      </w:rPr>
                      <w:t>r</w:t>
                    </w:r>
                    <w:r>
                      <w:rPr>
                        <w:rFonts w:ascii="Arial" w:hAnsi="Arial"/>
                        <w:color w:val="504D64"/>
                        <w:spacing w:val="-1"/>
                        <w:w w:val="101"/>
                        <w:sz w:val="22"/>
                      </w:rPr>
                      <w:t>.l</w:t>
                    </w:r>
                    <w:r>
                      <w:rPr>
                        <w:rFonts w:ascii="Arial" w:hAnsi="Arial"/>
                        <w:color w:val="504D64"/>
                        <w:spacing w:val="-25"/>
                        <w:w w:val="101"/>
                        <w:sz w:val="22"/>
                      </w:rPr>
                      <w:t>l</w:t>
                    </w:r>
                    <w:r>
                      <w:rPr>
                        <w:rFonts w:ascii="Arial" w:hAnsi="Arial"/>
                        <w:color w:val="504D64"/>
                        <w:spacing w:val="-1"/>
                        <w:w w:val="46"/>
                        <w:sz w:val="22"/>
                      </w:rPr>
                      <w:t>1.</w:t>
                    </w:r>
                    <w:r>
                      <w:rPr>
                        <w:rFonts w:ascii="Arial" w:hAnsi="Arial"/>
                        <w:color w:val="504D64"/>
                        <w:spacing w:val="-44"/>
                        <w:w w:val="46"/>
                        <w:sz w:val="22"/>
                      </w:rPr>
                      <w:t>1</w:t>
                    </w:r>
                    <w:r>
                      <w:rPr>
                        <w:rFonts w:ascii="Arial" w:hAnsi="Arial"/>
                        <w:color w:val="504D64"/>
                        <w:spacing w:val="-33"/>
                        <w:w w:val="64"/>
                        <w:sz w:val="32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726B85"/>
                        <w:w w:val="51"/>
                        <w:sz w:val="24"/>
                      </w:rPr>
                      <w:t>1.11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3.8815pt;margin-top:29.104174pt;width:146.950pt;height:34.9pt;mso-position-horizontal-relative:page;mso-position-vertical-relative:paragraph;z-index:-23560" coordorigin="6078,582" coordsize="2939,698">
            <v:line style="position:absolute" from="6092,596" to="9002,596" stroked="true" strokeweight="1.394173pt" strokecolor="#000000">
              <v:stroke dashstyle="solid"/>
            </v:line>
            <v:line style="position:absolute" from="6092,1265" to="6092,596" stroked="true" strokeweight=".699568pt" strokecolor="#000000">
              <v:stroke dashstyle="solid"/>
            </v:line>
            <v:line style="position:absolute" from="9002,1279" to="9002,582" stroked="true" strokeweight="1.399135pt" strokecolor="#000000">
              <v:stroke dashstyle="solid"/>
            </v:line>
            <v:line style="position:absolute" from="6078,1265" to="9016,1265" stroked="true" strokeweight=".697087pt" strokecolor="#000000">
              <v:stroke dashstyle="solid"/>
            </v:line>
            <v:shape style="position:absolute;left:6098;top:609;width:2890;height:649" type="#_x0000_t202" filled="false" stroked="false">
              <v:textbox inset="0,0,0,0">
                <w:txbxContent>
                  <w:p>
                    <w:pPr>
                      <w:spacing w:before="222"/>
                      <w:ind w:left="517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566797"/>
                        <w:w w:val="95"/>
                        <w:sz w:val="24"/>
                      </w:rPr>
                      <w:t>l!llffipqiffi</w:t>
                    </w:r>
                    <w:r>
                      <w:rPr>
                        <w:rFonts w:ascii="Arial"/>
                        <w:color w:val="566797"/>
                        <w:w w:val="95"/>
                        <w:sz w:val="23"/>
                      </w:rPr>
                      <w:t>JIFF</w:t>
                    </w:r>
                    <w:r>
                      <w:rPr>
                        <w:rFonts w:ascii="Arial"/>
                        <w:color w:val="6E7CA5"/>
                        <w:w w:val="95"/>
                        <w:sz w:val="23"/>
                      </w:rPr>
                      <w:t>Ill ( </w:t>
                    </w:r>
                    <w:r>
                      <w:rPr>
                        <w:rFonts w:ascii="Times New Roman"/>
                        <w:color w:val="726B85"/>
                        <w:w w:val="95"/>
                        <w:sz w:val="19"/>
                      </w:rPr>
                      <w:t>/</w:t>
                    </w:r>
                    <w:r>
                      <w:rPr>
                        <w:rFonts w:ascii="Times New Roman"/>
                        <w:color w:val="6E7CA5"/>
                        <w:w w:val="95"/>
                        <w:sz w:val="19"/>
                      </w:rPr>
                      <w:t>ij sJ!)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408" from="133.886505pt,63.261353pt" to="133.886505pt,29.80126pt" stroked="true" strokeweight=".699568pt" strokecolor="#000000">
            <v:stroke dashstyle="solid"/>
            <w10:wrap type="none"/>
          </v:line>
        </w:pict>
      </w:r>
      <w:r>
        <w:rPr>
          <w:rFonts w:ascii="Times New Roman"/>
          <w:w w:val="101"/>
          <w:position w:val="1"/>
          <w:sz w:val="59"/>
          <w:u w:val="single"/>
        </w:rPr>
        <w:t> </w:t>
      </w:r>
      <w:r>
        <w:rPr>
          <w:rFonts w:ascii="Times New Roman"/>
          <w:position w:val="1"/>
          <w:sz w:val="59"/>
          <w:u w:val="single"/>
        </w:rPr>
        <w:tab/>
      </w:r>
      <w:r>
        <w:rPr>
          <w:rFonts w:ascii="Times New Roman"/>
          <w:w w:val="75"/>
          <w:position w:val="1"/>
          <w:sz w:val="59"/>
        </w:rPr>
        <w:t>.;</w:t>
        <w:tab/>
      </w:r>
      <w:r>
        <w:rPr>
          <w:rFonts w:ascii="Times New Roman"/>
          <w:w w:val="75"/>
          <w:sz w:val="27"/>
        </w:rPr>
        <w:t>....</w:t>
      </w:r>
    </w:p>
    <w:p>
      <w:pPr>
        <w:pStyle w:val="Heading1"/>
        <w:spacing w:before="545"/>
        <w:ind w:right="3415"/>
      </w:pPr>
      <w:r>
        <w:rPr/>
        <w:pict>
          <v:group style="position:absolute;margin-left:139.133270pt;margin-top:54.093895pt;width:143.8pt;height:32.1pt;mso-position-horizontal-relative:page;mso-position-vertical-relative:paragraph;z-index:-23512" coordorigin="2783,1082" coordsize="2876,642">
            <v:line style="position:absolute" from="2790,1096" to="5658,1096" stroked="true" strokeweight="1.394173pt" strokecolor="#000000">
              <v:stroke dashstyle="solid"/>
            </v:line>
            <v:line style="position:absolute" from="2790,1709" to="2790,1096" stroked="true" strokeweight=".699568pt" strokecolor="#000000">
              <v:stroke dashstyle="solid"/>
            </v:line>
            <v:line style="position:absolute" from="2790,1709" to="5658,1709" stroked="true" strokeweight="1.394173pt" strokecolor="#000000">
              <v:stroke dashstyle="solid"/>
            </v:line>
            <v:line style="position:absolute" from="5518,1723" to="5518,1082" stroked="true" strokeweight=".699568pt" strokecolor="#000000">
              <v:stroke dashstyle="solid"/>
            </v:line>
            <w10:wrap type="none"/>
          </v:group>
        </w:pict>
      </w:r>
      <w:r>
        <w:rPr>
          <w:w w:val="56"/>
        </w:rPr>
        <w:t>+</w:t>
      </w:r>
    </w:p>
    <w:p>
      <w:pPr>
        <w:tabs>
          <w:tab w:pos="959" w:val="left" w:leader="none"/>
          <w:tab w:pos="1722" w:val="left" w:leader="none"/>
          <w:tab w:pos="2088" w:val="left" w:leader="none"/>
        </w:tabs>
        <w:spacing w:line="218" w:lineRule="exact" w:before="56"/>
        <w:ind w:left="0" w:right="3400" w:firstLine="0"/>
        <w:jc w:val="center"/>
        <w:rPr>
          <w:rFonts w:ascii="Arial"/>
          <w:sz w:val="22"/>
        </w:rPr>
      </w:pPr>
      <w:r>
        <w:rPr>
          <w:rFonts w:ascii="Arial"/>
          <w:color w:val="726B85"/>
          <w:spacing w:val="15"/>
          <w:w w:val="56"/>
          <w:sz w:val="22"/>
        </w:rPr>
        <w:t>;</w:t>
      </w:r>
      <w:r>
        <w:rPr>
          <w:rFonts w:ascii="Arial"/>
          <w:color w:val="504D64"/>
          <w:spacing w:val="-1"/>
          <w:w w:val="56"/>
          <w:sz w:val="22"/>
        </w:rPr>
        <w:t>"</w:t>
      </w:r>
      <w:r>
        <w:rPr>
          <w:rFonts w:ascii="Arial"/>
          <w:color w:val="504D64"/>
          <w:w w:val="56"/>
          <w:sz w:val="22"/>
        </w:rPr>
        <w:t>i</w:t>
      </w:r>
      <w:r>
        <w:rPr>
          <w:rFonts w:ascii="Arial"/>
          <w:color w:val="504D64"/>
          <w:spacing w:val="-2"/>
          <w:sz w:val="22"/>
        </w:rPr>
        <w:t> </w:t>
      </w:r>
      <w:r>
        <w:rPr>
          <w:rFonts w:ascii="Arial"/>
          <w:color w:val="726B85"/>
          <w:spacing w:val="-1"/>
          <w:w w:val="56"/>
          <w:sz w:val="22"/>
        </w:rPr>
        <w:t>;ll</w:t>
      </w:r>
      <w:r>
        <w:rPr>
          <w:rFonts w:ascii="Arial"/>
          <w:color w:val="726B85"/>
          <w:w w:val="56"/>
          <w:sz w:val="22"/>
        </w:rPr>
        <w:t>l</w:t>
      </w:r>
      <w:r>
        <w:rPr>
          <w:rFonts w:ascii="Arial"/>
          <w:color w:val="726B85"/>
          <w:spacing w:val="21"/>
          <w:sz w:val="22"/>
        </w:rPr>
        <w:t> </w:t>
      </w:r>
      <w:r>
        <w:rPr>
          <w:rFonts w:ascii="Arial"/>
          <w:color w:val="623B70"/>
          <w:w w:val="56"/>
          <w:sz w:val="22"/>
        </w:rPr>
        <w:t>l</w:t>
      </w:r>
      <w:r>
        <w:rPr>
          <w:rFonts w:ascii="Arial"/>
          <w:color w:val="623B70"/>
          <w:spacing w:val="-34"/>
          <w:sz w:val="22"/>
        </w:rPr>
        <w:t> </w:t>
      </w:r>
      <w:r>
        <w:rPr>
          <w:rFonts w:ascii="Arial"/>
          <w:color w:val="623B70"/>
          <w:spacing w:val="-1"/>
          <w:w w:val="64"/>
          <w:sz w:val="22"/>
        </w:rPr>
        <w:t>i!</w:t>
      </w:r>
      <w:r>
        <w:rPr>
          <w:rFonts w:ascii="Arial"/>
          <w:color w:val="623B70"/>
          <w:w w:val="64"/>
          <w:sz w:val="22"/>
        </w:rPr>
        <w:t>J</w:t>
      </w:r>
      <w:r>
        <w:rPr>
          <w:rFonts w:ascii="Arial"/>
          <w:color w:val="623B70"/>
          <w:sz w:val="22"/>
        </w:rPr>
        <w:tab/>
      </w:r>
      <w:r>
        <w:rPr>
          <w:rFonts w:ascii="Arial"/>
          <w:color w:val="504D64"/>
          <w:spacing w:val="-1"/>
          <w:w w:val="86"/>
          <w:sz w:val="22"/>
        </w:rPr>
        <w:t>'ili</w:t>
      </w:r>
      <w:r>
        <w:rPr>
          <w:rFonts w:ascii="Arial"/>
          <w:color w:val="504D64"/>
          <w:spacing w:val="-39"/>
          <w:w w:val="86"/>
          <w:sz w:val="22"/>
        </w:rPr>
        <w:t>:</w:t>
      </w:r>
      <w:r>
        <w:rPr>
          <w:rFonts w:ascii="Arial"/>
          <w:color w:val="726B85"/>
          <w:spacing w:val="-1"/>
          <w:w w:val="110"/>
          <w:sz w:val="22"/>
        </w:rPr>
        <w:t>lll!</w:t>
      </w:r>
      <w:r>
        <w:rPr>
          <w:rFonts w:ascii="Arial"/>
          <w:color w:val="726B85"/>
          <w:spacing w:val="-96"/>
          <w:w w:val="110"/>
          <w:sz w:val="22"/>
        </w:rPr>
        <w:t>U</w:t>
      </w:r>
      <w:r>
        <w:rPr>
          <w:rFonts w:ascii="Arial"/>
          <w:color w:val="918E9C"/>
          <w:w w:val="100"/>
          <w:sz w:val="22"/>
        </w:rPr>
        <w:t>l</w:t>
      </w:r>
      <w:r>
        <w:rPr>
          <w:rFonts w:ascii="Arial"/>
          <w:color w:val="918E9C"/>
          <w:sz w:val="22"/>
        </w:rPr>
        <w:tab/>
      </w:r>
      <w:r>
        <w:rPr>
          <w:rFonts w:ascii="Arial"/>
          <w:color w:val="504D64"/>
          <w:w w:val="101"/>
          <w:sz w:val="22"/>
        </w:rPr>
        <w:t>D</w:t>
      </w:r>
      <w:r>
        <w:rPr>
          <w:rFonts w:ascii="Arial"/>
          <w:color w:val="504D64"/>
          <w:sz w:val="22"/>
        </w:rPr>
        <w:tab/>
      </w:r>
      <w:r>
        <w:rPr>
          <w:rFonts w:ascii="Arial"/>
          <w:color w:val="726B85"/>
          <w:spacing w:val="-1"/>
          <w:w w:val="110"/>
          <w:sz w:val="22"/>
        </w:rPr>
        <w:t>lli:</w:t>
      </w:r>
    </w:p>
    <w:p>
      <w:pPr>
        <w:tabs>
          <w:tab w:pos="3607" w:val="left" w:leader="none"/>
        </w:tabs>
        <w:spacing w:line="712" w:lineRule="exact" w:before="0"/>
        <w:ind w:left="2103" w:right="0" w:firstLine="0"/>
        <w:jc w:val="left"/>
        <w:rPr>
          <w:rFonts w:ascii="Arial"/>
          <w:sz w:val="65"/>
        </w:rPr>
      </w:pPr>
      <w:r>
        <w:rPr/>
        <w:pict>
          <v:shape style="position:absolute;margin-left:114.998169pt;margin-top:38.126286pt;width:351.2pt;height:26.85pt;mso-position-horizontal-relative:page;mso-position-vertical-relative:paragraph;z-index:1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2"/>
                    <w:gridCol w:w="491"/>
                    <w:gridCol w:w="739"/>
                    <w:gridCol w:w="1096"/>
                    <w:gridCol w:w="308"/>
                    <w:gridCol w:w="140"/>
                    <w:gridCol w:w="659"/>
                    <w:gridCol w:w="795"/>
                    <w:gridCol w:w="1520"/>
                    <w:gridCol w:w="663"/>
                  </w:tblGrid>
                  <w:tr>
                    <w:trPr>
                      <w:trHeight w:val="493" w:hRule="atLeast"/>
                    </w:trPr>
                    <w:tc>
                      <w:tcPr>
                        <w:tcW w:w="572" w:type="dxa"/>
                        <w:tcBorders>
                          <w:left w:val="single" w:sz="12" w:space="0" w:color="000000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360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26B85"/>
                            <w:w w:val="65"/>
                            <w:sz w:val="23"/>
                          </w:rPr>
                          <w:t>f'</w:t>
                        </w:r>
                      </w:p>
                    </w:tc>
                    <w:tc>
                      <w:tcPr>
                        <w:tcW w:w="491" w:type="dxa"/>
                        <w:tcBorders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166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26B85"/>
                            <w:sz w:val="23"/>
                          </w:rPr>
                          <w:t>M</w:t>
                        </w:r>
                        <w:r>
                          <w:rPr>
                            <w:rFonts w:ascii="Arial"/>
                            <w:color w:val="504D64"/>
                            <w:sz w:val="23"/>
                          </w:rPr>
                          <w:t>*</w:t>
                        </w:r>
                      </w:p>
                    </w:tc>
                    <w:tc>
                      <w:tcPr>
                        <w:tcW w:w="739" w:type="dxa"/>
                        <w:tcBorders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54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26B85"/>
                            <w:spacing w:val="-11"/>
                            <w:sz w:val="23"/>
                          </w:rPr>
                          <w:t>i</w:t>
                        </w:r>
                        <w:r>
                          <w:rPr>
                            <w:rFonts w:ascii="Arial"/>
                            <w:color w:val="504D64"/>
                            <w:spacing w:val="-11"/>
                            <w:sz w:val="23"/>
                          </w:rPr>
                          <w:t>1H'i'Jll</w:t>
                        </w:r>
                      </w:p>
                    </w:tc>
                    <w:tc>
                      <w:tcPr>
                        <w:tcW w:w="1096" w:type="dxa"/>
                        <w:tcBorders>
                          <w:left w:val="nil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93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726B85"/>
                            <w:sz w:val="23"/>
                          </w:rPr>
                          <w:t>sill</w:t>
                        </w:r>
                        <w:r>
                          <w:rPr>
                            <w:rFonts w:ascii="Arial"/>
                            <w:color w:val="566797"/>
                            <w:sz w:val="23"/>
                          </w:rPr>
                          <w:t>fi5 </w:t>
                        </w:r>
                        <w:r>
                          <w:rPr>
                            <w:rFonts w:ascii="Times New Roman"/>
                            <w:color w:val="504D64"/>
                            <w:sz w:val="22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726B85"/>
                            <w:sz w:val="22"/>
                          </w:rPr>
                          <w:t>ifi</w:t>
                        </w:r>
                      </w:p>
                    </w:tc>
                    <w:tc>
                      <w:tcPr>
                        <w:tcW w:w="308" w:type="dxa"/>
                        <w:tcBorders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0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0" w:right="21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6E7CA5"/>
                            <w:w w:val="111"/>
                            <w:sz w:val="23"/>
                          </w:rPr>
                          <w:t>a</w:t>
                        </w:r>
                      </w:p>
                    </w:tc>
                    <w:tc>
                      <w:tcPr>
                        <w:tcW w:w="79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6E7CA5"/>
                            <w:w w:val="110"/>
                            <w:sz w:val="23"/>
                          </w:rPr>
                          <w:t>JJlil!liii</w:t>
                        </w:r>
                      </w:p>
                    </w:tc>
                    <w:tc>
                      <w:tcPr>
                        <w:tcW w:w="152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6E7CA5"/>
                            <w:w w:val="105"/>
                            <w:sz w:val="23"/>
                          </w:rPr>
                          <w:t>zt&amp;:@wro </w:t>
                        </w:r>
                        <w:r>
                          <w:rPr>
                            <w:rFonts w:ascii="Times New Roman"/>
                            <w:color w:val="6E7CA5"/>
                            <w:w w:val="105"/>
                            <w:sz w:val="19"/>
                          </w:rPr>
                          <w:t>&lt;</w:t>
                        </w:r>
                        <w:r>
                          <w:rPr>
                            <w:rFonts w:ascii="Times New Roman"/>
                            <w:color w:val="726B85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6E7CA5"/>
                            <w:w w:val="105"/>
                            <w:sz w:val="19"/>
                          </w:rPr>
                          <w:t>ij</w:t>
                        </w:r>
                      </w:p>
                    </w:tc>
                    <w:tc>
                      <w:tcPr>
                        <w:tcW w:w="663" w:type="dxa"/>
                        <w:tcBorders>
                          <w:left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8"/>
                          <w:ind w:left="125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6E7CA5"/>
                            <w:w w:val="101"/>
                            <w:sz w:val="19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111113"/>
          <w:w w:val="90"/>
          <w:position w:val="3"/>
          <w:sz w:val="58"/>
        </w:rPr>
        <w:t>.;</w:t>
        <w:tab/>
      </w:r>
      <w:r>
        <w:rPr>
          <w:rFonts w:ascii="Arial"/>
          <w:color w:val="2A2A38"/>
          <w:w w:val="80"/>
          <w:sz w:val="65"/>
        </w:rPr>
        <w:t>-------..</w:t>
      </w:r>
    </w:p>
    <w:p>
      <w:pPr>
        <w:pStyle w:val="Heading1"/>
        <w:spacing w:before="524"/>
        <w:ind w:left="2008"/>
        <w:jc w:val="left"/>
      </w:pPr>
      <w:r>
        <w:rPr/>
        <w:pict>
          <v:group style="position:absolute;margin-left:312.276306pt;margin-top:31.354889pt;width:98.65pt;height:52.4pt;mso-position-horizontal-relative:page;mso-position-vertical-relative:paragraph;z-index:-23464" coordorigin="6246,627" coordsize="1973,1048">
            <v:shape style="position:absolute;left:3960;top:-1518;width:1953;height:624" coordorigin="3960,-1517" coordsize="1953,624" path="m6260,1061l8204,1061m6260,1660l6260,1061m6246,1660l8218,1660m8204,1674l8204,1047e" filled="false" stroked="true" strokeweight="1.396654pt" strokecolor="#000000">
              <v:path arrowok="t"/>
              <v:stroke dashstyle="solid"/>
            </v:shape>
            <v:shape style="position:absolute;left:6245;top:627;width:1973;height:1048" type="#_x0000_t202" filled="false" stroked="false">
              <v:textbox inset="0,0,0,0">
                <w:txbxContent>
                  <w:p>
                    <w:pPr>
                      <w:spacing w:line="483" w:lineRule="exact" w:before="0"/>
                      <w:ind w:left="927" w:right="755" w:firstLine="0"/>
                      <w:jc w:val="center"/>
                      <w:rPr>
                        <w:rFonts w:ascii="Arial"/>
                        <w:i/>
                        <w:sz w:val="43"/>
                      </w:rPr>
                    </w:pPr>
                    <w:r>
                      <w:rPr>
                        <w:rFonts w:ascii="Arial"/>
                        <w:i/>
                        <w:color w:val="111113"/>
                        <w:w w:val="75"/>
                        <w:sz w:val="43"/>
                      </w:rPr>
                      <w:t>.J</w:t>
                    </w:r>
                  </w:p>
                  <w:p>
                    <w:pPr>
                      <w:tabs>
                        <w:tab w:pos="1014" w:val="left" w:leader="none"/>
                      </w:tabs>
                      <w:spacing w:before="125"/>
                      <w:ind w:left="255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504D64"/>
                        <w:spacing w:val="-7"/>
                        <w:sz w:val="23"/>
                      </w:rPr>
                      <w:t>'li:</w:t>
                    </w:r>
                    <w:r>
                      <w:rPr>
                        <w:rFonts w:ascii="Arial"/>
                        <w:color w:val="726B85"/>
                        <w:spacing w:val="-7"/>
                        <w:sz w:val="23"/>
                      </w:rPr>
                      <w:t>iE</w:t>
                    </w:r>
                    <w:r>
                      <w:rPr>
                        <w:rFonts w:ascii="Arial"/>
                        <w:color w:val="504D64"/>
                        <w:spacing w:val="-7"/>
                        <w:sz w:val="23"/>
                      </w:rPr>
                      <w:t>tt</w:t>
                      <w:tab/>
                    </w:r>
                    <w:r>
                      <w:rPr>
                        <w:rFonts w:ascii="Arial"/>
                        <w:color w:val="726B85"/>
                        <w:spacing w:val="-6"/>
                        <w:sz w:val="23"/>
                      </w:rPr>
                      <w:t>si</w:t>
                    </w:r>
                    <w:r>
                      <w:rPr>
                        <w:rFonts w:ascii="Arial"/>
                        <w:color w:val="566797"/>
                        <w:spacing w:val="-6"/>
                        <w:sz w:val="23"/>
                      </w:rPr>
                      <w:t>ll</w:t>
                    </w:r>
                    <w:r>
                      <w:rPr>
                        <w:rFonts w:ascii="Arial"/>
                        <w:color w:val="726B85"/>
                        <w:spacing w:val="-6"/>
                        <w:sz w:val="23"/>
                      </w:rPr>
                      <w:t>liR</w:t>
                    </w:r>
                    <w:r>
                      <w:rPr>
                        <w:rFonts w:ascii="Arial"/>
                        <w:color w:val="726B85"/>
                        <w:spacing w:val="-6"/>
                        <w:sz w:val="18"/>
                      </w:rPr>
                      <w:t>;i::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3.186935pt;margin-top:52.344254pt;width:191.7pt;height:223.1pt;mso-position-horizontal-relative:page;mso-position-vertical-relative:paragraph;z-index:-23296" coordorigin="2664,1047" coordsize="3834,4462">
            <v:shape style="position:absolute;left:429;top:-5312;width:3780;height:3822" coordorigin="429,-5311" coordsize="3780,3822" path="m3769,2525l3769,1646m2678,2260l5518,2260m4413,1911l6497,1911m4413,2274l4413,1911m2678,5494l2678,2260e" filled="false" stroked="true" strokeweight="1.396654pt" strokecolor="#000000">
              <v:path arrowok="t"/>
              <v:stroke dashstyle="solid"/>
            </v:shape>
            <v:line style="position:absolute" from="4413,2748" to="4413,2246" stroked="true" strokeweight="2.798272pt" strokecolor="#000000">
              <v:stroke dashstyle="solid"/>
            </v:line>
            <v:shape style="position:absolute;left:872;top:-5326;width:2368;height:3240" coordorigin="872,-5325" coordsize="2368,3240" path="m5518,5508l5518,2246m3125,2734l5070,2734m3125,3473l3125,2734m5070,3487l5070,2720e" filled="false" stroked="true" strokeweight="1.396654pt" strokecolor="#000000">
              <v:path arrowok="t"/>
              <v:stroke dashstyle="solid"/>
            </v:shape>
            <v:shape style="position:absolute;left:872;top:-3304;width:1939;height:2" coordorigin="872,-3304" coordsize="1939,0" path="m3125,3473l3769,3473m4413,3473l5084,3473e" filled="false" stroked="true" strokeweight=".698328pt" strokecolor="#000000">
              <v:path arrowok="t"/>
              <v:stroke dashstyle="solid"/>
            </v:shape>
            <v:line style="position:absolute" from="2790,4449" to="5350,4449" stroked="true" strokeweight="1.394173pt" strokecolor="#000000">
              <v:stroke dashstyle="solid"/>
            </v:line>
            <v:line style="position:absolute" from="2790,5341" to="2790,4449" stroked="true" strokeweight=".699568pt" strokecolor="#000000">
              <v:stroke dashstyle="solid"/>
            </v:line>
            <v:shape style="position:absolute;left:415;top:-5312;width:2839;height:1053" coordorigin="415,-5311" coordsize="2839,1053" path="m5350,5355l5350,4435m2790,5341l5364,5341m2664,5494l5532,5494e" filled="false" stroked="true" strokeweight="1.396654pt" strokecolor="#000000">
              <v:path arrowok="t"/>
              <v:stroke dashstyle="solid"/>
            </v:shape>
            <v:shape style="position:absolute;left:3327;top:2150;width:144;height:413" type="#_x0000_t202" filled="false" stroked="false">
              <v:textbox inset="0,0,0,0">
                <w:txbxContent>
                  <w:p>
                    <w:pPr>
                      <w:spacing w:line="41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37"/>
                      </w:rPr>
                    </w:pPr>
                    <w:r>
                      <w:rPr>
                        <w:rFonts w:ascii="Times New Roman"/>
                        <w:i/>
                        <w:color w:val="3A384D"/>
                        <w:spacing w:val="-87"/>
                        <w:w w:val="78"/>
                        <w:sz w:val="3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3447;top:2087;width:360;height:867" type="#_x0000_t202" filled="false" stroked="false">
              <v:textbox inset="0,0,0,0">
                <w:txbxContent>
                  <w:p>
                    <w:pPr>
                      <w:spacing w:line="865" w:lineRule="exact" w:before="0"/>
                      <w:ind w:left="0" w:right="0" w:firstLine="0"/>
                      <w:jc w:val="left"/>
                      <w:rPr>
                        <w:rFonts w:ascii="Arial"/>
                        <w:sz w:val="77"/>
                      </w:rPr>
                    </w:pPr>
                    <w:r>
                      <w:rPr>
                        <w:rFonts w:ascii="Arial"/>
                        <w:color w:val="2A2A38"/>
                        <w:w w:val="40"/>
                        <w:sz w:val="77"/>
                      </w:rPr>
                      <w:t>' </w:t>
                    </w:r>
                    <w:r>
                      <w:rPr>
                        <w:rFonts w:ascii="Arial"/>
                        <w:color w:val="111113"/>
                        <w:w w:val="40"/>
                        <w:sz w:val="7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810;top:2235;width:794;height:436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Arial"/>
                        <w:color w:val="4F3838"/>
                        <w:spacing w:val="-7"/>
                        <w:w w:val="75"/>
                        <w:position w:val="1"/>
                        <w:sz w:val="22"/>
                      </w:rPr>
                      <w:t>r;:</w:t>
                    </w:r>
                    <w:r>
                      <w:rPr>
                        <w:rFonts w:ascii="Arial"/>
                        <w:color w:val="705B64"/>
                        <w:spacing w:val="-7"/>
                        <w:w w:val="75"/>
                        <w:position w:val="1"/>
                        <w:sz w:val="22"/>
                      </w:rPr>
                      <w:t>mt@</w:t>
                    </w:r>
                    <w:r>
                      <w:rPr>
                        <w:rFonts w:ascii="Arial"/>
                        <w:color w:val="4F3838"/>
                        <w:spacing w:val="-7"/>
                        <w:w w:val="75"/>
                        <w:position w:val="1"/>
                        <w:sz w:val="22"/>
                      </w:rPr>
                      <w:t>P. </w:t>
                    </w:r>
                    <w:r>
                      <w:rPr>
                        <w:rFonts w:ascii="Times New Roman"/>
                        <w:color w:val="705B64"/>
                        <w:spacing w:val="5"/>
                        <w:w w:val="75"/>
                        <w:sz w:val="26"/>
                      </w:rPr>
                      <w:t>t</w:t>
                    </w:r>
                    <w:r>
                      <w:rPr>
                        <w:rFonts w:ascii="Times New Roman"/>
                        <w:color w:val="504D64"/>
                        <w:spacing w:val="5"/>
                        <w:w w:val="75"/>
                        <w:sz w:val="26"/>
                      </w:rPr>
                      <w:t>i</w:t>
                    </w:r>
                  </w:p>
                  <w:p>
                    <w:pPr>
                      <w:spacing w:line="165" w:lineRule="exact" w:before="0"/>
                      <w:ind w:left="0" w:right="215" w:firstLine="0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25"/>
                        <w:sz w:val="16"/>
                      </w:rPr>
                      <w:t>,ir</w:t>
                    </w:r>
                  </w:p>
                </w:txbxContent>
              </v:textbox>
              <w10:wrap type="none"/>
            </v:shape>
            <v:shape style="position:absolute;left:3440;top:3308;width:1509;height:1859" type="#_x0000_t202" filled="false" stroked="false">
              <v:textbox inset="0,0,0,0">
                <w:txbxContent>
                  <w:p>
                    <w:pPr>
                      <w:spacing w:line="1327" w:lineRule="exact" w:before="0"/>
                      <w:ind w:left="0" w:right="175" w:firstLine="0"/>
                      <w:jc w:val="center"/>
                      <w:rPr>
                        <w:rFonts w:ascii="Arial"/>
                        <w:sz w:val="120"/>
                      </w:rPr>
                    </w:pPr>
                    <w:r>
                      <w:rPr>
                        <w:rFonts w:ascii="Arial"/>
                        <w:color w:val="111113"/>
                        <w:w w:val="60"/>
                        <w:sz w:val="120"/>
                      </w:rPr>
                      <w:t>1</w:t>
                    </w:r>
                  </w:p>
                  <w:p>
                    <w:pPr>
                      <w:tabs>
                        <w:tab w:pos="962" w:val="left" w:leader="none"/>
                      </w:tabs>
                      <w:spacing w:line="253" w:lineRule="exact" w:before="0"/>
                      <w:ind w:left="0" w:right="18" w:firstLine="0"/>
                      <w:jc w:val="center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color w:val="504D64"/>
                        <w:sz w:val="23"/>
                      </w:rPr>
                      <w:t>*</w:t>
                    </w:r>
                    <w:r>
                      <w:rPr>
                        <w:rFonts w:ascii="Arial" w:hAnsi="Arial"/>
                        <w:color w:val="504D64"/>
                        <w:spacing w:val="-6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color w:val="726B85"/>
                        <w:spacing w:val="-14"/>
                        <w:sz w:val="23"/>
                      </w:rPr>
                      <w:t>1£</w:t>
                    </w:r>
                    <w:r>
                      <w:rPr>
                        <w:rFonts w:ascii="Arial" w:hAnsi="Arial"/>
                        <w:color w:val="566797"/>
                        <w:spacing w:val="-14"/>
                        <w:sz w:val="23"/>
                      </w:rPr>
                      <w:t>1</w:t>
                    </w:r>
                    <w:r>
                      <w:rPr>
                        <w:rFonts w:ascii="Arial" w:hAnsi="Arial"/>
                        <w:color w:val="726B85"/>
                        <w:spacing w:val="-14"/>
                        <w:sz w:val="23"/>
                      </w:rPr>
                      <w:t>/t</w:t>
                      <w:tab/>
                    </w:r>
                    <w:r>
                      <w:rPr>
                        <w:rFonts w:ascii="Arial" w:hAnsi="Arial"/>
                        <w:color w:val="504D64"/>
                        <w:spacing w:val="-14"/>
                        <w:sz w:val="23"/>
                      </w:rPr>
                      <w:t>'li:</w:t>
                    </w:r>
                    <w:r>
                      <w:rPr>
                        <w:rFonts w:ascii="Arial" w:hAnsi="Arial"/>
                        <w:color w:val="726B85"/>
                        <w:spacing w:val="-14"/>
                        <w:sz w:val="23"/>
                      </w:rPr>
                      <w:t>iE</w:t>
                    </w:r>
                    <w:r>
                      <w:rPr>
                        <w:rFonts w:ascii="Arial" w:hAnsi="Arial"/>
                        <w:color w:val="504D64"/>
                        <w:spacing w:val="-14"/>
                        <w:sz w:val="23"/>
                      </w:rPr>
                      <w:t>{</w:t>
                    </w:r>
                    <w:r>
                      <w:rPr>
                        <w:rFonts w:ascii="Arial" w:hAnsi="Arial"/>
                        <w:color w:val="726B85"/>
                        <w:spacing w:val="-14"/>
                        <w:sz w:val="23"/>
                      </w:rPr>
                      <w:t>ij</w:t>
                    </w:r>
                  </w:p>
                  <w:p>
                    <w:pPr>
                      <w:tabs>
                        <w:tab w:pos="755" w:val="left" w:leader="none"/>
                      </w:tabs>
                      <w:spacing w:before="14"/>
                      <w:ind w:left="0" w:right="253" w:firstLine="0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726B85"/>
                        <w:spacing w:val="-4"/>
                        <w:w w:val="95"/>
                        <w:sz w:val="23"/>
                      </w:rPr>
                      <w:t>sl!fil!i&amp;</w:t>
                      <w:tab/>
                    </w:r>
                    <w:r>
                      <w:rPr>
                        <w:rFonts w:ascii="Arial"/>
                        <w:color w:val="726B85"/>
                        <w:spacing w:val="-12"/>
                        <w:sz w:val="23"/>
                      </w:rPr>
                      <w:t>I</w:t>
                    </w:r>
                    <w:r>
                      <w:rPr>
                        <w:rFonts w:ascii="Arial"/>
                        <w:color w:val="504D64"/>
                        <w:spacing w:val="-12"/>
                        <w:sz w:val="23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139;top:2747;width:1917;height:718" type="#_x0000_t202" filled="false" stroked="false">
              <v:textbox inset="0,0,0,0">
                <w:txbxContent>
                  <w:p>
                    <w:pPr>
                      <w:spacing w:before="143"/>
                      <w:ind w:left="213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Arial"/>
                        <w:color w:val="504D64"/>
                        <w:sz w:val="23"/>
                      </w:rPr>
                      <w:t>'li:</w:t>
                    </w:r>
                    <w:r>
                      <w:rPr>
                        <w:rFonts w:ascii="Arial"/>
                        <w:color w:val="726B85"/>
                        <w:sz w:val="23"/>
                      </w:rPr>
                      <w:t>iE </w:t>
                    </w:r>
                    <w:r>
                      <w:rPr>
                        <w:rFonts w:ascii="Arial"/>
                        <w:color w:val="6E7CA5"/>
                        <w:sz w:val="23"/>
                      </w:rPr>
                      <w:t>I</w:t>
                    </w:r>
                    <w:r>
                      <w:rPr>
                        <w:rFonts w:ascii="Arial"/>
                        <w:color w:val="504D64"/>
                        <w:sz w:val="23"/>
                      </w:rPr>
                      <w:t>I </w:t>
                    </w:r>
                    <w:r>
                      <w:rPr>
                        <w:rFonts w:ascii="Times New Roman"/>
                        <w:color w:val="504D64"/>
                        <w:sz w:val="25"/>
                      </w:rPr>
                      <w:t>li</w:t>
                    </w:r>
                    <w:r>
                      <w:rPr>
                        <w:rFonts w:ascii="Times New Roman"/>
                        <w:color w:val="726B85"/>
                        <w:sz w:val="25"/>
                      </w:rPr>
                      <w:t>,</w:t>
                    </w:r>
                    <w:r>
                      <w:rPr>
                        <w:rFonts w:ascii="Times New Roman"/>
                        <w:color w:val="504D64"/>
                        <w:sz w:val="25"/>
                      </w:rPr>
                      <w:t>'</w:t>
                    </w:r>
                    <w:r>
                      <w:rPr>
                        <w:rFonts w:ascii="Times New Roman"/>
                        <w:color w:val="726B85"/>
                        <w:sz w:val="25"/>
                      </w:rPr>
                      <w:t>t.Jt</w:t>
                    </w:r>
                  </w:p>
                  <w:p>
                    <w:pPr>
                      <w:spacing w:line="251" w:lineRule="exact" w:before="37"/>
                      <w:ind w:left="773" w:right="668" w:firstLine="0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504D64"/>
                        <w:sz w:val="23"/>
                      </w:rPr>
                      <w:t>foJ?</w:t>
                    </w:r>
                  </w:p>
                </w:txbxContent>
              </v:textbox>
              <w10:wrap type="none"/>
            </v:shape>
            <v:shape style="position:absolute;left:2789;top:1060;width:1959;height:600" type="#_x0000_t202" filled="false" stroked="true" strokeweight="1.399135pt" strokecolor="#000000">
              <v:textbox inset="0,0,0,0">
                <w:txbxContent>
                  <w:p>
                    <w:pPr>
                      <w:tabs>
                        <w:tab w:pos="1532" w:val="left" w:leader="none"/>
                      </w:tabs>
                      <w:spacing w:before="174"/>
                      <w:ind w:left="241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504D64"/>
                        <w:spacing w:val="-10"/>
                        <w:sz w:val="23"/>
                      </w:rPr>
                      <w:t>SO</w:t>
                    </w:r>
                    <w:r>
                      <w:rPr>
                        <w:rFonts w:ascii="Arial"/>
                        <w:color w:val="726B85"/>
                        <w:spacing w:val="-10"/>
                        <w:sz w:val="23"/>
                      </w:rPr>
                      <w:t>Pffi!t</w:t>
                    </w:r>
                    <w:r>
                      <w:rPr>
                        <w:rFonts w:ascii="Arial"/>
                        <w:color w:val="726B85"/>
                        <w:spacing w:val="28"/>
                        <w:sz w:val="23"/>
                      </w:rPr>
                      <w:t> </w:t>
                    </w:r>
                    <w:r>
                      <w:rPr>
                        <w:rFonts w:ascii="Arial"/>
                        <w:color w:val="504D64"/>
                        <w:sz w:val="23"/>
                      </w:rPr>
                      <w:t>liii*</w:t>
                      <w:tab/>
                      <w:t>:;: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111113"/>
          <w:w w:val="60"/>
        </w:rPr>
        <w:t>+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ind w:left="2606"/>
        <w:jc w:val="center"/>
        <w:rPr>
          <w:rFonts w:ascii="Times New Roman"/>
        </w:rPr>
      </w:pPr>
      <w:r>
        <w:rPr>
          <w:rFonts w:ascii="Times New Roman"/>
          <w:color w:val="111113"/>
          <w:w w:val="78"/>
        </w:rPr>
        <w:t>J</w:t>
      </w:r>
    </w:p>
    <w:p>
      <w:pPr>
        <w:spacing w:after="0"/>
        <w:jc w:val="center"/>
        <w:rPr>
          <w:rFonts w:ascii="Times New Roman"/>
        </w:rPr>
        <w:sectPr>
          <w:pgSz w:w="11910" w:h="16840"/>
          <w:pgMar w:top="1460" w:bottom="280" w:left="1680" w:right="1680"/>
        </w:sectPr>
      </w:pPr>
    </w:p>
    <w:p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15.35pt;height:.8pt;mso-position-horizontal-relative:char;mso-position-vertical-relative:line" coordorigin="0,0" coordsize="8307,16">
            <v:line style="position:absolute" from="0,8" to="8306,8" stroked="true" strokeweight=".8pt" strokecolor="#9f9f9f">
              <v:stroke dashstyle="solid"/>
            </v:line>
            <v:rect style="position:absolute;left:0;top:0;width:5;height:5" filled="true" fillcolor="#9f9f9f" stroked="false">
              <v:fill type="solid"/>
            </v:rect>
            <v:rect style="position:absolute;left:0;top:0;width:5;height:5" filled="true" fillcolor="#9f9f9f" stroked="false">
              <v:fill type="solid"/>
            </v:rect>
            <v:line style="position:absolute" from="5,2" to="8302,2" stroked="true" strokeweight=".24pt" strokecolor="#9f9f9f">
              <v:stroke dashstyle="solid"/>
            </v:line>
            <v:rect style="position:absolute;left:8301;top:0;width:5;height:5" filled="true" fillcolor="#e2e2e2" stroked="false">
              <v:fill type="solid"/>
            </v:rect>
            <v:rect style="position:absolute;left:8301;top:0;width:5;height:5" filled="true" fillcolor="#9f9f9f" stroked="false">
              <v:fill type="solid"/>
            </v:rect>
            <v:rect style="position:absolute;left:0;top:4;width:5;height:6" filled="true" fillcolor="#9f9f9f" stroked="false">
              <v:fill type="solid"/>
            </v:rect>
            <v:rect style="position:absolute;left:8301;top:4;width:5;height:6" filled="true" fillcolor="#e2e2e2" stroked="false">
              <v:fill type="solid"/>
            </v:rect>
            <v:rect style="position:absolute;left:0;top:10;width:5;height:5" filled="true" fillcolor="#9f9f9f" stroked="false">
              <v:fill type="solid"/>
            </v:rect>
            <v:rect style="position:absolute;left:0;top:10;width:5;height:5" filled="true" fillcolor="#e2e2e2" stroked="false">
              <v:fill type="solid"/>
            </v:rect>
            <v:line style="position:absolute" from="5,13" to="8302,13" stroked="true" strokeweight=".24pt" strokecolor="#e2e2e2">
              <v:stroke dashstyle="solid"/>
            </v:line>
            <v:rect style="position:absolute;left:8301;top:10;width:5;height:5" filled="true" fillcolor="#e2e2e2" stroked="false">
              <v:fill type="solid"/>
            </v:rect>
            <v:rect style="position:absolute;left:8301;top:10;width:5;height:5" filled="true" fillcolor="#e2e2e2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Heading2"/>
        <w:spacing w:line="428" w:lineRule="exact" w:before="48"/>
      </w:pPr>
      <w:r>
        <w:rPr/>
        <w:t>四</w:t>
      </w:r>
      <w:r>
        <w:rPr>
          <w:rFonts w:ascii="Calibri" w:eastAsia="Calibri"/>
        </w:rPr>
        <w:t>. </w:t>
      </w:r>
      <w:r>
        <w:rPr/>
        <w:t>屏障分析</w:t>
      </w:r>
    </w:p>
    <w:p>
      <w:pPr>
        <w:pStyle w:val="BodyText"/>
        <w:spacing w:line="415" w:lineRule="exact"/>
        <w:ind w:left="120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危害： 汽油蒸氣遇熱源引發火災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28" w:lineRule="exact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目標： 作業勞工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1341"/>
        <w:gridCol w:w="995"/>
        <w:gridCol w:w="2842"/>
        <w:gridCol w:w="2322"/>
      </w:tblGrid>
      <w:tr>
        <w:trPr>
          <w:trHeight w:val="1037" w:hRule="atLeast"/>
        </w:trPr>
        <w:tc>
          <w:tcPr>
            <w:tcW w:w="793" w:type="dxa"/>
          </w:tcPr>
          <w:p>
            <w:pPr>
              <w:pStyle w:val="TableParagraph"/>
              <w:spacing w:line="225" w:lineRule="auto"/>
              <w:ind w:right="272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341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995" w:type="dxa"/>
          </w:tcPr>
          <w:p>
            <w:pPr>
              <w:pStyle w:val="TableParagraph"/>
              <w:spacing w:line="225" w:lineRule="auto"/>
              <w:ind w:left="108" w:right="112"/>
              <w:rPr>
                <w:sz w:val="20"/>
              </w:rPr>
            </w:pPr>
            <w:r>
              <w:rPr>
                <w:sz w:val="20"/>
              </w:rPr>
              <w:t>屏障表現 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pacing w:val="-8"/>
                <w:sz w:val="20"/>
              </w:rPr>
              <w:t>事故</w:t>
            </w:r>
          </w:p>
          <w:p>
            <w:pPr>
              <w:pStyle w:val="TableParagraph"/>
              <w:spacing w:line="335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時狀態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842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322" w:type="dxa"/>
          </w:tcPr>
          <w:p>
            <w:pPr>
              <w:pStyle w:val="TableParagraph"/>
              <w:spacing w:line="225" w:lineRule="auto"/>
              <w:ind w:left="110" w:right="237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793" w:type="dxa"/>
          </w:tcPr>
          <w:p>
            <w:pPr>
              <w:pStyle w:val="TableParagraph"/>
              <w:spacing w:line="225" w:lineRule="auto"/>
              <w:ind w:right="194"/>
              <w:jc w:val="both"/>
              <w:rPr>
                <w:sz w:val="20"/>
              </w:rPr>
            </w:pPr>
            <w:r>
              <w:rPr>
                <w:sz w:val="20"/>
              </w:rPr>
              <w:t>物理性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工程控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w w:val="100"/>
                <w:sz w:val="20"/>
              </w:rPr>
              <w:t>制</w:t>
            </w:r>
          </w:p>
        </w:tc>
        <w:tc>
          <w:tcPr>
            <w:tcW w:w="1341" w:type="dxa"/>
          </w:tcPr>
          <w:p>
            <w:pPr>
              <w:pStyle w:val="TableParagraph"/>
              <w:spacing w:line="225" w:lineRule="auto"/>
              <w:ind w:left="108" w:right="168" w:hanging="1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發電機與易燃物的實體隔離</w:t>
            </w:r>
          </w:p>
        </w:tc>
        <w:tc>
          <w:tcPr>
            <w:tcW w:w="995" w:type="dxa"/>
          </w:tcPr>
          <w:p>
            <w:pPr>
              <w:pStyle w:val="TableParagraph"/>
              <w:spacing w:line="225" w:lineRule="auto"/>
              <w:ind w:left="108" w:right="195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</w:t>
            </w:r>
          </w:p>
        </w:tc>
        <w:tc>
          <w:tcPr>
            <w:tcW w:w="2842" w:type="dxa"/>
          </w:tcPr>
          <w:p>
            <w:pPr>
              <w:pStyle w:val="TableParagraph"/>
              <w:spacing w:line="225" w:lineRule="auto"/>
              <w:ind w:left="108" w:right="121"/>
              <w:rPr>
                <w:sz w:val="20"/>
              </w:rPr>
            </w:pPr>
            <w:r>
              <w:rPr>
                <w:spacing w:val="-2"/>
                <w:sz w:val="20"/>
              </w:rPr>
              <w:t>將發電機與備用汽油桶放置在</w:t>
            </w:r>
            <w:r>
              <w:rPr>
                <w:sz w:val="20"/>
              </w:rPr>
              <w:t>同一狹小空間（貨車車廂） 內。</w:t>
            </w:r>
          </w:p>
        </w:tc>
        <w:tc>
          <w:tcPr>
            <w:tcW w:w="2322" w:type="dxa"/>
          </w:tcPr>
          <w:p>
            <w:pPr>
              <w:pStyle w:val="TableParagraph"/>
              <w:spacing w:line="225" w:lineRule="auto"/>
              <w:ind w:left="110" w:right="197"/>
              <w:jc w:val="both"/>
              <w:rPr>
                <w:sz w:val="20"/>
              </w:rPr>
            </w:pPr>
            <w:r>
              <w:rPr>
                <w:sz w:val="20"/>
              </w:rPr>
              <w:t>使熱源（發電機）與燃料（汽油）直接鄰近， 創造了起火的基本條</w:t>
            </w:r>
          </w:p>
          <w:p>
            <w:pPr>
              <w:pStyle w:val="TableParagraph"/>
              <w:spacing w:line="334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件。</w:t>
            </w:r>
          </w:p>
        </w:tc>
      </w:tr>
      <w:tr>
        <w:trPr>
          <w:trHeight w:val="1383" w:hRule="atLeast"/>
        </w:trPr>
        <w:tc>
          <w:tcPr>
            <w:tcW w:w="79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spacing w:line="225" w:lineRule="auto"/>
              <w:ind w:right="220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隔熱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排氣導向裝置</w:t>
            </w:r>
          </w:p>
        </w:tc>
        <w:tc>
          <w:tcPr>
            <w:tcW w:w="995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</w:tc>
        <w:tc>
          <w:tcPr>
            <w:tcW w:w="2842" w:type="dxa"/>
          </w:tcPr>
          <w:p>
            <w:pPr>
              <w:pStyle w:val="TableParagraph"/>
              <w:spacing w:line="225" w:lineRule="auto"/>
              <w:ind w:left="108" w:right="121"/>
              <w:rPr>
                <w:sz w:val="20"/>
              </w:rPr>
            </w:pPr>
            <w:r>
              <w:rPr>
                <w:sz w:val="20"/>
              </w:rPr>
              <w:t>發電機排氣口直接朝向汽油 </w:t>
            </w:r>
            <w:r>
              <w:rPr>
                <w:spacing w:val="-2"/>
                <w:sz w:val="20"/>
              </w:rPr>
              <w:t>桶，未安裝任何隔熱板或將廢</w:t>
            </w:r>
            <w:r>
              <w:rPr>
                <w:spacing w:val="4"/>
                <w:sz w:val="20"/>
              </w:rPr>
              <w:t>氣導向安全方向的裝置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322" w:type="dxa"/>
          </w:tcPr>
          <w:p>
            <w:pPr>
              <w:pStyle w:val="TableParagraph"/>
              <w:spacing w:line="225" w:lineRule="auto"/>
              <w:ind w:left="110" w:right="198"/>
              <w:jc w:val="both"/>
              <w:rPr>
                <w:sz w:val="20"/>
              </w:rPr>
            </w:pPr>
            <w:r>
              <w:rPr>
                <w:sz w:val="20"/>
              </w:rPr>
              <w:t>高溫廢氣持續直接加熱汽油桶，導致汽油大量揮發。</w:t>
            </w:r>
          </w:p>
        </w:tc>
      </w:tr>
      <w:tr>
        <w:trPr>
          <w:trHeight w:val="1384" w:hRule="atLeast"/>
        </w:trPr>
        <w:tc>
          <w:tcPr>
            <w:tcW w:w="793" w:type="dxa"/>
          </w:tcPr>
          <w:p>
            <w:pPr>
              <w:pStyle w:val="TableParagraph"/>
              <w:spacing w:line="225" w:lineRule="auto"/>
              <w:ind w:right="194"/>
              <w:jc w:val="both"/>
              <w:rPr>
                <w:sz w:val="20"/>
              </w:rPr>
            </w:pPr>
            <w:r>
              <w:rPr>
                <w:sz w:val="20"/>
              </w:rPr>
              <w:t>行政管理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程序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w w:val="100"/>
                <w:sz w:val="20"/>
              </w:rPr>
              <w:t>性</w:t>
            </w:r>
          </w:p>
        </w:tc>
        <w:tc>
          <w:tcPr>
            <w:tcW w:w="1341" w:type="dxa"/>
          </w:tcPr>
          <w:p>
            <w:pPr>
              <w:pStyle w:val="TableParagraph"/>
              <w:spacing w:line="225" w:lineRule="auto"/>
              <w:ind w:left="108" w:right="168" w:hanging="1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3. </w:t>
            </w:r>
            <w:r>
              <w:rPr>
                <w:sz w:val="20"/>
              </w:rPr>
              <w:t>作業前危害辨識與風險評估</w:t>
            </w:r>
          </w:p>
        </w:tc>
        <w:tc>
          <w:tcPr>
            <w:tcW w:w="995" w:type="dxa"/>
          </w:tcPr>
          <w:p>
            <w:pPr>
              <w:pStyle w:val="TableParagraph"/>
              <w:spacing w:line="225" w:lineRule="auto"/>
              <w:ind w:left="108" w:right="195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</w:t>
            </w:r>
          </w:p>
        </w:tc>
        <w:tc>
          <w:tcPr>
            <w:tcW w:w="2842" w:type="dxa"/>
          </w:tcPr>
          <w:p>
            <w:pPr>
              <w:pStyle w:val="TableParagraph"/>
              <w:spacing w:line="225" w:lineRule="auto"/>
              <w:ind w:left="108" w:right="121"/>
              <w:rPr>
                <w:sz w:val="20"/>
              </w:rPr>
            </w:pPr>
            <w:r>
              <w:rPr>
                <w:sz w:val="20"/>
              </w:rPr>
              <w:t>未評估發電機與備用燃料共同存放於車輛的火災風險 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322" w:type="dxa"/>
          </w:tcPr>
          <w:p>
            <w:pPr>
              <w:pStyle w:val="TableParagraph"/>
              <w:spacing w:line="225" w:lineRule="auto"/>
              <w:ind w:left="110" w:right="198"/>
              <w:jc w:val="both"/>
              <w:rPr>
                <w:sz w:val="20"/>
              </w:rPr>
            </w:pPr>
            <w:r>
              <w:rPr>
                <w:sz w:val="20"/>
              </w:rPr>
              <w:t>未能識別出關鍵危害， 因此未能採取任何預防措施。</w:t>
            </w:r>
          </w:p>
        </w:tc>
      </w:tr>
      <w:tr>
        <w:trPr>
          <w:trHeight w:val="1037" w:hRule="atLeast"/>
        </w:trPr>
        <w:tc>
          <w:tcPr>
            <w:tcW w:w="79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spacing w:line="225" w:lineRule="auto"/>
              <w:ind w:left="108" w:right="168" w:hanging="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4. </w:t>
            </w:r>
            <w:r>
              <w:rPr>
                <w:sz w:val="20"/>
              </w:rPr>
              <w:t>安全作業標 準 </w:t>
            </w:r>
            <w:r>
              <w:rPr>
                <w:rFonts w:ascii="Segoe UI" w:eastAsia="Segoe UI"/>
                <w:sz w:val="20"/>
              </w:rPr>
              <w:t>(SOP)</w:t>
            </w:r>
          </w:p>
        </w:tc>
        <w:tc>
          <w:tcPr>
            <w:tcW w:w="995" w:type="dxa"/>
          </w:tcPr>
          <w:p>
            <w:pPr>
              <w:pStyle w:val="TableParagraph"/>
              <w:spacing w:line="225" w:lineRule="auto"/>
              <w:ind w:left="108" w:right="195" w:hanging="1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</w:t>
            </w:r>
          </w:p>
        </w:tc>
        <w:tc>
          <w:tcPr>
            <w:tcW w:w="2842" w:type="dxa"/>
          </w:tcPr>
          <w:p>
            <w:pPr>
              <w:pStyle w:val="TableParagraph"/>
              <w:spacing w:line="225" w:lineRule="auto"/>
              <w:ind w:left="108" w:right="121"/>
              <w:rPr>
                <w:sz w:val="20"/>
              </w:rPr>
            </w:pPr>
            <w:r>
              <w:rPr>
                <w:sz w:val="20"/>
              </w:rPr>
              <w:t>缺乏關於移動式發電機及備用燃料安全放置與使用的明確作</w:t>
            </w:r>
          </w:p>
          <w:p>
            <w:pPr>
              <w:pStyle w:val="TableParagraph"/>
              <w:spacing w:line="335" w:lineRule="exact"/>
              <w:ind w:left="108"/>
              <w:rPr>
                <w:sz w:val="20"/>
              </w:rPr>
            </w:pPr>
            <w:r>
              <w:rPr>
                <w:sz w:val="20"/>
              </w:rPr>
              <w:t>業標準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322" w:type="dxa"/>
          </w:tcPr>
          <w:p>
            <w:pPr>
              <w:pStyle w:val="TableParagraph"/>
              <w:spacing w:line="225" w:lineRule="auto"/>
              <w:ind w:left="110" w:right="198"/>
              <w:rPr>
                <w:sz w:val="20"/>
              </w:rPr>
            </w:pPr>
            <w:r>
              <w:rPr>
                <w:sz w:val="20"/>
              </w:rPr>
              <w:t>勞工只能憑個人經驗或方便行事，將設備任意</w:t>
            </w:r>
          </w:p>
          <w:p>
            <w:pPr>
              <w:pStyle w:val="TableParagraph"/>
              <w:spacing w:line="335" w:lineRule="exact"/>
              <w:ind w:left="110"/>
              <w:rPr>
                <w:sz w:val="20"/>
              </w:rPr>
            </w:pPr>
            <w:r>
              <w:rPr>
                <w:sz w:val="20"/>
              </w:rPr>
              <w:t>放置。</w:t>
            </w:r>
          </w:p>
        </w:tc>
      </w:tr>
      <w:tr>
        <w:trPr>
          <w:trHeight w:val="1037" w:hRule="atLeast"/>
        </w:trPr>
        <w:tc>
          <w:tcPr>
            <w:tcW w:w="79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spacing w:line="225" w:lineRule="auto"/>
              <w:ind w:left="108" w:right="168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5. </w:t>
            </w:r>
            <w:r>
              <w:rPr>
                <w:sz w:val="20"/>
              </w:rPr>
              <w:t>危害告知與安全教育</w:t>
            </w:r>
          </w:p>
          <w:p>
            <w:pPr>
              <w:pStyle w:val="TableParagraph"/>
              <w:spacing w:line="335" w:lineRule="exact"/>
              <w:ind w:left="108"/>
              <w:rPr>
                <w:sz w:val="20"/>
              </w:rPr>
            </w:pPr>
            <w:r>
              <w:rPr>
                <w:sz w:val="20"/>
              </w:rPr>
              <w:t>訓練</w:t>
            </w:r>
          </w:p>
        </w:tc>
        <w:tc>
          <w:tcPr>
            <w:tcW w:w="995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不足</w:t>
            </w:r>
          </w:p>
        </w:tc>
        <w:tc>
          <w:tcPr>
            <w:tcW w:w="2842" w:type="dxa"/>
          </w:tcPr>
          <w:p>
            <w:pPr>
              <w:pStyle w:val="TableParagraph"/>
              <w:spacing w:line="225" w:lineRule="auto"/>
              <w:ind w:left="108" w:right="121"/>
              <w:rPr>
                <w:sz w:val="20"/>
              </w:rPr>
            </w:pPr>
            <w:r>
              <w:rPr>
                <w:sz w:val="20"/>
              </w:rPr>
              <w:t>未對勞工進行足夠的訓練，使其了解發電機熱源與汽油揮發</w:t>
            </w:r>
          </w:p>
          <w:p>
            <w:pPr>
              <w:pStyle w:val="TableParagraph"/>
              <w:spacing w:line="335" w:lineRule="exact"/>
              <w:ind w:left="108"/>
              <w:rPr>
                <w:sz w:val="20"/>
              </w:rPr>
            </w:pPr>
            <w:r>
              <w:rPr>
                <w:sz w:val="20"/>
              </w:rPr>
              <w:t>的火災風險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322" w:type="dxa"/>
          </w:tcPr>
          <w:p>
            <w:pPr>
              <w:pStyle w:val="TableParagraph"/>
              <w:spacing w:line="225" w:lineRule="auto"/>
              <w:ind w:left="110" w:right="198"/>
              <w:rPr>
                <w:sz w:val="20"/>
              </w:rPr>
            </w:pPr>
            <w:r>
              <w:rPr>
                <w:spacing w:val="-2"/>
                <w:sz w:val="20"/>
              </w:rPr>
              <w:t>勞工因知識不足，未能</w:t>
            </w:r>
            <w:r>
              <w:rPr>
                <w:spacing w:val="-3"/>
                <w:sz w:val="20"/>
              </w:rPr>
              <w:t>意識到將汽油桶放在排</w:t>
            </w:r>
          </w:p>
          <w:p>
            <w:pPr>
              <w:pStyle w:val="TableParagraph"/>
              <w:spacing w:line="334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氣口旁的嚴重危險性。</w:t>
            </w:r>
          </w:p>
        </w:tc>
      </w:tr>
      <w:tr>
        <w:trPr>
          <w:trHeight w:val="1037" w:hRule="atLeast"/>
        </w:trPr>
        <w:tc>
          <w:tcPr>
            <w:tcW w:w="79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spacing w:line="225" w:lineRule="auto"/>
              <w:ind w:left="108" w:right="168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6. </w:t>
            </w:r>
            <w:r>
              <w:rPr>
                <w:sz w:val="20"/>
              </w:rPr>
              <w:t>現場安全檢查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監督</w:t>
            </w:r>
          </w:p>
        </w:tc>
        <w:tc>
          <w:tcPr>
            <w:tcW w:w="995" w:type="dxa"/>
          </w:tcPr>
          <w:p>
            <w:pPr>
              <w:pStyle w:val="TableParagraph"/>
              <w:spacing w:line="225" w:lineRule="auto"/>
              <w:ind w:left="108" w:right="195" w:hanging="1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不足</w:t>
            </w:r>
          </w:p>
        </w:tc>
        <w:tc>
          <w:tcPr>
            <w:tcW w:w="2842" w:type="dxa"/>
          </w:tcPr>
          <w:p>
            <w:pPr>
              <w:pStyle w:val="TableParagraph"/>
              <w:spacing w:line="225" w:lineRule="auto"/>
              <w:ind w:left="108" w:right="121"/>
              <w:rPr>
                <w:sz w:val="20"/>
              </w:rPr>
            </w:pPr>
            <w:r>
              <w:rPr>
                <w:sz w:val="20"/>
              </w:rPr>
              <w:t>未對作業前的設備佈置進行安全檢查，或工作中無人監督設</w:t>
            </w:r>
          </w:p>
          <w:p>
            <w:pPr>
              <w:pStyle w:val="TableParagraph"/>
              <w:spacing w:line="335" w:lineRule="exact"/>
              <w:ind w:left="108"/>
              <w:rPr>
                <w:sz w:val="20"/>
              </w:rPr>
            </w:pPr>
            <w:r>
              <w:rPr>
                <w:sz w:val="20"/>
              </w:rPr>
              <w:t>備的擺放狀態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322" w:type="dxa"/>
          </w:tcPr>
          <w:p>
            <w:pPr>
              <w:pStyle w:val="TableParagraph"/>
              <w:spacing w:line="332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容許了致命的危險狀態</w:t>
            </w:r>
          </w:p>
          <w:p>
            <w:pPr>
              <w:pStyle w:val="TableParagraph"/>
              <w:spacing w:line="346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（熱源近燃料</w:t>
            </w:r>
            <w:r>
              <w:rPr>
                <w:sz w:val="20"/>
              </w:rPr>
              <w:t>）從作業</w:t>
            </w:r>
          </w:p>
          <w:p>
            <w:pPr>
              <w:pStyle w:val="TableParagraph"/>
              <w:spacing w:line="339" w:lineRule="exact"/>
              <w:ind w:left="110"/>
              <w:rPr>
                <w:sz w:val="20"/>
              </w:rPr>
            </w:pPr>
            <w:r>
              <w:rPr>
                <w:sz w:val="20"/>
              </w:rPr>
              <w:t>開始時就一直存在。</w:t>
            </w:r>
          </w:p>
        </w:tc>
      </w:tr>
      <w:tr>
        <w:trPr>
          <w:trHeight w:val="1037" w:hRule="atLeast"/>
        </w:trPr>
        <w:tc>
          <w:tcPr>
            <w:tcW w:w="79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spacing w:line="225" w:lineRule="auto"/>
              <w:ind w:left="108" w:right="168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7. </w:t>
            </w:r>
            <w:r>
              <w:rPr>
                <w:sz w:val="20"/>
              </w:rPr>
              <w:t>緊急應變程序</w:t>
            </w:r>
          </w:p>
        </w:tc>
        <w:tc>
          <w:tcPr>
            <w:tcW w:w="995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</w:tc>
        <w:tc>
          <w:tcPr>
            <w:tcW w:w="2842" w:type="dxa"/>
          </w:tcPr>
          <w:p>
            <w:pPr>
              <w:pStyle w:val="TableParagraph"/>
              <w:spacing w:line="225" w:lineRule="auto"/>
              <w:ind w:left="108" w:right="121"/>
              <w:rPr>
                <w:sz w:val="20"/>
              </w:rPr>
            </w:pPr>
            <w:r>
              <w:rPr>
                <w:sz w:val="20"/>
              </w:rPr>
              <w:t>現場無適當的滅火設備，或無規劃在車廂內發生火災時的應</w:t>
            </w:r>
          </w:p>
          <w:p>
            <w:pPr>
              <w:pStyle w:val="TableParagraph"/>
              <w:spacing w:line="335" w:lineRule="exact"/>
              <w:ind w:left="108"/>
              <w:rPr>
                <w:sz w:val="20"/>
              </w:rPr>
            </w:pPr>
            <w:r>
              <w:rPr>
                <w:sz w:val="20"/>
              </w:rPr>
              <w:t>變與逃生路線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322" w:type="dxa"/>
          </w:tcPr>
          <w:p>
            <w:pPr>
              <w:pStyle w:val="TableParagraph"/>
              <w:spacing w:line="225" w:lineRule="auto"/>
              <w:ind w:left="110" w:right="198"/>
              <w:rPr>
                <w:sz w:val="20"/>
              </w:rPr>
            </w:pPr>
            <w:r>
              <w:rPr>
                <w:sz w:val="20"/>
              </w:rPr>
              <w:t>災害發生時，罹災者無法第一時間有效滅火或</w:t>
            </w:r>
          </w:p>
          <w:p>
            <w:pPr>
              <w:pStyle w:val="TableParagraph"/>
              <w:spacing w:line="334" w:lineRule="exact"/>
              <w:ind w:left="110"/>
              <w:rPr>
                <w:sz w:val="20"/>
              </w:rPr>
            </w:pPr>
            <w:r>
              <w:rPr>
                <w:sz w:val="20"/>
              </w:rPr>
              <w:t>安全逃生。</w:t>
            </w:r>
          </w:p>
        </w:tc>
      </w:tr>
    </w:tbl>
    <w:p>
      <w:pPr>
        <w:pStyle w:val="BodyText"/>
        <w:spacing w:before="10"/>
        <w:rPr>
          <w:sz w:val="22"/>
        </w:rPr>
      </w:pPr>
      <w:r>
        <w:rPr/>
        <w:pict>
          <v:group style="position:absolute;margin-left:90pt;margin-top:22.712626pt;width:415.35pt;height:.8pt;mso-position-horizontal-relative:page;mso-position-vertical-relative:paragraph;z-index:-304;mso-wrap-distance-left:0;mso-wrap-distance-right:0" coordorigin="1800,454" coordsize="8307,16">
            <v:line style="position:absolute" from="1800,462" to="10106,462" stroked="true" strokeweight=".8pt" strokecolor="#9f9f9f">
              <v:stroke dashstyle="solid"/>
            </v:line>
            <v:rect style="position:absolute;left:1800;top:454;width:5;height:5" filled="true" fillcolor="#9f9f9f" stroked="false">
              <v:fill type="solid"/>
            </v:rect>
            <v:rect style="position:absolute;left:1800;top:454;width:5;height:5" filled="true" fillcolor="#9f9f9f" stroked="false">
              <v:fill type="solid"/>
            </v:rect>
            <v:line style="position:absolute" from="1805,457" to="10102,457" stroked="true" strokeweight=".239pt" strokecolor="#9f9f9f">
              <v:stroke dashstyle="solid"/>
            </v:line>
            <v:rect style="position:absolute;left:10101;top:454;width:5;height:5" filled="true" fillcolor="#e2e2e2" stroked="false">
              <v:fill type="solid"/>
            </v:rect>
            <v:rect style="position:absolute;left:10101;top:454;width:5;height:5" filled="true" fillcolor="#9f9f9f" stroked="false">
              <v:fill type="solid"/>
            </v:rect>
            <v:rect style="position:absolute;left:1800;top:459;width:5;height:7" filled="true" fillcolor="#9f9f9f" stroked="false">
              <v:fill type="solid"/>
            </v:rect>
            <v:rect style="position:absolute;left:10101;top:459;width:5;height:7" filled="true" fillcolor="#e2e2e2" stroked="false">
              <v:fill type="solid"/>
            </v:rect>
            <v:rect style="position:absolute;left:1800;top:465;width:5;height:5" filled="true" fillcolor="#9f9f9f" stroked="false">
              <v:fill type="solid"/>
            </v:rect>
            <v:rect style="position:absolute;left:1800;top:465;width:5;height:5" filled="true" fillcolor="#e2e2e2" stroked="false">
              <v:fill type="solid"/>
            </v:rect>
            <v:line style="position:absolute" from="1805,467" to="10102,467" stroked="true" strokeweight=".239pt" strokecolor="#e2e2e2">
              <v:stroke dashstyle="solid"/>
            </v:line>
            <v:rect style="position:absolute;left:10101;top:465;width:5;height:5" filled="true" fillcolor="#e2e2e2" stroked="false">
              <v:fill type="solid"/>
            </v:rect>
            <v:rect style="position:absolute;left:10101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2"/>
        <w:spacing w:line="428" w:lineRule="exact" w:before="7"/>
      </w:pPr>
      <w:r>
        <w:rPr/>
        <w:t>五</w:t>
      </w:r>
      <w:r>
        <w:rPr>
          <w:rFonts w:ascii="Calibri" w:eastAsia="Calibri"/>
        </w:rPr>
        <w:t>. </w:t>
      </w:r>
      <w:r>
        <w:rPr/>
        <w:t>變更分析</w:t>
      </w:r>
    </w:p>
    <w:p>
      <w:pPr>
        <w:pStyle w:val="BodyText"/>
        <w:spacing w:line="225" w:lineRule="auto" w:before="6"/>
        <w:ind w:left="120" w:right="264"/>
      </w:pPr>
      <w:r>
        <w:rPr/>
        <w:t>本分析比較「事故狀況」與「理想的無事故狀況」，以識別導致事故的關鍵差異。</w:t>
      </w:r>
    </w:p>
    <w:p>
      <w:pPr>
        <w:spacing w:after="0" w:line="225" w:lineRule="auto"/>
        <w:sectPr>
          <w:pgSz w:w="11910" w:h="16840"/>
          <w:pgMar w:top="158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1601"/>
        <w:gridCol w:w="1663"/>
        <w:gridCol w:w="1731"/>
        <w:gridCol w:w="2255"/>
      </w:tblGrid>
      <w:tr>
        <w:trPr>
          <w:trHeight w:val="1037" w:hRule="atLeast"/>
        </w:trPr>
        <w:tc>
          <w:tcPr>
            <w:tcW w:w="1045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601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663" w:type="dxa"/>
          </w:tcPr>
          <w:p>
            <w:pPr>
              <w:pStyle w:val="TableParagraph"/>
              <w:spacing w:line="225" w:lineRule="auto" w:before="4"/>
              <w:ind w:right="142"/>
              <w:rPr>
                <w:sz w:val="20"/>
              </w:rPr>
            </w:pPr>
            <w:r>
              <w:rPr>
                <w:sz w:val="20"/>
              </w:rPr>
              <w:t>先前、理想或未發生事故狀況</w:t>
            </w:r>
          </w:p>
          <w:p>
            <w:pPr>
              <w:pStyle w:val="TableParagraph"/>
              <w:spacing w:line="32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31" w:type="dxa"/>
          </w:tcPr>
          <w:p>
            <w:pPr>
              <w:pStyle w:val="TableParagraph"/>
              <w:spacing w:line="356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255" w:type="dxa"/>
          </w:tcPr>
          <w:p>
            <w:pPr>
              <w:pStyle w:val="TableParagraph"/>
              <w:spacing w:line="225" w:lineRule="auto" w:before="4"/>
              <w:ind w:left="108" w:right="172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045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什麼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601" w:type="dxa"/>
          </w:tcPr>
          <w:p>
            <w:pPr>
              <w:pStyle w:val="TableParagraph"/>
              <w:spacing w:line="225" w:lineRule="auto" w:before="4"/>
              <w:ind w:right="279"/>
              <w:jc w:val="both"/>
              <w:rPr>
                <w:sz w:val="20"/>
              </w:rPr>
            </w:pPr>
            <w:r>
              <w:rPr>
                <w:sz w:val="20"/>
              </w:rPr>
              <w:t>發電機與備用汽油桶因擺放不當，引發火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災。</w:t>
            </w:r>
          </w:p>
        </w:tc>
        <w:tc>
          <w:tcPr>
            <w:tcW w:w="1663" w:type="dxa"/>
          </w:tcPr>
          <w:p>
            <w:pPr>
              <w:pStyle w:val="TableParagraph"/>
              <w:spacing w:line="225" w:lineRule="auto" w:before="4"/>
              <w:ind w:right="142"/>
              <w:jc w:val="both"/>
              <w:rPr>
                <w:sz w:val="20"/>
              </w:rPr>
            </w:pPr>
            <w:r>
              <w:rPr>
                <w:sz w:val="20"/>
              </w:rPr>
              <w:t>發電機與備用汽油分開、安全存放，作業安全完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成。</w:t>
            </w:r>
          </w:p>
        </w:tc>
        <w:tc>
          <w:tcPr>
            <w:tcW w:w="1731" w:type="dxa"/>
          </w:tcPr>
          <w:p>
            <w:pPr>
              <w:pStyle w:val="TableParagraph"/>
              <w:spacing w:line="225" w:lineRule="auto" w:before="4"/>
              <w:ind w:right="210"/>
              <w:jc w:val="both"/>
              <w:rPr>
                <w:sz w:val="20"/>
              </w:rPr>
            </w:pPr>
            <w:r>
              <w:rPr>
                <w:sz w:val="20"/>
              </w:rPr>
              <w:t>設備的「儲存與擺放方式」由安全變為不安全。</w:t>
            </w:r>
          </w:p>
        </w:tc>
        <w:tc>
          <w:tcPr>
            <w:tcW w:w="2255" w:type="dxa"/>
          </w:tcPr>
          <w:p>
            <w:pPr>
              <w:pStyle w:val="TableParagraph"/>
              <w:spacing w:line="225" w:lineRule="auto" w:before="5"/>
              <w:ind w:left="108" w:right="132"/>
              <w:jc w:val="both"/>
              <w:rPr>
                <w:sz w:val="20"/>
              </w:rPr>
            </w:pPr>
            <w:r>
              <w:rPr>
                <w:sz w:val="20"/>
              </w:rPr>
              <w:t>創造了熱源與燃料在狹小空間內共存的致命條件。</w:t>
            </w:r>
          </w:p>
        </w:tc>
      </w:tr>
      <w:tr>
        <w:trPr>
          <w:trHeight w:val="1384" w:hRule="atLeast"/>
        </w:trPr>
        <w:tc>
          <w:tcPr>
            <w:tcW w:w="1045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WHEN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何時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601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長時間作業</w:t>
            </w:r>
          </w:p>
          <w:p>
            <w:pPr>
              <w:pStyle w:val="TableParagraph"/>
              <w:spacing w:line="225" w:lineRule="auto" w:before="5"/>
              <w:ind w:left="108" w:right="81" w:hanging="1"/>
              <w:rPr>
                <w:sz w:val="20"/>
              </w:rPr>
            </w:pPr>
            <w:r>
              <w:rPr>
                <w:sz w:val="20"/>
              </w:rPr>
              <w:t>（約 </w:t>
            </w:r>
            <w:r>
              <w:rPr>
                <w:rFonts w:ascii="Segoe UI" w:eastAsia="Segoe UI"/>
                <w:sz w:val="20"/>
              </w:rPr>
              <w:t>6.5 </w:t>
            </w:r>
            <w:r>
              <w:rPr>
                <w:sz w:val="20"/>
              </w:rPr>
              <w:t>小時） 後發生。</w:t>
            </w:r>
          </w:p>
        </w:tc>
        <w:tc>
          <w:tcPr>
            <w:tcW w:w="1663" w:type="dxa"/>
          </w:tcPr>
          <w:p>
            <w:pPr>
              <w:pStyle w:val="TableParagraph"/>
              <w:spacing w:line="225" w:lineRule="auto" w:before="5"/>
              <w:ind w:right="142"/>
              <w:rPr>
                <w:sz w:val="20"/>
              </w:rPr>
            </w:pPr>
            <w:r>
              <w:rPr>
                <w:sz w:val="20"/>
              </w:rPr>
              <w:t>短時間作業或有中途冷卻檢查。</w:t>
            </w:r>
          </w:p>
        </w:tc>
        <w:tc>
          <w:tcPr>
            <w:tcW w:w="1731" w:type="dxa"/>
          </w:tcPr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由「短暫」或</w:t>
            </w:r>
          </w:p>
          <w:p>
            <w:pPr>
              <w:pStyle w:val="TableParagraph"/>
              <w:spacing w:line="225" w:lineRule="auto" w:before="5"/>
              <w:ind w:left="108" w:right="210"/>
              <w:rPr>
                <w:sz w:val="20"/>
              </w:rPr>
            </w:pPr>
            <w:r>
              <w:rPr>
                <w:sz w:val="20"/>
              </w:rPr>
              <w:t>「間歇運轉」變為「長時間連續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運轉」。</w:t>
            </w:r>
          </w:p>
        </w:tc>
        <w:tc>
          <w:tcPr>
            <w:tcW w:w="2255" w:type="dxa"/>
          </w:tcPr>
          <w:p>
            <w:pPr>
              <w:pStyle w:val="TableParagraph"/>
              <w:spacing w:line="225" w:lineRule="auto" w:before="5"/>
              <w:ind w:left="108" w:right="132"/>
              <w:jc w:val="both"/>
              <w:rPr>
                <w:sz w:val="20"/>
              </w:rPr>
            </w:pPr>
            <w:r>
              <w:rPr>
                <w:sz w:val="20"/>
              </w:rPr>
              <w:t>長時間的連續加熱是汽油大量揮發產生足夠濃度蒸氣的關鍵因素。</w:t>
            </w:r>
          </w:p>
        </w:tc>
      </w:tr>
      <w:tr>
        <w:trPr>
          <w:trHeight w:val="1383" w:hRule="atLeast"/>
        </w:trPr>
        <w:tc>
          <w:tcPr>
            <w:tcW w:w="1045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何地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601" w:type="dxa"/>
          </w:tcPr>
          <w:p>
            <w:pPr>
              <w:pStyle w:val="TableParagraph"/>
              <w:spacing w:line="225" w:lineRule="auto" w:before="4"/>
              <w:ind w:right="279"/>
              <w:jc w:val="both"/>
              <w:rPr>
                <w:sz w:val="20"/>
              </w:rPr>
            </w:pPr>
            <w:r>
              <w:rPr>
                <w:sz w:val="20"/>
              </w:rPr>
              <w:t>於通風不良的貨車車廂內共同存放發電機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與汽油。</w:t>
            </w:r>
          </w:p>
        </w:tc>
        <w:tc>
          <w:tcPr>
            <w:tcW w:w="1663" w:type="dxa"/>
          </w:tcPr>
          <w:p>
            <w:pPr>
              <w:pStyle w:val="TableParagraph"/>
              <w:spacing w:line="225" w:lineRule="auto" w:before="4"/>
              <w:ind w:right="142"/>
              <w:jc w:val="both"/>
              <w:rPr>
                <w:sz w:val="20"/>
              </w:rPr>
            </w:pPr>
            <w:r>
              <w:rPr>
                <w:sz w:val="20"/>
              </w:rPr>
              <w:t>將發電機置於室外開放空間，汽油則儲放在陰涼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處。</w:t>
            </w:r>
          </w:p>
        </w:tc>
        <w:tc>
          <w:tcPr>
            <w:tcW w:w="1731" w:type="dxa"/>
          </w:tcPr>
          <w:p>
            <w:pPr>
              <w:pStyle w:val="TableParagraph"/>
              <w:spacing w:line="225" w:lineRule="auto" w:before="4"/>
              <w:ind w:right="210"/>
              <w:rPr>
                <w:sz w:val="20"/>
              </w:rPr>
            </w:pPr>
            <w:r>
              <w:rPr>
                <w:sz w:val="20"/>
              </w:rPr>
              <w:t>作業環境由「開放通風」變為</w:t>
            </w:r>
          </w:p>
          <w:p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z w:val="20"/>
              </w:rPr>
              <w:t>「侷限、通風不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良」。</w:t>
            </w:r>
          </w:p>
        </w:tc>
        <w:tc>
          <w:tcPr>
            <w:tcW w:w="2255" w:type="dxa"/>
          </w:tcPr>
          <w:p>
            <w:pPr>
              <w:pStyle w:val="TableParagraph"/>
              <w:spacing w:line="225" w:lineRule="auto" w:before="4"/>
              <w:ind w:left="108" w:right="132"/>
              <w:jc w:val="both"/>
              <w:rPr>
                <w:sz w:val="20"/>
              </w:rPr>
            </w:pPr>
            <w:r>
              <w:rPr>
                <w:sz w:val="20"/>
              </w:rPr>
              <w:t>加速了易燃蒸氣的濃度累積，並限制了罹災者的逃生。</w:t>
            </w:r>
          </w:p>
        </w:tc>
      </w:tr>
      <w:tr>
        <w:trPr>
          <w:trHeight w:val="1383" w:hRule="atLeast"/>
        </w:trPr>
        <w:tc>
          <w:tcPr>
            <w:tcW w:w="1045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WHO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何人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601" w:type="dxa"/>
          </w:tcPr>
          <w:p>
            <w:pPr>
              <w:pStyle w:val="TableParagraph"/>
              <w:spacing w:line="225" w:lineRule="auto" w:before="4"/>
              <w:ind w:right="279"/>
              <w:rPr>
                <w:sz w:val="20"/>
              </w:rPr>
            </w:pPr>
            <w:r>
              <w:rPr>
                <w:sz w:val="20"/>
              </w:rPr>
              <w:t>缺乏相關危害認知的勞工。</w:t>
            </w:r>
          </w:p>
        </w:tc>
        <w:tc>
          <w:tcPr>
            <w:tcW w:w="1663" w:type="dxa"/>
          </w:tcPr>
          <w:p>
            <w:pPr>
              <w:pStyle w:val="TableParagraph"/>
              <w:spacing w:line="225" w:lineRule="auto" w:before="4"/>
              <w:ind w:right="142"/>
              <w:rPr>
                <w:sz w:val="20"/>
              </w:rPr>
            </w:pPr>
            <w:r>
              <w:rPr>
                <w:sz w:val="20"/>
              </w:rPr>
              <w:t>接受過完整訓 </w:t>
            </w:r>
            <w:r>
              <w:rPr>
                <w:spacing w:val="-3"/>
                <w:sz w:val="20"/>
              </w:rPr>
              <w:t>練，了解發電機與易燃物安全操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作的勞工。</w:t>
            </w:r>
          </w:p>
        </w:tc>
        <w:tc>
          <w:tcPr>
            <w:tcW w:w="1731" w:type="dxa"/>
          </w:tcPr>
          <w:p>
            <w:pPr>
              <w:pStyle w:val="TableParagraph"/>
              <w:spacing w:line="225" w:lineRule="auto" w:before="4"/>
              <w:ind w:right="210"/>
              <w:jc w:val="both"/>
              <w:rPr>
                <w:sz w:val="20"/>
              </w:rPr>
            </w:pPr>
            <w:r>
              <w:rPr>
                <w:sz w:val="20"/>
              </w:rPr>
              <w:t>作業人員的「危害認知」由具備變為不足。</w:t>
            </w:r>
          </w:p>
        </w:tc>
        <w:tc>
          <w:tcPr>
            <w:tcW w:w="2255" w:type="dxa"/>
          </w:tcPr>
          <w:p>
            <w:pPr>
              <w:pStyle w:val="TableParagraph"/>
              <w:spacing w:line="225" w:lineRule="auto" w:before="4"/>
              <w:ind w:left="108" w:right="132"/>
              <w:jc w:val="both"/>
              <w:rPr>
                <w:sz w:val="20"/>
              </w:rPr>
            </w:pPr>
            <w:r>
              <w:rPr>
                <w:sz w:val="20"/>
              </w:rPr>
              <w:t>勞工因認知不足而做出了將汽油桶放在排氣口旁的致命決定。</w:t>
            </w:r>
          </w:p>
        </w:tc>
      </w:tr>
      <w:tr>
        <w:trPr>
          <w:trHeight w:val="1384" w:hRule="atLeast"/>
        </w:trPr>
        <w:tc>
          <w:tcPr>
            <w:tcW w:w="1045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HOW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如何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601" w:type="dxa"/>
          </w:tcPr>
          <w:p>
            <w:pPr>
              <w:pStyle w:val="TableParagraph"/>
              <w:spacing w:line="225" w:lineRule="auto" w:before="5"/>
              <w:ind w:right="279"/>
              <w:jc w:val="both"/>
              <w:rPr>
                <w:sz w:val="20"/>
              </w:rPr>
            </w:pPr>
            <w:r>
              <w:rPr>
                <w:sz w:val="20"/>
              </w:rPr>
              <w:t>將備用汽油桶直接放置於發電機排氣口旁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約 </w:t>
            </w:r>
            <w:r>
              <w:rPr>
                <w:rFonts w:ascii="Segoe UI" w:eastAsia="Segoe UI"/>
                <w:sz w:val="20"/>
              </w:rPr>
              <w:t>15 </w:t>
            </w:r>
            <w:r>
              <w:rPr>
                <w:sz w:val="20"/>
              </w:rPr>
              <w:t>公分處。</w:t>
            </w:r>
          </w:p>
        </w:tc>
        <w:tc>
          <w:tcPr>
            <w:tcW w:w="1663" w:type="dxa"/>
          </w:tcPr>
          <w:p>
            <w:pPr>
              <w:pStyle w:val="TableParagraph"/>
              <w:spacing w:line="225" w:lineRule="auto" w:before="5"/>
              <w:ind w:right="142"/>
              <w:jc w:val="both"/>
              <w:rPr>
                <w:sz w:val="20"/>
              </w:rPr>
            </w:pPr>
            <w:r>
              <w:rPr>
                <w:sz w:val="20"/>
              </w:rPr>
              <w:t>遵守安全距離要求，將汽油桶放置在遠離熱源的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安全位置。</w:t>
            </w:r>
          </w:p>
        </w:tc>
        <w:tc>
          <w:tcPr>
            <w:tcW w:w="1731" w:type="dxa"/>
          </w:tcPr>
          <w:p>
            <w:pPr>
              <w:pStyle w:val="TableParagraph"/>
              <w:spacing w:line="225" w:lineRule="auto" w:before="5"/>
              <w:ind w:right="210"/>
              <w:jc w:val="both"/>
              <w:rPr>
                <w:sz w:val="20"/>
              </w:rPr>
            </w:pPr>
            <w:r>
              <w:rPr>
                <w:sz w:val="20"/>
              </w:rPr>
              <w:t>「設備間的相對位置」發生了致命性的改變。</w:t>
            </w:r>
          </w:p>
        </w:tc>
        <w:tc>
          <w:tcPr>
            <w:tcW w:w="2255" w:type="dxa"/>
          </w:tcPr>
          <w:p>
            <w:pPr>
              <w:pStyle w:val="TableParagraph"/>
              <w:spacing w:line="225" w:lineRule="auto" w:before="5"/>
              <w:ind w:left="108" w:right="132"/>
              <w:jc w:val="both"/>
              <w:rPr>
                <w:sz w:val="20"/>
              </w:rPr>
            </w:pPr>
            <w:r>
              <w:rPr>
                <w:sz w:val="20"/>
              </w:rPr>
              <w:t>這是能量（熱）傳遞給燃料（汽油）的最直接路徑，是引發火災的直</w:t>
            </w:r>
          </w:p>
          <w:p>
            <w:pPr>
              <w:pStyle w:val="TableParagraph"/>
              <w:spacing w:line="322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接操作行為。</w:t>
            </w:r>
          </w:p>
        </w:tc>
      </w:tr>
      <w:tr>
        <w:trPr>
          <w:trHeight w:val="1383" w:hRule="atLeast"/>
        </w:trPr>
        <w:tc>
          <w:tcPr>
            <w:tcW w:w="1045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OTHER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其他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601" w:type="dxa"/>
          </w:tcPr>
          <w:p>
            <w:pPr>
              <w:pStyle w:val="TableParagraph"/>
              <w:spacing w:line="225" w:lineRule="auto" w:before="4"/>
              <w:ind w:right="279"/>
              <w:jc w:val="both"/>
              <w:rPr>
                <w:sz w:val="20"/>
              </w:rPr>
            </w:pPr>
            <w:r>
              <w:rPr>
                <w:sz w:val="20"/>
              </w:rPr>
              <w:t>無作業前風險評估或安全規劃。</w:t>
            </w:r>
          </w:p>
        </w:tc>
        <w:tc>
          <w:tcPr>
            <w:tcW w:w="1663" w:type="dxa"/>
          </w:tcPr>
          <w:p>
            <w:pPr>
              <w:pStyle w:val="TableParagraph"/>
              <w:spacing w:line="225" w:lineRule="auto" w:before="4"/>
              <w:ind w:right="142"/>
              <w:jc w:val="both"/>
              <w:rPr>
                <w:sz w:val="20"/>
              </w:rPr>
            </w:pPr>
            <w:r>
              <w:rPr>
                <w:sz w:val="20"/>
              </w:rPr>
              <w:t>作業前有完整的風險評估與安全作業計畫。</w:t>
            </w:r>
          </w:p>
        </w:tc>
        <w:tc>
          <w:tcPr>
            <w:tcW w:w="1731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安全管理措施由</w:t>
            </w:r>
          </w:p>
          <w:p>
            <w:pPr>
              <w:pStyle w:val="TableParagraph"/>
              <w:spacing w:line="225" w:lineRule="auto" w:before="5"/>
              <w:ind w:right="210"/>
              <w:rPr>
                <w:sz w:val="20"/>
              </w:rPr>
            </w:pPr>
            <w:r>
              <w:rPr>
                <w:sz w:val="20"/>
              </w:rPr>
              <w:t>「存在且有效」變為「完全缺</w:t>
            </w:r>
          </w:p>
          <w:p>
            <w:pPr>
              <w:pStyle w:val="TableParagraph"/>
              <w:spacing w:line="321" w:lineRule="exact"/>
              <w:rPr>
                <w:sz w:val="20"/>
              </w:rPr>
            </w:pPr>
            <w:r>
              <w:rPr>
                <w:sz w:val="20"/>
              </w:rPr>
              <w:t>失」。</w:t>
            </w:r>
          </w:p>
        </w:tc>
        <w:tc>
          <w:tcPr>
            <w:tcW w:w="2255" w:type="dxa"/>
          </w:tcPr>
          <w:p>
            <w:pPr>
              <w:pStyle w:val="TableParagraph"/>
              <w:spacing w:line="225" w:lineRule="auto" w:before="4"/>
              <w:ind w:left="108" w:right="132"/>
              <w:jc w:val="both"/>
              <w:rPr>
                <w:sz w:val="20"/>
              </w:rPr>
            </w:pPr>
            <w:r>
              <w:rPr>
                <w:sz w:val="20"/>
              </w:rPr>
              <w:t>這是所有不安全行為與狀況得以發生的根本原因，是管理系統的失</w:t>
            </w:r>
          </w:p>
          <w:p>
            <w:pPr>
              <w:pStyle w:val="TableParagraph"/>
              <w:spacing w:line="322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效。</w:t>
            </w:r>
          </w:p>
        </w:tc>
      </w:tr>
    </w:tbl>
    <w:p>
      <w:pPr>
        <w:pStyle w:val="BodyText"/>
        <w:spacing w:before="5"/>
        <w:rPr>
          <w:sz w:val="23"/>
        </w:rPr>
      </w:pPr>
      <w:r>
        <w:rPr/>
        <w:pict>
          <v:group style="position:absolute;margin-left:90pt;margin-top:23.4pt;width:415.35pt;height:.8pt;mso-position-horizontal-relative:page;mso-position-vertical-relative:paragraph;z-index:-280;mso-wrap-distance-left:0;mso-wrap-distance-right:0" coordorigin="1800,468" coordsize="8307,16">
            <v:line style="position:absolute" from="1800,476" to="10106,476" stroked="true" strokeweight=".751pt" strokecolor="#9f9f9f">
              <v:stroke dashstyle="solid"/>
            </v:line>
            <v:rect style="position:absolute;left:1800;top:468;width:5;height:5" filled="true" fillcolor="#9f9f9f" stroked="false">
              <v:fill type="solid"/>
            </v:rect>
            <v:rect style="position:absolute;left:1800;top:468;width:5;height:5" filled="true" fillcolor="#9f9f9f" stroked="false">
              <v:fill type="solid"/>
            </v:rect>
            <v:line style="position:absolute" from="1805,470" to="10102,470" stroked="true" strokeweight=".24pt" strokecolor="#9f9f9f">
              <v:stroke dashstyle="solid"/>
            </v:line>
            <v:rect style="position:absolute;left:10101;top:468;width:5;height:5" filled="true" fillcolor="#e2e2e2" stroked="false">
              <v:fill type="solid"/>
            </v:rect>
            <v:rect style="position:absolute;left:10101;top:468;width:5;height:5" filled="true" fillcolor="#9f9f9f" stroked="false">
              <v:fill type="solid"/>
            </v:rect>
            <v:rect style="position:absolute;left:1800;top:472;width:5;height:6" filled="true" fillcolor="#9f9f9f" stroked="false">
              <v:fill type="solid"/>
            </v:rect>
            <v:rect style="position:absolute;left:10101;top:472;width:5;height:6" filled="true" fillcolor="#e2e2e2" stroked="false">
              <v:fill type="solid"/>
            </v:rect>
            <v:rect style="position:absolute;left:1800;top:478;width:5;height:5" filled="true" fillcolor="#9f9f9f" stroked="false">
              <v:fill type="solid"/>
            </v:rect>
            <v:rect style="position:absolute;left:1800;top:478;width:5;height:5" filled="true" fillcolor="#e2e2e2" stroked="false">
              <v:fill type="solid"/>
            </v:rect>
            <v:line style="position:absolute" from="1805,481" to="10102,481" stroked="true" strokeweight=".24pt" strokecolor="#e2e2e2">
              <v:stroke dashstyle="solid"/>
            </v:line>
            <v:rect style="position:absolute;left:10101;top:478;width:5;height:5" filled="true" fillcolor="#e2e2e2" stroked="false">
              <v:fill type="solid"/>
            </v:rect>
            <v:rect style="position:absolute;left:10101;top:47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2"/>
        <w:spacing w:line="428" w:lineRule="exact" w:before="39"/>
      </w:pPr>
      <w:r>
        <w:rPr/>
        <w:t>六</w:t>
      </w:r>
      <w:r>
        <w:rPr>
          <w:rFonts w:ascii="Calibri" w:eastAsia="Calibri"/>
        </w:rPr>
        <w:t>. </w:t>
      </w:r>
      <w:r>
        <w:rPr/>
        <w:t>人為失效分析</w:t>
      </w:r>
    </w:p>
    <w:p>
      <w:pPr>
        <w:pStyle w:val="BodyText"/>
        <w:spacing w:line="428" w:lineRule="exact"/>
        <w:ind w:left="120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"/>
        <w:gridCol w:w="3372"/>
        <w:gridCol w:w="4140"/>
      </w:tblGrid>
      <w:tr>
        <w:trPr>
          <w:trHeight w:val="692" w:hRule="atLeast"/>
        </w:trPr>
        <w:tc>
          <w:tcPr>
            <w:tcW w:w="785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失誤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類型</w:t>
            </w:r>
          </w:p>
        </w:tc>
        <w:tc>
          <w:tcPr>
            <w:tcW w:w="3372" w:type="dxa"/>
          </w:tcPr>
          <w:p>
            <w:pPr>
              <w:pStyle w:val="TableParagraph"/>
              <w:spacing w:line="344" w:lineRule="exact"/>
              <w:ind w:left="106"/>
              <w:rPr>
                <w:sz w:val="20"/>
              </w:rPr>
            </w:pPr>
            <w:r>
              <w:rPr>
                <w:sz w:val="20"/>
              </w:rPr>
              <w:t>主要不安全行為</w:t>
            </w:r>
          </w:p>
        </w:tc>
        <w:tc>
          <w:tcPr>
            <w:tcW w:w="4140" w:type="dxa"/>
          </w:tcPr>
          <w:p>
            <w:pPr>
              <w:pStyle w:val="TableParagraph"/>
              <w:spacing w:line="344" w:lineRule="exact"/>
              <w:ind w:left="106"/>
              <w:rPr>
                <w:sz w:val="20"/>
              </w:rPr>
            </w:pPr>
            <w:r>
              <w:rPr>
                <w:sz w:val="20"/>
              </w:rPr>
              <w:t>根本原因（組織與系統層面）</w:t>
            </w:r>
          </w:p>
        </w:tc>
      </w:tr>
      <w:tr>
        <w:trPr>
          <w:trHeight w:val="1729" w:hRule="atLeast"/>
        </w:trPr>
        <w:tc>
          <w:tcPr>
            <w:tcW w:w="785" w:type="dxa"/>
          </w:tcPr>
          <w:p>
            <w:pPr>
              <w:pStyle w:val="TableParagraph"/>
              <w:spacing w:line="225" w:lineRule="auto"/>
              <w:ind w:right="264"/>
              <w:jc w:val="both"/>
              <w:rPr>
                <w:sz w:val="20"/>
              </w:rPr>
            </w:pPr>
            <w:r>
              <w:rPr>
                <w:sz w:val="20"/>
              </w:rPr>
              <w:t>知識性錯誤</w:t>
            </w:r>
          </w:p>
        </w:tc>
        <w:tc>
          <w:tcPr>
            <w:tcW w:w="3372" w:type="dxa"/>
          </w:tcPr>
          <w:p>
            <w:pPr>
              <w:pStyle w:val="TableParagraph"/>
              <w:spacing w:line="225" w:lineRule="auto"/>
              <w:ind w:left="106" w:right="252"/>
              <w:rPr>
                <w:sz w:val="20"/>
              </w:rPr>
            </w:pPr>
            <w:r>
              <w:rPr>
                <w:sz w:val="20"/>
              </w:rPr>
              <w:t>將備用汽油桶放置在發電機高溫排氣口旁。</w:t>
            </w:r>
          </w:p>
        </w:tc>
        <w:tc>
          <w:tcPr>
            <w:tcW w:w="4140" w:type="dxa"/>
          </w:tcPr>
          <w:p>
            <w:pPr>
              <w:pStyle w:val="TableParagraph"/>
              <w:spacing w:line="333" w:lineRule="exact"/>
              <w:ind w:left="106"/>
              <w:rPr>
                <w:sz w:val="20"/>
              </w:rPr>
            </w:pPr>
            <w:r>
              <w:rPr>
                <w:sz w:val="20"/>
              </w:rPr>
              <w:t>訓練與文化：</w:t>
            </w:r>
          </w:p>
          <w:p>
            <w:pPr>
              <w:pStyle w:val="TableParagraph"/>
              <w:spacing w:line="225" w:lineRule="auto" w:before="4"/>
              <w:ind w:left="106" w:right="221"/>
              <w:rPr>
                <w:sz w:val="20"/>
              </w:rPr>
            </w:pPr>
            <w:r>
              <w:rPr>
                <w:spacing w:val="-1"/>
                <w:sz w:val="20"/>
              </w:rPr>
              <w:t>危害告知與安全教育訓練不足，人員對發電</w:t>
            </w:r>
            <w:r>
              <w:rPr>
                <w:sz w:val="20"/>
              </w:rPr>
              <w:t>機熱源與汽油揮發的火災風險認知低落。 </w:t>
            </w:r>
            <w:r>
              <w:rPr>
                <w:spacing w:val="-1"/>
                <w:sz w:val="20"/>
              </w:rPr>
              <w:t>安全文化薄弱，可能存在「一直都這樣做沒</w:t>
            </w:r>
          </w:p>
          <w:p>
            <w:pPr>
              <w:pStyle w:val="TableParagraph"/>
              <w:spacing w:line="335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事」的僥倖心理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</w:tbl>
    <w:p>
      <w:pPr>
        <w:spacing w:after="0" w:line="335" w:lineRule="exact"/>
        <w:rPr>
          <w:sz w:val="20"/>
        </w:rPr>
        <w:sectPr>
          <w:pgSz w:w="11910" w:h="16840"/>
          <w:pgMar w:top="142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"/>
        <w:gridCol w:w="3372"/>
        <w:gridCol w:w="4140"/>
      </w:tblGrid>
      <w:tr>
        <w:trPr>
          <w:trHeight w:val="2421" w:hRule="atLeast"/>
        </w:trPr>
        <w:tc>
          <w:tcPr>
            <w:tcW w:w="785" w:type="dxa"/>
          </w:tcPr>
          <w:p>
            <w:pPr>
              <w:pStyle w:val="TableParagraph"/>
              <w:spacing w:line="225" w:lineRule="auto" w:before="4"/>
              <w:ind w:right="264"/>
              <w:jc w:val="both"/>
              <w:rPr>
                <w:sz w:val="20"/>
              </w:rPr>
            </w:pPr>
            <w:r>
              <w:rPr>
                <w:sz w:val="20"/>
              </w:rPr>
              <w:t>規則性錯誤</w:t>
            </w:r>
          </w:p>
        </w:tc>
        <w:tc>
          <w:tcPr>
            <w:tcW w:w="3372" w:type="dxa"/>
          </w:tcPr>
          <w:p>
            <w:pPr>
              <w:pStyle w:val="TableParagraph"/>
              <w:spacing w:line="225" w:lineRule="auto" w:before="4"/>
              <w:ind w:left="106" w:right="252"/>
              <w:jc w:val="both"/>
              <w:rPr>
                <w:sz w:val="20"/>
              </w:rPr>
            </w:pPr>
            <w:r>
              <w:rPr>
                <w:sz w:val="20"/>
              </w:rPr>
              <w:t>未依安全規則進行設備的擺放與儲存，或根本不存在相關規則可供遵循。</w:t>
            </w:r>
          </w:p>
        </w:tc>
        <w:tc>
          <w:tcPr>
            <w:tcW w:w="4140" w:type="dxa"/>
          </w:tcPr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sz w:val="20"/>
              </w:rPr>
              <w:t>安全管理制度：</w:t>
            </w:r>
          </w:p>
          <w:p>
            <w:pPr>
              <w:pStyle w:val="TableParagraph"/>
              <w:spacing w:line="225" w:lineRule="auto" w:before="5"/>
              <w:ind w:left="106" w:right="221"/>
              <w:rPr>
                <w:sz w:val="20"/>
              </w:rPr>
            </w:pPr>
            <w:r>
              <w:rPr>
                <w:sz w:val="20"/>
              </w:rPr>
              <w:t>缺乏對移動式發電機及備用燃料安全使用的標準作業程序（</w:t>
            </w:r>
            <w:r>
              <w:rPr>
                <w:rFonts w:ascii="Segoe UI" w:eastAsia="Segoe UI"/>
                <w:sz w:val="20"/>
              </w:rPr>
              <w:t>SOP</w:t>
            </w:r>
            <w:r>
              <w:rPr>
                <w:sz w:val="20"/>
              </w:rPr>
              <w:t>）。</w:t>
            </w:r>
          </w:p>
          <w:p>
            <w:pPr>
              <w:pStyle w:val="TableParagraph"/>
              <w:spacing w:line="225" w:lineRule="auto"/>
              <w:ind w:left="106" w:right="620"/>
              <w:rPr>
                <w:sz w:val="20"/>
              </w:rPr>
            </w:pPr>
            <w:r>
              <w:rPr>
                <w:sz w:val="20"/>
              </w:rPr>
              <w:t>未執行作業前的危害辨識與風險評估。監督與資源：</w:t>
            </w:r>
          </w:p>
          <w:p>
            <w:pPr>
              <w:pStyle w:val="TableParagraph"/>
              <w:spacing w:line="342" w:lineRule="exact"/>
              <w:ind w:left="106"/>
              <w:rPr>
                <w:sz w:val="20"/>
              </w:rPr>
            </w:pPr>
            <w:r>
              <w:rPr>
                <w:sz w:val="20"/>
              </w:rPr>
              <w:t>現場安全監督機制失靈，未能對設備的危險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佈置進行檢查與糾正。</w:t>
            </w:r>
          </w:p>
        </w:tc>
      </w:tr>
    </w:tbl>
    <w:p>
      <w:pPr>
        <w:pStyle w:val="BodyText"/>
        <w:spacing w:before="5"/>
        <w:rPr>
          <w:sz w:val="23"/>
        </w:rPr>
      </w:pPr>
      <w:r>
        <w:rPr/>
        <w:pict>
          <v:group style="position:absolute;margin-left:90pt;margin-top:23.4pt;width:415.35pt;height:.8pt;mso-position-horizontal-relative:page;mso-position-vertical-relative:paragraph;z-index:-256;mso-wrap-distance-left:0;mso-wrap-distance-right:0" coordorigin="1800,468" coordsize="8307,16">
            <v:line style="position:absolute" from="1800,476" to="10106,476" stroked="true" strokeweight=".751pt" strokecolor="#9f9f9f">
              <v:stroke dashstyle="solid"/>
            </v:line>
            <v:rect style="position:absolute;left:1800;top:468;width:5;height:5" filled="true" fillcolor="#9f9f9f" stroked="false">
              <v:fill type="solid"/>
            </v:rect>
            <v:rect style="position:absolute;left:1800;top:468;width:5;height:5" filled="true" fillcolor="#9f9f9f" stroked="false">
              <v:fill type="solid"/>
            </v:rect>
            <v:line style="position:absolute" from="1805,470" to="10102,470" stroked="true" strokeweight=".24pt" strokecolor="#9f9f9f">
              <v:stroke dashstyle="solid"/>
            </v:line>
            <v:rect style="position:absolute;left:10101;top:468;width:5;height:5" filled="true" fillcolor="#e2e2e2" stroked="false">
              <v:fill type="solid"/>
            </v:rect>
            <v:rect style="position:absolute;left:10101;top:468;width:5;height:5" filled="true" fillcolor="#9f9f9f" stroked="false">
              <v:fill type="solid"/>
            </v:rect>
            <v:rect style="position:absolute;left:1800;top:472;width:5;height:6" filled="true" fillcolor="#9f9f9f" stroked="false">
              <v:fill type="solid"/>
            </v:rect>
            <v:rect style="position:absolute;left:10101;top:472;width:5;height:6" filled="true" fillcolor="#e2e2e2" stroked="false">
              <v:fill type="solid"/>
            </v:rect>
            <v:rect style="position:absolute;left:1800;top:478;width:5;height:5" filled="true" fillcolor="#9f9f9f" stroked="false">
              <v:fill type="solid"/>
            </v:rect>
            <v:rect style="position:absolute;left:1800;top:478;width:5;height:5" filled="true" fillcolor="#e2e2e2" stroked="false">
              <v:fill type="solid"/>
            </v:rect>
            <v:line style="position:absolute" from="1805,481" to="10102,481" stroked="true" strokeweight=".24pt" strokecolor="#e2e2e2">
              <v:stroke dashstyle="solid"/>
            </v:line>
            <v:rect style="position:absolute;left:10101;top:478;width:5;height:5" filled="true" fillcolor="#e2e2e2" stroked="false">
              <v:fill type="solid"/>
            </v:rect>
            <v:rect style="position:absolute;left:10101;top:47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2"/>
        <w:spacing w:line="428" w:lineRule="exact" w:before="39"/>
      </w:pPr>
      <w:r>
        <w:rPr/>
        <w:t>七</w:t>
      </w:r>
      <w:r>
        <w:rPr>
          <w:rFonts w:ascii="Calibri" w:eastAsia="Calibri"/>
        </w:rPr>
        <w:t>. </w:t>
      </w:r>
      <w:r>
        <w:rPr/>
        <w:t>根本原因探討</w:t>
      </w:r>
    </w:p>
    <w:p>
      <w:pPr>
        <w:pStyle w:val="BodyText"/>
        <w:spacing w:line="415" w:lineRule="exact"/>
        <w:ind w:left="120"/>
      </w:pPr>
      <w:r>
        <w:rPr/>
        <w:t>事故的發生是以下立即原因（不安全的行為與狀況）直接導致的結果：</w:t>
      </w:r>
    </w:p>
    <w:p>
      <w:pPr>
        <w:pStyle w:val="Heading2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</w:pPr>
      <w:r>
        <w:rPr/>
        <w:t>不安全的狀況：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225" w:lineRule="auto" w:before="6" w:after="0"/>
        <w:ind w:left="1560" w:right="264" w:hanging="360"/>
        <w:jc w:val="left"/>
        <w:rPr>
          <w:sz w:val="24"/>
        </w:rPr>
      </w:pPr>
      <w:r>
        <w:rPr>
          <w:spacing w:val="-1"/>
          <w:sz w:val="24"/>
        </w:rPr>
        <w:t>在侷限且通風不良的貨車車廂內，因汽油桶長時間受發電機廢氣</w:t>
      </w:r>
      <w:r>
        <w:rPr>
          <w:sz w:val="24"/>
        </w:rPr>
        <w:t>加熱，導致高濃度易燃的汽油蒸氣蓄積 。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225" w:lineRule="auto" w:before="0" w:after="0"/>
        <w:ind w:left="1560" w:right="264" w:hanging="360"/>
        <w:jc w:val="left"/>
        <w:rPr>
          <w:sz w:val="24"/>
        </w:rPr>
      </w:pPr>
      <w:r>
        <w:rPr>
          <w:spacing w:val="-1"/>
          <w:sz w:val="24"/>
        </w:rPr>
        <w:t>發電機運轉後的排氣管及引擎本體，成為一個持續存在的高溫點</w:t>
      </w:r>
      <w:r>
        <w:rPr>
          <w:sz w:val="24"/>
        </w:rPr>
        <w:t>火 源 。</w:t>
      </w:r>
    </w:p>
    <w:p>
      <w:pPr>
        <w:pStyle w:val="Heading2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0" w:lineRule="exact" w:before="0" w:after="0"/>
        <w:ind w:left="840" w:right="0" w:hanging="360"/>
        <w:jc w:val="left"/>
      </w:pPr>
      <w:r>
        <w:rPr/>
        <w:t>不安全的行為：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225" w:lineRule="auto" w:before="7" w:after="0"/>
        <w:ind w:left="1560" w:right="382" w:hanging="360"/>
        <w:jc w:val="left"/>
        <w:rPr>
          <w:sz w:val="24"/>
        </w:rPr>
      </w:pPr>
      <w:r>
        <w:rPr>
          <w:spacing w:val="-1"/>
          <w:sz w:val="24"/>
        </w:rPr>
        <w:t>作業人員將備用汽油桶放置於緊鄰發電機高溫排氣口約 </w:t>
      </w:r>
      <w:r>
        <w:rPr>
          <w:rFonts w:ascii="Calibri" w:hAnsi="Calibri" w:eastAsia="Calibri"/>
          <w:sz w:val="24"/>
        </w:rPr>
        <w:t>15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9"/>
          <w:sz w:val="24"/>
        </w:rPr>
        <w:t>公分</w:t>
      </w:r>
      <w:r>
        <w:rPr>
          <w:sz w:val="24"/>
        </w:rPr>
        <w:t>處，此為導致危害狀況發生的關鍵動作 。</w:t>
      </w:r>
    </w:p>
    <w:p>
      <w:pPr>
        <w:pStyle w:val="Heading2"/>
        <w:spacing w:line="409" w:lineRule="exact"/>
      </w:pPr>
      <w:r>
        <w:rPr/>
        <w:t>根本原因</w:t>
      </w:r>
    </w:p>
    <w:p>
      <w:pPr>
        <w:pStyle w:val="BodyText"/>
        <w:spacing w:line="225" w:lineRule="auto" w:before="5"/>
        <w:ind w:left="120" w:right="264"/>
      </w:pPr>
      <w:r>
        <w:rPr>
          <w:spacing w:val="-1"/>
        </w:rPr>
        <w:t>深入探究導致上述立即原因的管理、系統及組織層面的缺失，可歸納出以下根</w:t>
      </w:r>
      <w:r>
        <w:rPr/>
        <w:t>本原因：</w:t>
      </w:r>
    </w:p>
    <w:p>
      <w:pPr>
        <w:pStyle w:val="Heading2"/>
        <w:numPr>
          <w:ilvl w:val="0"/>
          <w:numId w:val="5"/>
        </w:numPr>
        <w:tabs>
          <w:tab w:pos="840" w:val="left" w:leader="none"/>
        </w:tabs>
        <w:spacing w:line="410" w:lineRule="exact" w:before="0" w:after="0"/>
        <w:ind w:left="840" w:right="0" w:hanging="360"/>
        <w:jc w:val="left"/>
      </w:pPr>
      <w:r>
        <w:rPr/>
        <w:t>安全管理制度的系統性缺失：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25" w:lineRule="auto" w:before="6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缺乏標準作業程序： </w:t>
      </w:r>
      <w:r>
        <w:rPr>
          <w:sz w:val="24"/>
        </w:rPr>
        <w:t>未建立針對移動式動力設備（如發電機）</w:t>
      </w:r>
      <w:r>
        <w:rPr>
          <w:spacing w:val="-17"/>
          <w:sz w:val="24"/>
        </w:rPr>
        <w:t>與</w:t>
      </w:r>
      <w:r>
        <w:rPr>
          <w:sz w:val="24"/>
        </w:rPr>
        <w:t>其搭配之易燃燃料（如汽油）的安全作業標準，對於設備的擺</w:t>
      </w:r>
    </w:p>
    <w:p>
      <w:pPr>
        <w:pStyle w:val="BodyText"/>
        <w:spacing w:line="410" w:lineRule="exact"/>
        <w:ind w:left="1560"/>
      </w:pPr>
      <w:r>
        <w:rPr/>
        <w:t>放、安全距離、作業環境等皆無明確規範。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25" w:lineRule="auto" w:before="6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風險評估機制失效： </w:t>
      </w:r>
      <w:r>
        <w:rPr>
          <w:spacing w:val="-1"/>
          <w:sz w:val="24"/>
        </w:rPr>
        <w:t>未將此類臨時性或移動性的作業活動納入危</w:t>
      </w:r>
      <w:r>
        <w:rPr>
          <w:sz w:val="24"/>
        </w:rPr>
        <w:t>害辨識與風險評估的管理範疇，導致作業前完全未對「熱源」與</w:t>
      </w:r>
    </w:p>
    <w:p>
      <w:pPr>
        <w:pStyle w:val="BodyText"/>
        <w:spacing w:line="410" w:lineRule="exact"/>
        <w:ind w:left="1560"/>
      </w:pPr>
      <w:r>
        <w:rPr/>
        <w:t>「易燃物」共存的致命風險進行評估與控制。</w:t>
      </w:r>
    </w:p>
    <w:p>
      <w:pPr>
        <w:pStyle w:val="Heading2"/>
        <w:numPr>
          <w:ilvl w:val="0"/>
          <w:numId w:val="5"/>
        </w:numPr>
        <w:tabs>
          <w:tab w:pos="840" w:val="left" w:leader="none"/>
        </w:tabs>
        <w:spacing w:line="415" w:lineRule="exact" w:before="0" w:after="0"/>
        <w:ind w:left="840" w:right="0" w:hanging="360"/>
        <w:jc w:val="left"/>
      </w:pPr>
      <w:r>
        <w:rPr/>
        <w:t>教育訓練與危害告知不足：</w:t>
      </w:r>
    </w:p>
    <w:p>
      <w:pPr>
        <w:pStyle w:val="ListParagraph"/>
        <w:numPr>
          <w:ilvl w:val="1"/>
          <w:numId w:val="5"/>
        </w:numPr>
        <w:tabs>
          <w:tab w:pos="1560" w:val="left" w:leader="none"/>
        </w:tabs>
        <w:spacing w:line="225" w:lineRule="auto" w:before="6" w:after="0"/>
        <w:ind w:left="1560" w:right="264" w:hanging="360"/>
        <w:jc w:val="both"/>
        <w:rPr>
          <w:sz w:val="24"/>
        </w:rPr>
      </w:pPr>
      <w:r>
        <w:rPr>
          <w:spacing w:val="-1"/>
          <w:sz w:val="24"/>
        </w:rPr>
        <w:t>作業人員對於發電機運轉時產生的高溫、汽油的揮發性，以及兩者在密閉空間內長時間共存的火災爆炸風險，缺乏足夠的認知與</w:t>
      </w:r>
      <w:r>
        <w:rPr>
          <w:sz w:val="24"/>
        </w:rPr>
        <w:t>了解。顯示公司的危害告知與安全衛生教育訓練未能落實。</w:t>
      </w:r>
    </w:p>
    <w:p>
      <w:pPr>
        <w:pStyle w:val="Heading2"/>
        <w:numPr>
          <w:ilvl w:val="0"/>
          <w:numId w:val="5"/>
        </w:numPr>
        <w:tabs>
          <w:tab w:pos="840" w:val="left" w:leader="none"/>
        </w:tabs>
        <w:spacing w:line="423" w:lineRule="exact" w:before="0" w:after="0"/>
        <w:ind w:left="840" w:right="0" w:hanging="360"/>
        <w:jc w:val="left"/>
      </w:pPr>
      <w:r>
        <w:rPr/>
        <w:t>硬體設施與防護的不足：</w:t>
      </w:r>
    </w:p>
    <w:p>
      <w:pPr>
        <w:spacing w:after="0" w:line="423" w:lineRule="exact"/>
        <w:jc w:val="left"/>
        <w:sectPr>
          <w:pgSz w:w="11910" w:h="16840"/>
          <w:pgMar w:top="1420" w:bottom="280" w:left="1680" w:right="1680"/>
        </w:sectPr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25" w:lineRule="auto" w:before="47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缺乏工程控制： </w:t>
      </w:r>
      <w:r>
        <w:rPr>
          <w:spacing w:val="-1"/>
          <w:sz w:val="24"/>
        </w:rPr>
        <w:t>未在發電機上加裝任何隔熱板或排氣導管等工程</w:t>
      </w:r>
      <w:r>
        <w:rPr>
          <w:sz w:val="24"/>
        </w:rPr>
        <w:t>改善設施，以從根本上阻絕熱傳導或將高溫廢氣導向安全方向。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25" w:lineRule="auto" w:before="1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應急設備匱乏： </w:t>
      </w:r>
      <w:r>
        <w:rPr>
          <w:sz w:val="24"/>
        </w:rPr>
        <w:t>現場（貨車上）</w:t>
      </w:r>
      <w:r>
        <w:rPr>
          <w:spacing w:val="-2"/>
          <w:sz w:val="24"/>
        </w:rPr>
        <w:t>未配置合規且適用於油類火災的</w:t>
      </w:r>
      <w:r>
        <w:rPr>
          <w:sz w:val="24"/>
        </w:rPr>
        <w:t>滅火器，也未規劃在侷限空間發生火災時的應變程序與逃生路線</w:t>
      </w:r>
    </w:p>
    <w:p>
      <w:pPr>
        <w:pStyle w:val="BodyText"/>
        <w:spacing w:line="409" w:lineRule="exact"/>
        <w:ind w:left="1560"/>
      </w:pPr>
      <w:r>
        <w:rPr>
          <w:rFonts w:ascii="Calibri" w:eastAsia="Calibri"/>
        </w:rPr>
        <w:t>(</w:t>
      </w:r>
      <w:r>
        <w:rPr/>
        <w:t>假設</w:t>
      </w:r>
      <w:r>
        <w:rPr>
          <w:rFonts w:ascii="Calibri" w:eastAsia="Calibri"/>
        </w:rPr>
        <w:t>)</w:t>
      </w:r>
      <w:r>
        <w:rPr/>
        <w:t>。</w:t>
      </w:r>
    </w:p>
    <w:p>
      <w:pPr>
        <w:pStyle w:val="Heading2"/>
        <w:ind w:left="119"/>
      </w:pPr>
      <w:r>
        <w:rPr/>
        <w:t>矯正改善措施建議</w:t>
      </w:r>
    </w:p>
    <w:p>
      <w:pPr>
        <w:pStyle w:val="BodyText"/>
        <w:spacing w:line="225" w:lineRule="auto" w:before="6"/>
        <w:ind w:left="119" w:right="264"/>
      </w:pPr>
      <w:r>
        <w:rPr/>
        <w:t>為杜絕類似災害再次發生，應從制度、設備、人員三方面著手，提出以下具體改善措施：</w:t>
      </w:r>
    </w:p>
    <w:p>
      <w:pPr>
        <w:pStyle w:val="Heading2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0" w:lineRule="exact" w:before="0" w:after="0"/>
        <w:ind w:left="840" w:right="0" w:hanging="360"/>
        <w:jc w:val="left"/>
      </w:pPr>
      <w:r>
        <w:rPr/>
        <w:t>制度層面：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25" w:lineRule="auto" w:before="6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建立安全作業標準： </w:t>
      </w:r>
      <w:r>
        <w:rPr>
          <w:spacing w:val="-1"/>
          <w:sz w:val="24"/>
        </w:rPr>
        <w:t>立即制訂「移動式發電機與易燃物料安全作</w:t>
      </w:r>
      <w:r>
        <w:rPr>
          <w:sz w:val="24"/>
        </w:rPr>
        <w:t>業標準」，內容須嚴格規定發電機與備用燃料必須分開存放，且保持 </w:t>
      </w:r>
      <w:r>
        <w:rPr>
          <w:rFonts w:ascii="Calibri" w:eastAsia="Calibri"/>
          <w:sz w:val="24"/>
        </w:rPr>
        <w:t>3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公尺以上的安全距離；發電機應置於戶外通風良好處。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25" w:lineRule="auto" w:before="1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落實風險評估： </w:t>
      </w:r>
      <w:r>
        <w:rPr>
          <w:sz w:val="24"/>
        </w:rPr>
        <w:t>將所有作業（包含臨時、移動性作業）</w:t>
      </w:r>
      <w:r>
        <w:rPr>
          <w:spacing w:val="-5"/>
          <w:sz w:val="24"/>
        </w:rPr>
        <w:t>納入安全</w:t>
      </w:r>
      <w:r>
        <w:rPr>
          <w:sz w:val="24"/>
        </w:rPr>
        <w:t>衛生管理計畫，要求在作業前必須完成危害辨識與風險評估，並確實執行所規劃的控制措施。</w:t>
      </w:r>
    </w:p>
    <w:p>
      <w:pPr>
        <w:pStyle w:val="Heading2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09" w:lineRule="exact" w:before="0" w:after="0"/>
        <w:ind w:left="840" w:right="0" w:hanging="360"/>
        <w:jc w:val="left"/>
      </w:pPr>
      <w:r>
        <w:rPr/>
        <w:t>設備層面：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</w:tabs>
        <w:spacing w:line="225" w:lineRule="auto" w:before="6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採行工程控制： </w:t>
      </w:r>
      <w:r>
        <w:rPr>
          <w:spacing w:val="-1"/>
          <w:sz w:val="24"/>
        </w:rPr>
        <w:t>若發電機確有需要放置於車輛上，應強制加裝固</w:t>
      </w:r>
      <w:r>
        <w:rPr>
          <w:sz w:val="24"/>
        </w:rPr>
        <w:t>定式隔熱板，並將排氣管改裝延長，加裝廢氣導管，確保高溫廢氣能被安全地導向遠離人員及易燃物的方向。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</w:tabs>
        <w:spacing w:line="225" w:lineRule="auto" w:before="1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配置應急設備： </w:t>
      </w:r>
      <w:r>
        <w:rPr>
          <w:spacing w:val="-1"/>
          <w:sz w:val="24"/>
        </w:rPr>
        <w:t>強制要求所有工程車輛必須配備至少一支合規、</w:t>
      </w:r>
      <w:r>
        <w:rPr>
          <w:sz w:val="24"/>
        </w:rPr>
        <w:t>有效的車用滅火器，並定期檢查。</w:t>
      </w:r>
    </w:p>
    <w:p>
      <w:pPr>
        <w:pStyle w:val="Heading2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0" w:lineRule="exact" w:before="0" w:after="0"/>
        <w:ind w:left="840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8"/>
        </w:numPr>
        <w:tabs>
          <w:tab w:pos="1560" w:val="left" w:leader="none"/>
        </w:tabs>
        <w:spacing w:line="225" w:lineRule="auto" w:before="6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強化教育訓練： </w:t>
      </w:r>
      <w:r>
        <w:rPr>
          <w:spacing w:val="-1"/>
          <w:sz w:val="24"/>
        </w:rPr>
        <w:t>對所有需使用發電機的作業人員，實施危害告知</w:t>
      </w:r>
      <w:r>
        <w:rPr>
          <w:sz w:val="24"/>
        </w:rPr>
        <w:t>及安全操作專項培訓，內容須包含本次事故案例，確保所有人都理解其危害與預防方法，並將訓練結果作成紀錄。</w:t>
      </w:r>
    </w:p>
    <w:p>
      <w:pPr>
        <w:pStyle w:val="ListParagraph"/>
        <w:numPr>
          <w:ilvl w:val="0"/>
          <w:numId w:val="8"/>
        </w:numPr>
        <w:tabs>
          <w:tab w:pos="1560" w:val="left" w:leader="none"/>
        </w:tabs>
        <w:spacing w:line="225" w:lineRule="auto" w:before="0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加強監督檢查： </w:t>
      </w:r>
      <w:r>
        <w:rPr>
          <w:spacing w:val="-1"/>
          <w:sz w:val="24"/>
        </w:rPr>
        <w:t>要求領班或現場主管在作業前，必須對設備擺放</w:t>
      </w:r>
      <w:r>
        <w:rPr>
          <w:sz w:val="24"/>
        </w:rPr>
        <w:t>進行安全確認，將其納入工作前的安全檢查項目。</w:t>
      </w:r>
    </w:p>
    <w:p>
      <w:pPr>
        <w:pStyle w:val="BodyText"/>
        <w:spacing w:before="15"/>
        <w:rPr>
          <w:sz w:val="46"/>
        </w:rPr>
      </w:pPr>
    </w:p>
    <w:p>
      <w:pPr>
        <w:pStyle w:val="BodyText"/>
        <w:spacing w:before="1"/>
        <w:ind w:left="120"/>
      </w:pPr>
      <w:r>
        <w:rPr/>
        <w:t>本回答由 </w:t>
      </w:r>
      <w:r>
        <w:rPr>
          <w:rFonts w:ascii="Calibri" w:eastAsia="Calibri"/>
        </w:rPr>
        <w:t>AI </w:t>
      </w:r>
      <w:r>
        <w:rPr/>
        <w:t>生成經老師修改，內容僅供參考。</w:t>
      </w:r>
    </w:p>
    <w:p>
      <w:pPr>
        <w:spacing w:after="0"/>
        <w:sectPr>
          <w:pgSz w:w="11910" w:h="16840"/>
          <w:pgMar w:top="1380" w:bottom="280" w:left="1680" w:right="1680"/>
        </w:sectPr>
      </w:pPr>
    </w:p>
    <w:p>
      <w:pPr>
        <w:pStyle w:val="BodyText"/>
        <w:spacing w:line="428" w:lineRule="exact" w:before="28"/>
        <w:ind w:left="120"/>
      </w:pPr>
      <w:r>
        <w:rPr>
          <w:rFonts w:ascii="Calibri" w:eastAsia="Calibri"/>
        </w:rPr>
        <w:t>Q</w:t>
      </w:r>
      <w:r>
        <w:rPr/>
        <w:t>：請嚴格遵循</w:t>
      </w:r>
      <w:r>
        <w:rPr>
          <w:rFonts w:ascii="Calibri" w:eastAsia="Calibri"/>
        </w:rPr>
        <w:t>"</w:t>
      </w:r>
      <w:r>
        <w:rPr/>
        <w:t>事故調查分析方法</w:t>
      </w:r>
      <w:r>
        <w:rPr>
          <w:rFonts w:ascii="Calibri" w:eastAsia="Calibri"/>
        </w:rPr>
        <w:t>"</w:t>
      </w:r>
      <w:r>
        <w:rPr/>
        <w:t>中的</w:t>
      </w: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). </w:t>
      </w:r>
      <w:r>
        <w:rPr/>
        <w:t>事故成因分析</w:t>
      </w:r>
      <w:r>
        <w:rPr>
          <w:rFonts w:ascii="Calibri" w:eastAsia="Calibri"/>
        </w:rPr>
        <w:t>(ECFA)</w:t>
      </w:r>
      <w:r>
        <w:rPr/>
        <w:t>與事故成因圖</w:t>
      </w:r>
    </w:p>
    <w:p>
      <w:pPr>
        <w:pStyle w:val="BodyText"/>
        <w:spacing w:line="225" w:lineRule="auto" w:before="6"/>
        <w:ind w:left="120" w:right="156"/>
      </w:pPr>
      <w:r>
        <w:rPr>
          <w:rFonts w:ascii="Calibri" w:eastAsia="Calibri"/>
        </w:rPr>
        <w:t>(ECFC)</w:t>
      </w:r>
      <w:r>
        <w:rPr/>
        <w:t>與範例圖形，針對「火災爆炸案 </w:t>
      </w:r>
      <w:r>
        <w:rPr>
          <w:rFonts w:ascii="Calibri" w:eastAsia="Calibri"/>
        </w:rPr>
        <w:t>3_</w:t>
      </w:r>
      <w:r>
        <w:rPr/>
        <w:t>演練」的職災情境，繪製 </w:t>
      </w:r>
      <w:r>
        <w:rPr>
          <w:rFonts w:ascii="Calibri" w:eastAsia="Calibri"/>
        </w:rPr>
        <w:t>ECFC</w:t>
      </w:r>
      <w:r>
        <w:rPr/>
        <w:t>。分析產出條件如下：</w:t>
      </w:r>
      <w:r>
        <w:rPr>
          <w:rFonts w:ascii="Calibri" w:eastAsia="Calibri"/>
        </w:rPr>
        <w:t>1.</w:t>
      </w:r>
      <w:r>
        <w:rPr/>
        <w:t>情境或事故發生條件不足部分，可假設情境或條件但需要備註為假設。</w:t>
      </w:r>
      <w:r>
        <w:rPr>
          <w:rFonts w:ascii="Calibri" w:eastAsia="Calibri"/>
        </w:rPr>
        <w:t>2.ECFC </w:t>
      </w:r>
      <w:r>
        <w:rPr/>
        <w:t>請用 </w:t>
      </w:r>
      <w:r>
        <w:rPr>
          <w:rFonts w:ascii="Calibri" w:eastAsia="Calibri"/>
        </w:rPr>
        <w:t>mermaid </w:t>
      </w:r>
      <w:r>
        <w:rPr/>
        <w:t>格式來顯示，請去掉英文。</w:t>
      </w:r>
      <w:r>
        <w:rPr>
          <w:rFonts w:ascii="Calibri" w:eastAsia="Calibri"/>
        </w:rPr>
        <w:t>3. ECFC </w:t>
      </w:r>
      <w:r>
        <w:rPr/>
        <w:t>圖中，請放大字型，讓在簡報時容易識別及討論。事件是方框</w:t>
      </w:r>
      <w:r>
        <w:rPr>
          <w:rFonts w:ascii="Calibri" w:eastAsia="Calibri"/>
        </w:rPr>
        <w:t>(</w:t>
      </w:r>
      <w:r>
        <w:rPr/>
        <w:t>黃色</w:t>
      </w:r>
      <w:r>
        <w:rPr>
          <w:rFonts w:ascii="Calibri" w:eastAsia="Calibri"/>
        </w:rPr>
        <w:t>)</w:t>
      </w:r>
      <w:r>
        <w:rPr/>
        <w:t>，條件是橢圓形</w:t>
      </w:r>
      <w:r>
        <w:rPr>
          <w:rFonts w:ascii="Calibri" w:eastAsia="Calibri"/>
        </w:rPr>
        <w:t>(</w:t>
      </w:r>
      <w:r>
        <w:rPr/>
        <w:t>粉紅色</w:t>
      </w:r>
      <w:r>
        <w:rPr>
          <w:rFonts w:ascii="Calibri" w:eastAsia="Calibri"/>
        </w:rPr>
        <w:t>)</w:t>
      </w:r>
      <w:r>
        <w:rPr/>
        <w:t>，推測事件是虛線方框</w:t>
      </w:r>
      <w:r>
        <w:rPr>
          <w:rFonts w:ascii="Calibri" w:eastAsia="Calibri"/>
        </w:rPr>
        <w:t>(</w:t>
      </w:r>
      <w:r>
        <w:rPr/>
        <w:t>藍色</w:t>
      </w:r>
      <w:r>
        <w:rPr>
          <w:rFonts w:ascii="Calibri" w:eastAsia="Calibri"/>
        </w:rPr>
        <w:t>)</w:t>
      </w:r>
      <w:r>
        <w:rPr/>
        <w:t>。請用繁體中文</w:t>
      </w:r>
    </w:p>
    <w:p>
      <w:pPr>
        <w:pStyle w:val="BodyText"/>
        <w:spacing w:before="18"/>
        <w:rPr>
          <w:sz w:val="15"/>
        </w:rPr>
      </w:pPr>
    </w:p>
    <w:p>
      <w:pPr>
        <w:pStyle w:val="Heading2"/>
        <w:spacing w:line="225" w:lineRule="auto"/>
        <w:ind w:right="198"/>
      </w:pPr>
      <w:r>
        <w:rPr/>
        <w:t>以下是根據「火災爆炸案 </w:t>
      </w:r>
      <w:r>
        <w:rPr>
          <w:rFonts w:ascii="Calibri" w:eastAsia="Calibri"/>
        </w:rPr>
        <w:t>3_</w:t>
      </w:r>
      <w:r>
        <w:rPr/>
        <w:t>演練」的職災情境，嚴格遵循 </w:t>
      </w:r>
      <w:r>
        <w:rPr>
          <w:rFonts w:ascii="Calibri" w:eastAsia="Calibri"/>
        </w:rPr>
        <w:t>ECFA/ECFC </w:t>
      </w:r>
      <w:r>
        <w:rPr/>
        <w:t>方法繪製的事故成因圖（</w:t>
      </w:r>
      <w:r>
        <w:rPr>
          <w:rFonts w:ascii="Calibri" w:eastAsia="Calibri"/>
        </w:rPr>
        <w:t>ECFC</w:t>
      </w:r>
      <w:r>
        <w:rPr/>
        <w:t>），採用 </w:t>
      </w:r>
      <w:r>
        <w:rPr>
          <w:rFonts w:ascii="Calibri" w:eastAsia="Calibri"/>
        </w:rPr>
        <w:t>Mermaid </w:t>
      </w:r>
      <w:r>
        <w:rPr/>
        <w:t>格式呈現：</w:t>
      </w:r>
    </w:p>
    <w:p>
      <w:pPr>
        <w:spacing w:line="423" w:lineRule="exact"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图表</w:t>
      </w: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1143000</wp:posOffset>
            </wp:positionH>
            <wp:positionV relativeFrom="paragraph">
              <wp:posOffset>178669</wp:posOffset>
            </wp:positionV>
            <wp:extent cx="5193990" cy="1656492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990" cy="165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rPr>
          <w:b/>
          <w:sz w:val="16"/>
        </w:rPr>
      </w:pPr>
    </w:p>
    <w:p>
      <w:pPr>
        <w:spacing w:line="225" w:lineRule="auto" w:before="0"/>
        <w:ind w:left="120" w:right="7944" w:firstLine="0"/>
        <w:jc w:val="left"/>
        <w:rPr>
          <w:b/>
          <w:sz w:val="24"/>
        </w:rPr>
      </w:pPr>
      <w:r>
        <w:rPr>
          <w:b/>
          <w:spacing w:val="-9"/>
          <w:sz w:val="24"/>
        </w:rPr>
        <w:t>代码下载</w:t>
      </w:r>
    </w:p>
    <w:p>
      <w:pPr>
        <w:spacing w:line="287" w:lineRule="exact" w:before="0"/>
        <w:ind w:left="12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---</w:t>
      </w:r>
    </w:p>
    <w:p>
      <w:pPr>
        <w:spacing w:before="0"/>
        <w:ind w:left="294" w:right="6593" w:hanging="174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config: themeVariables:</w:t>
      </w:r>
    </w:p>
    <w:p>
      <w:pPr>
        <w:spacing w:line="293" w:lineRule="exact" w:before="0"/>
        <w:ind w:left="534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fontSize:</w:t>
      </w:r>
      <w:r>
        <w:rPr>
          <w:rFonts w:ascii="Calibri"/>
          <w:b/>
          <w:spacing w:val="-10"/>
          <w:sz w:val="24"/>
        </w:rPr>
        <w:t> </w:t>
      </w:r>
      <w:r>
        <w:rPr>
          <w:rFonts w:ascii="Calibri"/>
          <w:b/>
          <w:sz w:val="24"/>
        </w:rPr>
        <w:t>20px</w:t>
      </w:r>
    </w:p>
    <w:p>
      <w:pPr>
        <w:spacing w:before="0"/>
        <w:ind w:left="12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---</w:t>
      </w:r>
    </w:p>
    <w:p>
      <w:pPr>
        <w:spacing w:line="286" w:lineRule="exact" w:before="0"/>
        <w:ind w:left="12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flowchart LR</w:t>
      </w:r>
    </w:p>
    <w:p>
      <w:pPr>
        <w:spacing w:line="225" w:lineRule="auto" w:before="12"/>
        <w:ind w:left="120" w:right="313" w:firstLine="414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A["</w:t>
      </w:r>
      <w:r>
        <w:rPr>
          <w:b/>
          <w:sz w:val="24"/>
        </w:rPr>
        <w:t>事件 </w:t>
      </w:r>
      <w:r>
        <w:rPr>
          <w:rFonts w:ascii="Calibri" w:eastAsia="Calibri"/>
          <w:b/>
          <w:sz w:val="24"/>
        </w:rPr>
        <w:t>1</w:t>
      </w:r>
      <w:r>
        <w:rPr>
          <w:b/>
          <w:sz w:val="24"/>
        </w:rPr>
        <w:t>：李員進行側溝鑽孔作業</w:t>
      </w:r>
      <w:r>
        <w:rPr>
          <w:rFonts w:ascii="Calibri" w:eastAsia="Calibri"/>
          <w:b/>
          <w:sz w:val="24"/>
        </w:rPr>
        <w:t>&lt;br&gt;</w:t>
      </w:r>
      <w:r>
        <w:rPr>
          <w:b/>
          <w:sz w:val="24"/>
        </w:rPr>
        <w:t>時間：</w:t>
      </w:r>
      <w:r>
        <w:rPr>
          <w:rFonts w:ascii="Calibri" w:eastAsia="Calibri"/>
          <w:b/>
          <w:sz w:val="24"/>
        </w:rPr>
        <w:t>9:00"] -- </w:t>
      </w:r>
      <w:r>
        <w:rPr>
          <w:b/>
          <w:sz w:val="24"/>
        </w:rPr>
        <w:t>作業持續 </w:t>
      </w:r>
      <w:r>
        <w:rPr>
          <w:rFonts w:ascii="Calibri" w:eastAsia="Calibri"/>
          <w:b/>
          <w:sz w:val="24"/>
        </w:rPr>
        <w:t>--&gt; B["</w:t>
      </w:r>
      <w:r>
        <w:rPr>
          <w:b/>
          <w:sz w:val="24"/>
        </w:rPr>
        <w:t>事件 </w:t>
      </w:r>
      <w:r>
        <w:rPr>
          <w:rFonts w:ascii="Calibri" w:eastAsia="Calibri"/>
          <w:b/>
          <w:sz w:val="24"/>
        </w:rPr>
        <w:t>2</w:t>
      </w:r>
      <w:r>
        <w:rPr>
          <w:b/>
          <w:sz w:val="24"/>
        </w:rPr>
        <w:t>：發電機熄火停止運轉</w:t>
      </w:r>
      <w:r>
        <w:rPr>
          <w:rFonts w:ascii="Calibri" w:eastAsia="Calibri"/>
          <w:b/>
          <w:sz w:val="24"/>
        </w:rPr>
        <w:t>&lt;br&gt;</w:t>
      </w:r>
      <w:r>
        <w:rPr>
          <w:b/>
          <w:sz w:val="24"/>
        </w:rPr>
        <w:t>時間：</w:t>
      </w:r>
      <w:r>
        <w:rPr>
          <w:rFonts w:ascii="Calibri" w:eastAsia="Calibri"/>
          <w:b/>
          <w:sz w:val="24"/>
        </w:rPr>
        <w:t>15:25"]</w:t>
      </w:r>
    </w:p>
    <w:p>
      <w:pPr>
        <w:spacing w:line="225" w:lineRule="auto" w:before="1"/>
        <w:ind w:left="534" w:right="443" w:firstLine="0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B -- </w:t>
      </w:r>
      <w:r>
        <w:rPr>
          <w:b/>
          <w:sz w:val="24"/>
        </w:rPr>
        <w:t>設備異常 </w:t>
      </w:r>
      <w:r>
        <w:rPr>
          <w:rFonts w:ascii="Calibri" w:eastAsia="Calibri"/>
          <w:b/>
          <w:sz w:val="24"/>
        </w:rPr>
        <w:t>--&gt; C["</w:t>
      </w:r>
      <w:r>
        <w:rPr>
          <w:b/>
          <w:sz w:val="24"/>
        </w:rPr>
        <w:t>事件 </w:t>
      </w:r>
      <w:r>
        <w:rPr>
          <w:rFonts w:ascii="Calibri" w:eastAsia="Calibri"/>
          <w:b/>
          <w:sz w:val="24"/>
        </w:rPr>
        <w:t>3</w:t>
      </w:r>
      <w:r>
        <w:rPr>
          <w:b/>
          <w:sz w:val="24"/>
        </w:rPr>
        <w:t>：李員檢查發電機，油桶受排氣管高溫加熱</w:t>
      </w:r>
      <w:r>
        <w:rPr>
          <w:rFonts w:ascii="Calibri" w:eastAsia="Calibri"/>
          <w:b/>
          <w:sz w:val="24"/>
        </w:rPr>
        <w:t>"] C -- </w:t>
      </w:r>
      <w:r>
        <w:rPr>
          <w:b/>
          <w:sz w:val="24"/>
        </w:rPr>
        <w:t>熱源接觸  </w:t>
      </w:r>
      <w:r>
        <w:rPr>
          <w:rFonts w:ascii="Calibri" w:eastAsia="Calibri"/>
          <w:b/>
          <w:sz w:val="24"/>
        </w:rPr>
        <w:t>--&gt; D["</w:t>
      </w:r>
      <w:r>
        <w:rPr>
          <w:b/>
          <w:sz w:val="24"/>
        </w:rPr>
        <w:t>事件 </w:t>
      </w:r>
      <w:r>
        <w:rPr>
          <w:rFonts w:ascii="Calibri" w:eastAsia="Calibri"/>
          <w:b/>
          <w:sz w:val="24"/>
        </w:rPr>
        <w:t>4</w:t>
      </w:r>
      <w:r>
        <w:rPr>
          <w:b/>
          <w:sz w:val="24"/>
        </w:rPr>
        <w:t>：汽油蒸氣接觸熱表面起火</w:t>
      </w:r>
      <w:r>
        <w:rPr>
          <w:rFonts w:ascii="Calibri" w:eastAsia="Calibri"/>
          <w:b/>
          <w:sz w:val="24"/>
        </w:rPr>
        <w:t>"]</w:t>
      </w:r>
    </w:p>
    <w:p>
      <w:pPr>
        <w:spacing w:line="410" w:lineRule="exact" w:before="0"/>
        <w:ind w:left="534" w:right="0" w:firstLine="0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D -- </w:t>
      </w:r>
      <w:r>
        <w:rPr>
          <w:b/>
          <w:sz w:val="24"/>
        </w:rPr>
        <w:t>火勢擴大  </w:t>
      </w:r>
      <w:r>
        <w:rPr>
          <w:rFonts w:ascii="Calibri" w:eastAsia="Calibri"/>
          <w:b/>
          <w:sz w:val="24"/>
        </w:rPr>
        <w:t>--&gt; E["</w:t>
      </w:r>
      <w:r>
        <w:rPr>
          <w:b/>
          <w:sz w:val="24"/>
        </w:rPr>
        <w:t>事件 </w:t>
      </w:r>
      <w:r>
        <w:rPr>
          <w:rFonts w:ascii="Calibri" w:eastAsia="Calibri"/>
          <w:b/>
          <w:sz w:val="24"/>
        </w:rPr>
        <w:t>5</w:t>
      </w:r>
      <w:r>
        <w:rPr>
          <w:b/>
          <w:sz w:val="24"/>
        </w:rPr>
        <w:t>：火勢引燃車廂可燃物</w:t>
      </w:r>
      <w:r>
        <w:rPr>
          <w:rFonts w:ascii="Calibri" w:eastAsia="Calibri"/>
          <w:b/>
          <w:sz w:val="24"/>
        </w:rPr>
        <w:t>"]</w:t>
      </w:r>
    </w:p>
    <w:p>
      <w:pPr>
        <w:spacing w:line="415" w:lineRule="exact" w:before="0"/>
        <w:ind w:left="534" w:right="0" w:firstLine="0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E -- </w:t>
      </w:r>
      <w:r>
        <w:rPr>
          <w:b/>
          <w:sz w:val="24"/>
        </w:rPr>
        <w:t>人員傷亡  </w:t>
      </w:r>
      <w:r>
        <w:rPr>
          <w:rFonts w:ascii="Calibri" w:eastAsia="Calibri"/>
          <w:b/>
          <w:sz w:val="24"/>
        </w:rPr>
        <w:t>--&gt; F["</w:t>
      </w:r>
      <w:r>
        <w:rPr>
          <w:b/>
          <w:sz w:val="24"/>
        </w:rPr>
        <w:t>事件 </w:t>
      </w:r>
      <w:r>
        <w:rPr>
          <w:rFonts w:ascii="Calibri" w:eastAsia="Calibri"/>
          <w:b/>
          <w:sz w:val="24"/>
        </w:rPr>
        <w:t>6</w:t>
      </w:r>
      <w:r>
        <w:rPr>
          <w:b/>
          <w:sz w:val="24"/>
        </w:rPr>
        <w:t>：李員全身 </w:t>
      </w:r>
      <w:r>
        <w:rPr>
          <w:rFonts w:ascii="Calibri" w:eastAsia="Calibri"/>
          <w:b/>
          <w:sz w:val="24"/>
        </w:rPr>
        <w:t>66%</w:t>
      </w:r>
      <w:r>
        <w:rPr>
          <w:b/>
          <w:sz w:val="24"/>
        </w:rPr>
        <w:t>燒傷致死</w:t>
      </w:r>
      <w:r>
        <w:rPr>
          <w:rFonts w:ascii="Calibri" w:eastAsia="Calibri"/>
          <w:b/>
          <w:sz w:val="24"/>
        </w:rPr>
        <w:t>"]</w:t>
      </w:r>
    </w:p>
    <w:p>
      <w:pPr>
        <w:spacing w:line="415" w:lineRule="exact" w:before="0"/>
        <w:ind w:left="534" w:right="0" w:firstLine="0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G(["</w:t>
      </w:r>
      <w:r>
        <w:rPr>
          <w:b/>
          <w:sz w:val="24"/>
        </w:rPr>
        <w:t>推測事件：油桶密封不良導致蒸氣逸散</w:t>
      </w:r>
      <w:r>
        <w:rPr>
          <w:rFonts w:ascii="Calibri" w:eastAsia="Calibri"/>
          <w:b/>
          <w:sz w:val="24"/>
        </w:rPr>
        <w:t>"]) -. </w:t>
      </w:r>
      <w:r>
        <w:rPr>
          <w:b/>
          <w:sz w:val="24"/>
        </w:rPr>
        <w:t>容器缺陷  </w:t>
      </w:r>
      <w:r>
        <w:rPr>
          <w:rFonts w:ascii="Calibri" w:eastAsia="Calibri"/>
          <w:b/>
          <w:sz w:val="24"/>
        </w:rPr>
        <w:t>.-&gt; D</w:t>
      </w:r>
    </w:p>
    <w:p>
      <w:pPr>
        <w:spacing w:line="415" w:lineRule="exact" w:before="0"/>
        <w:ind w:left="534" w:right="0" w:firstLine="0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a(["</w:t>
      </w:r>
      <w:r>
        <w:rPr>
          <w:b/>
          <w:sz w:val="24"/>
        </w:rPr>
        <w:t>條件 </w:t>
      </w:r>
      <w:r>
        <w:rPr>
          <w:rFonts w:ascii="Calibri" w:eastAsia="Calibri"/>
          <w:b/>
          <w:sz w:val="24"/>
        </w:rPr>
        <w:t>1</w:t>
      </w:r>
      <w:r>
        <w:rPr>
          <w:b/>
          <w:sz w:val="24"/>
        </w:rPr>
        <w:t>：油桶距排氣管僅 </w:t>
      </w:r>
      <w:r>
        <w:rPr>
          <w:rFonts w:ascii="Calibri" w:eastAsia="Calibri"/>
          <w:b/>
          <w:sz w:val="24"/>
        </w:rPr>
        <w:t>15 </w:t>
      </w:r>
      <w:r>
        <w:rPr>
          <w:b/>
          <w:sz w:val="24"/>
        </w:rPr>
        <w:t>公分</w:t>
      </w:r>
      <w:r>
        <w:rPr>
          <w:rFonts w:ascii="Calibri" w:eastAsia="Calibri"/>
          <w:b/>
          <w:sz w:val="24"/>
        </w:rPr>
        <w:t>"]) -. </w:t>
      </w:r>
      <w:r>
        <w:rPr>
          <w:b/>
          <w:sz w:val="24"/>
        </w:rPr>
        <w:t>安全距離不足 </w:t>
      </w:r>
      <w:r>
        <w:rPr>
          <w:rFonts w:ascii="Calibri" w:eastAsia="Calibri"/>
          <w:b/>
          <w:sz w:val="24"/>
        </w:rPr>
        <w:t>.-&gt; D</w:t>
      </w:r>
    </w:p>
    <w:p>
      <w:pPr>
        <w:spacing w:line="428" w:lineRule="exact" w:before="0"/>
        <w:ind w:left="534" w:right="0" w:firstLine="0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b(["</w:t>
      </w:r>
      <w:r>
        <w:rPr>
          <w:b/>
          <w:sz w:val="24"/>
        </w:rPr>
        <w:t>條件 </w:t>
      </w:r>
      <w:r>
        <w:rPr>
          <w:rFonts w:ascii="Calibri" w:eastAsia="Calibri"/>
          <w:b/>
          <w:sz w:val="24"/>
        </w:rPr>
        <w:t>2</w:t>
      </w:r>
      <w:r>
        <w:rPr>
          <w:b/>
          <w:sz w:val="24"/>
        </w:rPr>
        <w:t>：未設置油氣洩漏偵測裝置</w:t>
      </w:r>
      <w:r>
        <w:rPr>
          <w:rFonts w:ascii="Calibri" w:eastAsia="Calibri"/>
          <w:b/>
          <w:sz w:val="24"/>
        </w:rPr>
        <w:t>"]) -. </w:t>
      </w:r>
      <w:r>
        <w:rPr>
          <w:b/>
          <w:sz w:val="24"/>
        </w:rPr>
        <w:t>監測缺失  </w:t>
      </w:r>
      <w:r>
        <w:rPr>
          <w:rFonts w:ascii="Calibri" w:eastAsia="Calibri"/>
          <w:b/>
          <w:sz w:val="24"/>
        </w:rPr>
        <w:t>.-&gt; D</w:t>
      </w:r>
    </w:p>
    <w:p>
      <w:pPr>
        <w:spacing w:after="0" w:line="428" w:lineRule="exact"/>
        <w:jc w:val="left"/>
        <w:rPr>
          <w:rFonts w:ascii="Calibri" w:eastAsia="Calibri"/>
          <w:sz w:val="24"/>
        </w:rPr>
        <w:sectPr>
          <w:pgSz w:w="11910" w:h="16840"/>
          <w:pgMar w:top="1380" w:bottom="280" w:left="1680" w:right="1680"/>
        </w:sectPr>
      </w:pPr>
    </w:p>
    <w:p>
      <w:pPr>
        <w:spacing w:line="428" w:lineRule="exact" w:before="28"/>
        <w:ind w:left="534" w:right="0" w:firstLine="0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c(["</w:t>
      </w:r>
      <w:r>
        <w:rPr>
          <w:b/>
          <w:sz w:val="24"/>
        </w:rPr>
        <w:t>條件 </w:t>
      </w:r>
      <w:r>
        <w:rPr>
          <w:rFonts w:ascii="Calibri" w:eastAsia="Calibri"/>
          <w:b/>
          <w:sz w:val="24"/>
        </w:rPr>
        <w:t>3</w:t>
      </w:r>
      <w:r>
        <w:rPr>
          <w:b/>
          <w:sz w:val="24"/>
        </w:rPr>
        <w:t>：發電機未加裝排氣隔熱罩（假設）</w:t>
      </w:r>
      <w:r>
        <w:rPr>
          <w:rFonts w:ascii="Calibri" w:eastAsia="Calibri"/>
          <w:b/>
          <w:sz w:val="24"/>
        </w:rPr>
        <w:t>"]) -. </w:t>
      </w:r>
      <w:r>
        <w:rPr>
          <w:b/>
          <w:sz w:val="24"/>
        </w:rPr>
        <w:t>設備防護不足  </w:t>
      </w:r>
      <w:r>
        <w:rPr>
          <w:rFonts w:ascii="Calibri" w:eastAsia="Calibri"/>
          <w:b/>
          <w:sz w:val="24"/>
        </w:rPr>
        <w:t>.-&gt; D</w:t>
      </w:r>
    </w:p>
    <w:p>
      <w:pPr>
        <w:spacing w:line="415" w:lineRule="exact" w:before="0"/>
        <w:ind w:left="534" w:right="0" w:firstLine="0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d(["</w:t>
      </w:r>
      <w:r>
        <w:rPr>
          <w:b/>
          <w:sz w:val="24"/>
        </w:rPr>
        <w:t>條件 </w:t>
      </w:r>
      <w:r>
        <w:rPr>
          <w:rFonts w:ascii="Calibri" w:eastAsia="Calibri"/>
          <w:b/>
          <w:sz w:val="24"/>
        </w:rPr>
        <w:t>4</w:t>
      </w:r>
      <w:r>
        <w:rPr>
          <w:b/>
          <w:sz w:val="24"/>
        </w:rPr>
        <w:t>：車廂堆放其他可燃物</w:t>
      </w:r>
      <w:r>
        <w:rPr>
          <w:rFonts w:ascii="Calibri" w:eastAsia="Calibri"/>
          <w:b/>
          <w:sz w:val="24"/>
        </w:rPr>
        <w:t>"]) -. </w:t>
      </w:r>
      <w:r>
        <w:rPr>
          <w:b/>
          <w:sz w:val="24"/>
        </w:rPr>
        <w:t>火載量增加  </w:t>
      </w:r>
      <w:r>
        <w:rPr>
          <w:rFonts w:ascii="Calibri" w:eastAsia="Calibri"/>
          <w:b/>
          <w:sz w:val="24"/>
        </w:rPr>
        <w:t>.-&gt; E</w:t>
      </w:r>
    </w:p>
    <w:p>
      <w:pPr>
        <w:spacing w:line="230" w:lineRule="auto" w:before="0"/>
        <w:ind w:left="534" w:right="2446" w:firstLine="0"/>
        <w:jc w:val="left"/>
        <w:rPr>
          <w:rFonts w:ascii="Calibri" w:eastAsia="Calibri"/>
          <w:b/>
          <w:sz w:val="24"/>
        </w:rPr>
      </w:pPr>
      <w:r>
        <w:rPr>
          <w:rFonts w:ascii="Calibri" w:eastAsia="Calibri"/>
          <w:b/>
          <w:sz w:val="24"/>
        </w:rPr>
        <w:t>e(["</w:t>
      </w:r>
      <w:r>
        <w:rPr>
          <w:b/>
          <w:sz w:val="24"/>
        </w:rPr>
        <w:t>條件 </w:t>
      </w:r>
      <w:r>
        <w:rPr>
          <w:rFonts w:ascii="Calibri" w:eastAsia="Calibri"/>
          <w:b/>
          <w:sz w:val="24"/>
        </w:rPr>
        <w:t>5</w:t>
      </w:r>
      <w:r>
        <w:rPr>
          <w:b/>
          <w:sz w:val="24"/>
        </w:rPr>
        <w:t>：未配置車用滅火器</w:t>
      </w:r>
      <w:r>
        <w:rPr>
          <w:rFonts w:ascii="Calibri" w:eastAsia="Calibri"/>
          <w:b/>
          <w:sz w:val="24"/>
        </w:rPr>
        <w:t>"]) -. </w:t>
      </w:r>
      <w:r>
        <w:rPr>
          <w:b/>
          <w:sz w:val="24"/>
        </w:rPr>
        <w:t>應急失效 </w:t>
      </w:r>
      <w:r>
        <w:rPr>
          <w:rFonts w:ascii="Calibri" w:eastAsia="Calibri"/>
          <w:b/>
          <w:sz w:val="24"/>
        </w:rPr>
        <w:t>.-&gt; F A@{ shape: rect}</w:t>
      </w:r>
    </w:p>
    <w:p>
      <w:pPr>
        <w:spacing w:before="3"/>
        <w:ind w:left="534" w:right="6321" w:firstLine="0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B@{ shape: rect} C@{ shape: rect} D@{ shape: rect} E@{ shape: rect} F@{ shape: rect} A:::event</w:t>
      </w:r>
    </w:p>
    <w:p>
      <w:pPr>
        <w:spacing w:before="0"/>
        <w:ind w:left="654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B:::event</w:t>
      </w:r>
    </w:p>
    <w:p>
      <w:pPr>
        <w:spacing w:before="0"/>
        <w:ind w:left="654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C:::event</w:t>
      </w:r>
    </w:p>
    <w:p>
      <w:pPr>
        <w:spacing w:before="0"/>
        <w:ind w:left="654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D:::event</w:t>
      </w:r>
    </w:p>
    <w:p>
      <w:pPr>
        <w:spacing w:before="0"/>
        <w:ind w:left="654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E:::event</w:t>
      </w:r>
    </w:p>
    <w:p>
      <w:pPr>
        <w:spacing w:before="0"/>
        <w:ind w:left="654" w:right="6077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F:::event G:::assumedEvent a:::condition b:::condition c:::condition d:::condition e:::condition</w:t>
      </w:r>
    </w:p>
    <w:p>
      <w:pPr>
        <w:spacing w:before="0"/>
        <w:ind w:left="534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classDef event fill:#ffff00,stroke:#333,stroke-width:3px</w:t>
      </w:r>
    </w:p>
    <w:p>
      <w:pPr>
        <w:spacing w:before="0"/>
        <w:ind w:left="534" w:right="753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classDef condition fill:#ffc0cb,stroke:#333,stroke-width:3px,ellipse classDef assumedEvent stroke-dasharray: 5 5,fill:#add8e6,stroke:#0000ff classDef assumed stroke-dasharray: 5 5,stroke:#0000ff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1"/>
        <w:rPr>
          <w:rFonts w:ascii="Calibri"/>
          <w:b/>
          <w:sz w:val="22"/>
        </w:rPr>
      </w:pPr>
    </w:p>
    <w:p>
      <w:pPr>
        <w:spacing w:line="428" w:lineRule="exact"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八</w:t>
      </w:r>
      <w:r>
        <w:rPr>
          <w:rFonts w:ascii="Calibri" w:eastAsia="Calibri"/>
          <w:b/>
          <w:sz w:val="24"/>
        </w:rPr>
        <w:t>. </w:t>
      </w:r>
      <w:r>
        <w:rPr>
          <w:b/>
          <w:sz w:val="24"/>
        </w:rPr>
        <w:t>圖例說明：</w:t>
      </w:r>
    </w:p>
    <w:p>
      <w:pPr>
        <w:pStyle w:val="ListParagraph"/>
        <w:numPr>
          <w:ilvl w:val="0"/>
          <w:numId w:val="9"/>
        </w:numPr>
        <w:tabs>
          <w:tab w:pos="840" w:val="left" w:leader="none"/>
        </w:tabs>
        <w:spacing w:line="415" w:lineRule="exact" w:before="0" w:after="0"/>
        <w:ind w:left="840" w:right="0" w:hanging="360"/>
        <w:jc w:val="left"/>
        <w:rPr>
          <w:b/>
          <w:sz w:val="24"/>
        </w:rPr>
      </w:pPr>
      <w:r>
        <w:rPr>
          <w:b/>
          <w:sz w:val="24"/>
        </w:rPr>
        <w:t>事件（黃色方框）：</w:t>
      </w:r>
    </w:p>
    <w:p>
      <w:pPr>
        <w:pStyle w:val="ListParagraph"/>
        <w:numPr>
          <w:ilvl w:val="1"/>
          <w:numId w:val="9"/>
        </w:numPr>
        <w:tabs>
          <w:tab w:pos="1559" w:val="left" w:leader="none"/>
          <w:tab w:pos="1560" w:val="left" w:leader="none"/>
        </w:tabs>
        <w:spacing w:line="225" w:lineRule="auto" w:before="6" w:after="0"/>
        <w:ind w:left="1560" w:right="264" w:hanging="360"/>
        <w:jc w:val="left"/>
        <w:rPr>
          <w:b/>
          <w:sz w:val="24"/>
        </w:rPr>
      </w:pPr>
      <w:r>
        <w:rPr>
          <w:b/>
          <w:spacing w:val="-1"/>
          <w:sz w:val="24"/>
        </w:rPr>
        <w:t>完整呈現從作業開始到火災致死的關鍵時間序列，強調熱源與易</w:t>
      </w:r>
      <w:r>
        <w:rPr>
          <w:b/>
          <w:sz w:val="24"/>
        </w:rPr>
        <w:t>燃物接觸的關鍵節點。</w:t>
      </w:r>
    </w:p>
    <w:p>
      <w:pPr>
        <w:pStyle w:val="ListParagraph"/>
        <w:numPr>
          <w:ilvl w:val="0"/>
          <w:numId w:val="9"/>
        </w:numPr>
        <w:tabs>
          <w:tab w:pos="840" w:val="left" w:leader="none"/>
        </w:tabs>
        <w:spacing w:line="410" w:lineRule="exact" w:before="0" w:after="0"/>
        <w:ind w:left="840" w:right="0" w:hanging="360"/>
        <w:jc w:val="left"/>
        <w:rPr>
          <w:b/>
          <w:sz w:val="24"/>
        </w:rPr>
      </w:pPr>
      <w:r>
        <w:rPr>
          <w:b/>
          <w:sz w:val="24"/>
        </w:rPr>
        <w:t>條件（粉紅色橢圓形）：</w:t>
      </w:r>
    </w:p>
    <w:p>
      <w:pPr>
        <w:pStyle w:val="ListParagraph"/>
        <w:numPr>
          <w:ilvl w:val="1"/>
          <w:numId w:val="9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b/>
          <w:sz w:val="24"/>
        </w:rPr>
      </w:pPr>
      <w:r>
        <w:rPr>
          <w:b/>
          <w:sz w:val="24"/>
        </w:rPr>
        <w:t>實線：確認條件（如安全距離不足、可燃物堆放）。</w:t>
      </w:r>
    </w:p>
    <w:p>
      <w:pPr>
        <w:pStyle w:val="ListParagraph"/>
        <w:numPr>
          <w:ilvl w:val="1"/>
          <w:numId w:val="9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b/>
          <w:sz w:val="24"/>
        </w:rPr>
      </w:pPr>
      <w:r>
        <w:rPr>
          <w:b/>
          <w:sz w:val="24"/>
        </w:rPr>
        <w:t>虛線藍框：假設條件（如排氣隔熱罩缺失），需查證設備規格。</w:t>
      </w:r>
    </w:p>
    <w:p>
      <w:pPr>
        <w:pStyle w:val="ListParagraph"/>
        <w:numPr>
          <w:ilvl w:val="0"/>
          <w:numId w:val="9"/>
        </w:numPr>
        <w:tabs>
          <w:tab w:pos="840" w:val="left" w:leader="none"/>
        </w:tabs>
        <w:spacing w:line="415" w:lineRule="exact" w:before="0" w:after="0"/>
        <w:ind w:left="840" w:right="0" w:hanging="360"/>
        <w:jc w:val="left"/>
        <w:rPr>
          <w:b/>
          <w:sz w:val="24"/>
        </w:rPr>
      </w:pPr>
      <w:r>
        <w:rPr>
          <w:b/>
          <w:sz w:val="24"/>
        </w:rPr>
        <w:t>推測事件（藍色虛線方框）：</w:t>
      </w:r>
    </w:p>
    <w:p>
      <w:pPr>
        <w:pStyle w:val="ListParagraph"/>
        <w:numPr>
          <w:ilvl w:val="1"/>
          <w:numId w:val="9"/>
        </w:numPr>
        <w:tabs>
          <w:tab w:pos="1559" w:val="left" w:leader="none"/>
          <w:tab w:pos="1560" w:val="left" w:leader="none"/>
        </w:tabs>
        <w:spacing w:line="225" w:lineRule="auto" w:before="6" w:after="0"/>
        <w:ind w:left="120" w:right="1704" w:firstLine="1080"/>
        <w:jc w:val="left"/>
        <w:rPr>
          <w:b/>
          <w:sz w:val="24"/>
        </w:rPr>
      </w:pPr>
      <w:r>
        <w:rPr>
          <w:b/>
          <w:spacing w:val="-1"/>
          <w:sz w:val="24"/>
        </w:rPr>
        <w:t>油桶密封問題屬合理推論，需檢查容器維護記錄。</w:t>
      </w:r>
      <w:r>
        <w:rPr>
          <w:b/>
          <w:sz w:val="24"/>
        </w:rPr>
        <w:t>九</w:t>
      </w:r>
      <w:r>
        <w:rPr>
          <w:rFonts w:ascii="Calibri" w:hAnsi="Calibri" w:eastAsia="Calibri"/>
          <w:b/>
          <w:spacing w:val="6"/>
          <w:sz w:val="24"/>
        </w:rPr>
        <w:t>. </w:t>
      </w:r>
      <w:r>
        <w:rPr>
          <w:b/>
          <w:sz w:val="24"/>
        </w:rPr>
        <w:t>關鍵分析點：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0" w:lineRule="exact" w:before="0" w:after="0"/>
        <w:ind w:left="840" w:right="0" w:hanging="360"/>
        <w:jc w:val="left"/>
        <w:rPr>
          <w:b/>
          <w:sz w:val="24"/>
        </w:rPr>
      </w:pPr>
      <w:r>
        <w:rPr>
          <w:b/>
          <w:sz w:val="24"/>
        </w:rPr>
        <w:t>直接原因：排氣管高溫引燃汽油蒸氣（</w:t>
      </w:r>
      <w:r>
        <w:rPr>
          <w:b/>
          <w:spacing w:val="-1"/>
          <w:sz w:val="24"/>
        </w:rPr>
        <w:t>事件 </w:t>
      </w:r>
      <w:r>
        <w:rPr>
          <w:rFonts w:ascii="Calibri" w:hAnsi="Calibri" w:eastAsia="Calibri"/>
          <w:b/>
          <w:sz w:val="24"/>
        </w:rPr>
        <w:t>4+</w:t>
      </w:r>
      <w:r>
        <w:rPr>
          <w:b/>
          <w:sz w:val="24"/>
        </w:rPr>
        <w:t>條件 </w:t>
      </w:r>
      <w:r>
        <w:rPr>
          <w:rFonts w:ascii="Calibri" w:hAnsi="Calibri" w:eastAsia="Calibri"/>
          <w:b/>
          <w:sz w:val="24"/>
        </w:rPr>
        <w:t>1</w:t>
      </w:r>
      <w:r>
        <w:rPr>
          <w:b/>
          <w:sz w:val="24"/>
        </w:rPr>
        <w:t>）。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28" w:lineRule="exact" w:before="0" w:after="0"/>
        <w:ind w:left="840" w:right="0" w:hanging="360"/>
        <w:jc w:val="left"/>
        <w:rPr>
          <w:b/>
          <w:sz w:val="24"/>
        </w:rPr>
      </w:pPr>
      <w:r>
        <w:rPr>
          <w:b/>
          <w:sz w:val="24"/>
        </w:rPr>
        <w:t>系統性失效：</w:t>
      </w:r>
    </w:p>
    <w:p>
      <w:pPr>
        <w:spacing w:after="0" w:line="428" w:lineRule="exact"/>
        <w:jc w:val="left"/>
        <w:rPr>
          <w:sz w:val="24"/>
        </w:rPr>
        <w:sectPr>
          <w:pgSz w:w="11910" w:h="16840"/>
          <w:pgMar w:top="1380" w:bottom="28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428" w:lineRule="exact" w:before="28" w:after="0"/>
        <w:ind w:left="1560" w:right="0" w:hanging="360"/>
        <w:jc w:val="left"/>
        <w:rPr>
          <w:b/>
          <w:sz w:val="24"/>
        </w:rPr>
      </w:pPr>
      <w:r>
        <w:rPr>
          <w:b/>
          <w:sz w:val="24"/>
        </w:rPr>
        <w:t>設備管理：未保持安全距離與隔熱措施（條件 </w:t>
      </w:r>
      <w:r>
        <w:rPr>
          <w:rFonts w:ascii="Calibri" w:hAnsi="Calibri" w:eastAsia="Calibri"/>
          <w:b/>
          <w:sz w:val="24"/>
        </w:rPr>
        <w:t>1</w:t>
      </w:r>
      <w:r>
        <w:rPr>
          <w:b/>
          <w:sz w:val="24"/>
        </w:rPr>
        <w:t>、</w:t>
      </w:r>
      <w:r>
        <w:rPr>
          <w:rFonts w:ascii="Calibri" w:hAnsi="Calibri" w:eastAsia="Calibri"/>
          <w:b/>
          <w:sz w:val="24"/>
        </w:rPr>
        <w:t>3</w:t>
      </w:r>
      <w:r>
        <w:rPr>
          <w:b/>
          <w:sz w:val="24"/>
        </w:rPr>
        <w:t>）。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b/>
          <w:sz w:val="24"/>
        </w:rPr>
      </w:pPr>
      <w:r>
        <w:rPr>
          <w:b/>
          <w:sz w:val="24"/>
        </w:rPr>
        <w:t>應急準備：缺乏滅火器材（</w:t>
      </w:r>
      <w:r>
        <w:rPr>
          <w:b/>
          <w:spacing w:val="-1"/>
          <w:sz w:val="24"/>
        </w:rPr>
        <w:t>條件 </w:t>
      </w:r>
      <w:r>
        <w:rPr>
          <w:rFonts w:ascii="Calibri" w:hAnsi="Calibri" w:eastAsia="Calibri"/>
          <w:b/>
          <w:sz w:val="24"/>
        </w:rPr>
        <w:t>5</w:t>
      </w:r>
      <w:r>
        <w:rPr>
          <w:b/>
          <w:sz w:val="24"/>
        </w:rPr>
        <w:t>）加劇傷害。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b/>
          <w:sz w:val="24"/>
        </w:rPr>
      </w:pPr>
      <w:r>
        <w:rPr>
          <w:b/>
          <w:sz w:val="24"/>
        </w:rPr>
        <w:t>假設標註：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20" w:right="0" w:firstLine="1080"/>
        <w:jc w:val="left"/>
        <w:rPr>
          <w:b/>
          <w:sz w:val="24"/>
        </w:rPr>
      </w:pPr>
      <w:r>
        <w:rPr>
          <w:b/>
          <w:sz w:val="24"/>
        </w:rPr>
        <w:t>「排氣隔熱罩缺失」需對照設備安全標準。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225" w:lineRule="auto" w:before="6" w:after="0"/>
        <w:ind w:left="120" w:right="2664" w:firstLine="1080"/>
        <w:jc w:val="left"/>
        <w:rPr>
          <w:b/>
          <w:sz w:val="24"/>
        </w:rPr>
      </w:pPr>
      <w:r>
        <w:rPr>
          <w:b/>
          <w:spacing w:val="-1"/>
          <w:sz w:val="24"/>
        </w:rPr>
        <w:t>「油桶密封不良」需檢查容器檢驗記錄。</w:t>
      </w:r>
      <w:r>
        <w:rPr>
          <w:b/>
          <w:sz w:val="24"/>
        </w:rPr>
        <w:t>十</w:t>
      </w:r>
      <w:r>
        <w:rPr>
          <w:rFonts w:ascii="Calibri" w:hAnsi="Calibri" w:eastAsia="Calibri"/>
          <w:b/>
          <w:spacing w:val="6"/>
          <w:sz w:val="24"/>
        </w:rPr>
        <w:t>. </w:t>
      </w:r>
      <w:r>
        <w:rPr>
          <w:b/>
          <w:sz w:val="24"/>
        </w:rPr>
        <w:t>延伸建議：</w:t>
      </w:r>
    </w:p>
    <w:p>
      <w:pPr>
        <w:spacing w:line="410" w:lineRule="exact"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結合「屏障分析」探討：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b/>
          <w:sz w:val="24"/>
        </w:rPr>
      </w:pPr>
      <w:r>
        <w:rPr>
          <w:b/>
          <w:sz w:val="24"/>
        </w:rPr>
        <w:t>為何未設置「排氣管溫度警報」與「安全距離標示」？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b/>
          <w:sz w:val="24"/>
        </w:rPr>
      </w:pPr>
      <w:r>
        <w:rPr>
          <w:b/>
          <w:sz w:val="24"/>
        </w:rPr>
        <w:t>是否需規範「車載易燃物專用防爆容器」？</w:t>
      </w:r>
    </w:p>
    <w:p>
      <w:pPr>
        <w:spacing w:line="225" w:lineRule="auto" w:before="6"/>
        <w:ind w:left="120" w:right="359" w:firstLine="0"/>
        <w:jc w:val="left"/>
        <w:rPr>
          <w:b/>
          <w:sz w:val="24"/>
        </w:rPr>
      </w:pPr>
      <w:r>
        <w:rPr>
          <w:b/>
          <w:sz w:val="24"/>
        </w:rPr>
        <w:t>此圖清晰呈現火災事故中「熱源</w:t>
      </w:r>
      <w:r>
        <w:rPr>
          <w:rFonts w:ascii="Calibri" w:eastAsia="Calibri"/>
          <w:b/>
          <w:sz w:val="24"/>
        </w:rPr>
        <w:t>-</w:t>
      </w:r>
      <w:r>
        <w:rPr>
          <w:b/>
          <w:sz w:val="24"/>
        </w:rPr>
        <w:t>易燃物</w:t>
      </w:r>
      <w:r>
        <w:rPr>
          <w:rFonts w:ascii="Calibri" w:eastAsia="Calibri"/>
          <w:b/>
          <w:sz w:val="24"/>
        </w:rPr>
        <w:t>-</w:t>
      </w:r>
      <w:r>
        <w:rPr>
          <w:b/>
          <w:sz w:val="24"/>
        </w:rPr>
        <w:t>應急」的因果鏈，便於制定分層防護策略。</w:t>
      </w:r>
    </w:p>
    <w:sectPr>
      <w:pgSz w:w="11910" w:h="1684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Segoe UI">
    <w:altName w:val="Segoe U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99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3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3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9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3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05" w:hanging="2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9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3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05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9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3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05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99" w:hanging="36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78"/>
      <w:jc w:val="center"/>
      <w:outlineLvl w:val="1"/>
    </w:pPr>
    <w:rPr>
      <w:rFonts w:ascii="Times New Roman" w:hAnsi="Times New Roman" w:eastAsia="Times New Roman" w:cs="Times New Roman"/>
      <w:sz w:val="59"/>
      <w:szCs w:val="59"/>
    </w:rPr>
  </w:style>
  <w:style w:styleId="Heading2" w:type="paragraph">
    <w:name w:val="Heading 2"/>
    <w:basedOn w:val="Normal"/>
    <w:uiPriority w:val="1"/>
    <w:qFormat/>
    <w:pPr>
      <w:spacing w:line="415" w:lineRule="exact"/>
      <w:ind w:left="120"/>
      <w:outlineLvl w:val="2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2025-07-25T00:36:45Z</dcterms:created>
  <dcterms:modified xsi:type="dcterms:W3CDTF">2025-07-25T00:36:45Z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