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8"/>
        <w:ind w:left="3395" w:firstLine="0"/>
      </w:pPr>
      <w:r>
        <w:rPr/>
        <w:t>火災爆炸案 </w:t>
      </w:r>
      <w:r>
        <w:rPr>
          <w:rFonts w:ascii="Calibri" w:eastAsia="Calibri"/>
        </w:rPr>
        <w:t>4_</w:t>
      </w:r>
      <w:r>
        <w:rPr/>
        <w:t>分析參考</w:t>
      </w:r>
    </w:p>
    <w:p>
      <w:pPr>
        <w:spacing w:line="225" w:lineRule="auto" w:before="286"/>
        <w:ind w:left="139" w:right="179" w:firstLine="0"/>
        <w:jc w:val="left"/>
        <w:rPr>
          <w:sz w:val="24"/>
        </w:rPr>
      </w:pPr>
      <w:r>
        <w:rPr>
          <w:b/>
          <w:sz w:val="24"/>
        </w:rPr>
        <w:t>重要提醒： </w:t>
      </w:r>
      <w:r>
        <w:rPr>
          <w:sz w:val="24"/>
        </w:rPr>
        <w:t>本分析報告是基於所提供案例的有限資訊，並結合事故調查的專業方法論進行。部分內容為根據邏輯與經驗所做的合理假設，並會明確標示為 </w:t>
      </w:r>
      <w:r>
        <w:rPr>
          <w:rFonts w:ascii="Calibri" w:eastAsia="Calibri"/>
          <w:sz w:val="24"/>
        </w:rPr>
        <w:t>(</w:t>
      </w:r>
      <w:r>
        <w:rPr>
          <w:sz w:val="24"/>
        </w:rPr>
        <w:t>假設</w:t>
      </w:r>
      <w:r>
        <w:rPr>
          <w:rFonts w:ascii="Calibri" w:eastAsia="Calibri"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。一場實際、完整的事故調查，需要更詳盡的現場勘查、人員訪談與物證檢驗來支持所有結論。</w:t>
      </w:r>
    </w:p>
    <w:p>
      <w:pPr>
        <w:spacing w:line="240" w:lineRule="auto" w:before="5"/>
        <w:rPr>
          <w:sz w:val="6"/>
        </w:rPr>
      </w:pPr>
      <w:r>
        <w:rPr/>
        <w:pict>
          <v:group style="position:absolute;margin-left:90pt;margin-top:7.743906pt;width:448.7pt;height:1.55pt;mso-position-horizontal-relative:page;mso-position-vertical-relative:paragraph;z-index:-1024;mso-wrap-distance-left:0;mso-wrap-distance-right:0" coordorigin="1800,155" coordsize="8974,31">
            <v:line style="position:absolute" from="1800,170" to="10774,170" stroked="true" strokeweight="1.5pt" strokecolor="#9f9f9f">
              <v:stroke dashstyle="solid"/>
            </v:line>
            <v:rect style="position:absolute;left:1800;top:155;width:5;height:5" filled="true" fillcolor="#9f9f9f" stroked="false">
              <v:fill type="solid"/>
            </v:rect>
            <v:rect style="position:absolute;left:1800;top:155;width:5;height:5" filled="true" fillcolor="#9f9f9f" stroked="false">
              <v:fill type="solid"/>
            </v:rect>
            <v:line style="position:absolute" from="1805,158" to="10769,158" stroked="true" strokeweight=".24pt" strokecolor="#9f9f9f">
              <v:stroke dashstyle="solid"/>
            </v:line>
            <v:rect style="position:absolute;left:10768;top:155;width:5;height:5" filled="true" fillcolor="#e2e2e2" stroked="false">
              <v:fill type="solid"/>
            </v:rect>
            <v:rect style="position:absolute;left:10768;top:155;width:5;height:5" filled="true" fillcolor="#9f9f9f" stroked="false">
              <v:fill type="solid"/>
            </v:rect>
            <v:rect style="position:absolute;left:1800;top:160;width:5;height:21" filled="true" fillcolor="#9f9f9f" stroked="false">
              <v:fill type="solid"/>
            </v:rect>
            <v:rect style="position:absolute;left:10768;top:160;width:5;height:21" filled="true" fillcolor="#e2e2e2" stroked="false">
              <v:fill type="solid"/>
            </v:rect>
            <v:rect style="position:absolute;left:1800;top:180;width:5;height:5" filled="true" fillcolor="#9f9f9f" stroked="false">
              <v:fill type="solid"/>
            </v:rect>
            <v:rect style="position:absolute;left:1800;top:180;width:5;height:5" filled="true" fillcolor="#e2e2e2" stroked="false">
              <v:fill type="solid"/>
            </v:rect>
            <v:line style="position:absolute" from="1805,183" to="10769,183" stroked="true" strokeweight=".24pt" strokecolor="#e2e2e2">
              <v:stroke dashstyle="solid"/>
            </v:line>
            <v:rect style="position:absolute;left:10768;top:180;width:5;height:5" filled="true" fillcolor="#e2e2e2" stroked="false">
              <v:fill type="solid"/>
            </v:rect>
            <v:rect style="position:absolute;left:10768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line="225" w:lineRule="auto" w:before="26"/>
        <w:ind w:left="140" w:right="2051" w:firstLine="0"/>
      </w:pPr>
      <w:r>
        <w:rPr/>
        <w:t>烘焙炊蒸食品製造業 </w:t>
      </w:r>
      <w:r>
        <w:rPr>
          <w:rFonts w:ascii="Calibri" w:eastAsia="Calibri"/>
        </w:rPr>
        <w:t>- </w:t>
      </w:r>
      <w:r>
        <w:rPr/>
        <w:t>工作場所發生火災致死、致傷災害調查分析事故基本資料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09" w:lineRule="exact" w:before="0" w:after="0"/>
        <w:ind w:left="86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烘焙炊蒸食品製造業  </w:t>
      </w:r>
      <w:r>
        <w:rPr>
          <w:rFonts w:ascii="Calibri" w:hAnsi="Calibri" w:eastAsia="Calibri"/>
          <w:sz w:val="24"/>
        </w:rPr>
        <w:t>(0891)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火災  </w:t>
      </w:r>
      <w:r>
        <w:rPr>
          <w:rFonts w:ascii="Calibri" w:hAnsi="Calibri" w:eastAsia="Calibri"/>
          <w:sz w:val="24"/>
        </w:rPr>
        <w:t>(16)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爐、窯等  </w:t>
      </w:r>
      <w:r>
        <w:rPr>
          <w:rFonts w:ascii="Calibri" w:hAnsi="Calibri" w:eastAsia="Calibri"/>
          <w:sz w:val="24"/>
        </w:rPr>
        <w:t>(341</w:t>
      </w:r>
      <w:r>
        <w:rPr>
          <w:rFonts w:ascii="Calibri" w:hAnsi="Calibri" w:eastAsia="Calibri"/>
          <w:spacing w:val="5"/>
          <w:sz w:val="24"/>
        </w:rPr>
        <w:t>, </w:t>
      </w:r>
      <w:r>
        <w:rPr>
          <w:sz w:val="24"/>
        </w:rPr>
        <w:t>立式油炸機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sz w:val="24"/>
        </w:rPr>
      </w:pPr>
      <w:r>
        <w:rPr>
          <w:b/>
          <w:spacing w:val="9"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9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人、受傷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25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 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37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公司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樓油炸區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25" w:lineRule="auto" w:before="7" w:after="0"/>
        <w:ind w:left="860" w:right="203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sz w:val="24"/>
        </w:rPr>
        <w:t>因油炸機之瓦斯供應控制電磁閥故障，導致瓦斯未能關斷而持續加熱，油溫過高產生大量油煙後閃火燃燒。 因廚房滅火系統自動與手動裝置皆失效、初期滅火措施無效、未備置滅火蓋板，導致火勢快速延燒。 濃煙因煙囪效應迅速竄升至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樓，但 </w:t>
      </w:r>
      <w:r>
        <w:rPr>
          <w:rFonts w:ascii="Calibri" w:hAnsi="Calibri" w:eastAsia="Calibri"/>
          <w:sz w:val="24"/>
        </w:rPr>
        <w:t>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1"/>
          <w:sz w:val="24"/>
        </w:rPr>
        <w:t>樓的消防排煙系統因偵測器限制而未啟動，加</w:t>
      </w:r>
      <w:r>
        <w:rPr>
          <w:sz w:val="24"/>
        </w:rPr>
        <w:t>上夜班人員未實施消防演練，導致人員疏散不及，</w:t>
      </w:r>
    </w:p>
    <w:p>
      <w:pPr>
        <w:spacing w:line="240" w:lineRule="auto" w:before="15"/>
        <w:rPr>
          <w:sz w:val="30"/>
        </w:rPr>
      </w:pPr>
    </w:p>
    <w:p>
      <w:pPr>
        <w:pStyle w:val="BodyText"/>
        <w:spacing w:line="428" w:lineRule="exact"/>
        <w:ind w:left="140" w:firstLine="0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spacing w:line="428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此圖將事故發生的事件及相關條件按時間順序呈現，以視覺化方式釐清因果關係。</w:t>
      </w:r>
    </w:p>
    <w:p>
      <w:pPr>
        <w:spacing w:line="240" w:lineRule="auto" w:before="1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175720</wp:posOffset>
            </wp:positionV>
            <wp:extent cx="5207868" cy="1194435"/>
            <wp:effectExtent l="0" t="0" r="0" b="0"/>
            <wp:wrapTopAndBottom/>
            <wp:docPr id="1" name="image1.jpeg" descr="一張含有 便利貼, 圖表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868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8" w:lineRule="exact" w:before="156"/>
        <w:ind w:left="140" w:firstLine="0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spacing w:line="428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此表以表格形式記錄事故發生的先後順序和相關條件，作為 </w:t>
      </w:r>
      <w:r>
        <w:rPr>
          <w:rFonts w:ascii="Calibri" w:eastAsia="Calibri"/>
          <w:sz w:val="24"/>
        </w:rPr>
        <w:t>ECFC </w:t>
      </w:r>
      <w:r>
        <w:rPr>
          <w:sz w:val="24"/>
        </w:rPr>
        <w:t>的輔助。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2159"/>
        <w:gridCol w:w="603"/>
        <w:gridCol w:w="891"/>
        <w:gridCol w:w="2212"/>
        <w:gridCol w:w="1758"/>
      </w:tblGrid>
      <w:tr>
        <w:trPr>
          <w:trHeight w:val="1037" w:hRule="atLeast"/>
        </w:trPr>
        <w:tc>
          <w:tcPr>
            <w:tcW w:w="1342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15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/>
              <w:ind w:right="2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</w:t>
            </w:r>
          </w:p>
        </w:tc>
        <w:tc>
          <w:tcPr>
            <w:tcW w:w="891" w:type="dxa"/>
          </w:tcPr>
          <w:p>
            <w:pPr>
              <w:pStyle w:val="TableParagraph"/>
              <w:spacing w:line="332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346" w:lineRule="exact"/>
              <w:ind w:left="106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</w:p>
          <w:p>
            <w:pPr>
              <w:pStyle w:val="TableParagraph"/>
              <w:spacing w:line="339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事件軸</w:t>
            </w:r>
          </w:p>
        </w:tc>
        <w:tc>
          <w:tcPr>
            <w:tcW w:w="2212" w:type="dxa"/>
          </w:tcPr>
          <w:p>
            <w:pPr>
              <w:pStyle w:val="TableParagraph"/>
              <w:spacing w:line="343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58" w:type="dxa"/>
          </w:tcPr>
          <w:p>
            <w:pPr>
              <w:pStyle w:val="TableParagraph"/>
              <w:spacing w:line="332" w:lineRule="exact"/>
              <w:ind w:left="104"/>
              <w:rPr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</w:t>
            </w:r>
          </w:p>
          <w:p>
            <w:pPr>
              <w:pStyle w:val="TableParagraph"/>
              <w:spacing w:line="357" w:lineRule="exact"/>
              <w:ind w:left="104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357" w:lineRule="exact"/>
        <w:rPr>
          <w:rFonts w:ascii="Segoe UI" w:eastAsia="Segoe UI"/>
          <w:sz w:val="20"/>
        </w:rPr>
        <w:sectPr>
          <w:type w:val="continuous"/>
          <w:pgSz w:w="11910" w:h="16840"/>
          <w:pgMar w:top="1380" w:bottom="280" w:left="1660" w:right="10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2159"/>
        <w:gridCol w:w="603"/>
        <w:gridCol w:w="891"/>
        <w:gridCol w:w="2212"/>
        <w:gridCol w:w="1758"/>
      </w:tblGrid>
      <w:tr>
        <w:trPr>
          <w:trHeight w:val="692" w:hRule="atLeast"/>
        </w:trPr>
        <w:tc>
          <w:tcPr>
            <w:tcW w:w="134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w w:val="100"/>
                <w:sz w:val="20"/>
              </w:rPr>
              <w:t>假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89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37" w:hRule="atLeast"/>
        </w:trPr>
        <w:tc>
          <w:tcPr>
            <w:tcW w:w="1342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112/04/25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前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4"/>
              <w:ind w:right="238"/>
              <w:rPr>
                <w:sz w:val="20"/>
              </w:rPr>
            </w:pPr>
            <w:r>
              <w:rPr>
                <w:sz w:val="20"/>
              </w:rPr>
              <w:t>油炸機之瓦斯供應控制電磁閥故障。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4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4"/>
              <w:ind w:left="106" w:right="292"/>
              <w:rPr>
                <w:sz w:val="20"/>
              </w:rPr>
            </w:pPr>
            <w:r>
              <w:rPr>
                <w:sz w:val="20"/>
              </w:rPr>
              <w:t>設備老化或維護保養不足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auto" w:before="4"/>
              <w:ind w:left="104" w:right="241"/>
              <w:rPr>
                <w:sz w:val="20"/>
              </w:rPr>
            </w:pPr>
            <w:r>
              <w:rPr>
                <w:sz w:val="20"/>
              </w:rPr>
              <w:t>缺乏預知保養或定期檢修制度</w:t>
            </w:r>
          </w:p>
          <w:p>
            <w:pPr>
              <w:pStyle w:val="TableParagraph"/>
              <w:spacing w:line="322" w:lineRule="exact"/>
              <w:ind w:left="104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037" w:hRule="atLeast"/>
        </w:trPr>
        <w:tc>
          <w:tcPr>
            <w:tcW w:w="134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前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4"/>
              <w:ind w:right="238"/>
              <w:rPr>
                <w:sz w:val="20"/>
              </w:rPr>
            </w:pPr>
            <w:r>
              <w:rPr>
                <w:sz w:val="20"/>
              </w:rPr>
              <w:t>電磁閥故障後，瓦斯未能關斷，持續對油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槽加熱。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4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4"/>
              <w:ind w:left="106" w:right="214" w:hanging="1"/>
              <w:rPr>
                <w:sz w:val="20"/>
              </w:rPr>
            </w:pPr>
            <w:r>
              <w:rPr>
                <w:sz w:val="20"/>
              </w:rPr>
              <w:t>無獨立的超溫斷電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斷氣裝置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auto" w:before="4"/>
              <w:ind w:left="104" w:right="221"/>
              <w:rPr>
                <w:sz w:val="20"/>
              </w:rPr>
            </w:pPr>
            <w:r>
              <w:rPr>
                <w:sz w:val="20"/>
              </w:rPr>
              <w:t>設備安全設計標準不足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1383" w:hRule="atLeast"/>
        </w:trPr>
        <w:tc>
          <w:tcPr>
            <w:tcW w:w="134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前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4"/>
              <w:ind w:right="238"/>
              <w:rPr>
                <w:sz w:val="20"/>
              </w:rPr>
            </w:pPr>
            <w:r>
              <w:rPr>
                <w:sz w:val="20"/>
              </w:rPr>
              <w:t>油溫持續上升，超過大豆油自燃溫度</w:t>
            </w:r>
          </w:p>
          <w:p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rFonts w:ascii="Segoe UI" w:hAnsi="Segoe UI" w:eastAsia="Segoe UI"/>
                <w:sz w:val="20"/>
              </w:rPr>
              <w:t>(330</w:t>
            </w:r>
            <w:r>
              <w:rPr>
                <w:rFonts w:ascii="Cambria Math" w:hAnsi="Cambria Math" w:eastAsia="Cambria Math"/>
                <w:sz w:val="20"/>
              </w:rPr>
              <w:t>℃</w:t>
            </w:r>
            <w:r>
              <w:rPr>
                <w:rFonts w:ascii="Segoe UI" w:hAnsi="Segoe UI" w:eastAsia="Segoe UI"/>
                <w:sz w:val="20"/>
              </w:rPr>
              <w:t>)</w:t>
            </w:r>
            <w:r>
              <w:rPr>
                <w:sz w:val="20"/>
              </w:rPr>
              <w:t>後發生閃火燃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燒。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4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4"/>
              <w:ind w:left="106" w:right="133" w:hanging="1"/>
              <w:rPr>
                <w:sz w:val="20"/>
              </w:rPr>
            </w:pPr>
            <w:r>
              <w:rPr>
                <w:sz w:val="20"/>
              </w:rPr>
              <w:t>油炸作業無人看管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58" w:type="dxa"/>
          </w:tcPr>
          <w:p>
            <w:pPr>
              <w:pStyle w:val="TableParagraph"/>
              <w:ind w:left="104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</w:tr>
      <w:tr>
        <w:trPr>
          <w:trHeight w:val="2075" w:hRule="atLeast"/>
        </w:trPr>
        <w:tc>
          <w:tcPr>
            <w:tcW w:w="1342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許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5"/>
              <w:ind w:right="238"/>
              <w:rPr>
                <w:sz w:val="20"/>
              </w:rPr>
            </w:pPr>
            <w:r>
              <w:rPr>
                <w:sz w:val="20"/>
              </w:rPr>
              <w:t>初期滅火失敗，火勢快速延燒。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5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</w:tabs>
              <w:spacing w:line="225" w:lineRule="auto" w:before="5" w:after="0"/>
              <w:ind w:left="106" w:right="241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廚房滅火系統自動</w:t>
            </w:r>
            <w:r>
              <w:rPr>
                <w:sz w:val="20"/>
              </w:rPr>
              <w:t>裝置失效。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</w:tabs>
              <w:spacing w:line="225" w:lineRule="auto" w:before="0" w:after="0"/>
              <w:ind w:left="106" w:right="241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無人手動啟動滅火</w:t>
            </w:r>
            <w:r>
              <w:rPr>
                <w:sz w:val="20"/>
              </w:rPr>
              <w:t>系統。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8" w:val="left" w:leader="none"/>
              </w:tabs>
              <w:spacing w:line="342" w:lineRule="exact" w:before="0" w:after="0"/>
              <w:ind w:left="358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未備置油炸槽之密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合蓋板。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25" w:lineRule="auto" w:before="5" w:after="0"/>
              <w:ind w:left="104" w:right="189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消防設備維護</w:t>
            </w:r>
            <w:r>
              <w:rPr>
                <w:spacing w:val="16"/>
                <w:sz w:val="20"/>
              </w:rPr>
              <w:t>不實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25" w:lineRule="auto" w:before="0" w:after="0"/>
              <w:ind w:left="104" w:right="189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人員緊急應變</w:t>
            </w:r>
            <w:r>
              <w:rPr>
                <w:sz w:val="20"/>
              </w:rPr>
              <w:t>訓練不足。</w:t>
            </w:r>
          </w:p>
        </w:tc>
      </w:tr>
      <w:tr>
        <w:trPr>
          <w:trHeight w:val="1037" w:hRule="atLeast"/>
        </w:trPr>
        <w:tc>
          <w:tcPr>
            <w:tcW w:w="134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後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4"/>
              <w:ind w:right="238"/>
              <w:rPr>
                <w:sz w:val="20"/>
              </w:rPr>
            </w:pPr>
            <w:r>
              <w:rPr>
                <w:sz w:val="20"/>
              </w:rPr>
              <w:t>濃煙及有毒氣體經由樓梯及電梯井等管道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快速竄升至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樓。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4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4"/>
              <w:ind w:left="106" w:right="292"/>
              <w:rPr>
                <w:sz w:val="20"/>
              </w:rPr>
            </w:pPr>
            <w:r>
              <w:rPr>
                <w:sz w:val="20"/>
              </w:rPr>
              <w:t>管道間存在煙囪效 </w:t>
            </w:r>
            <w:r>
              <w:rPr>
                <w:spacing w:val="-3"/>
                <w:sz w:val="20"/>
              </w:rPr>
              <w:t>應，且未設有效防火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pacing w:val="7"/>
                <w:sz w:val="20"/>
              </w:rPr>
              <w:t>區劃或閘門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auto" w:before="4"/>
              <w:ind w:left="104" w:right="241"/>
              <w:rPr>
                <w:sz w:val="20"/>
              </w:rPr>
            </w:pPr>
            <w:r>
              <w:rPr>
                <w:sz w:val="20"/>
              </w:rPr>
              <w:t>建築物防火安全設計缺失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22" w:lineRule="exact"/>
              <w:ind w:left="104"/>
              <w:rPr>
                <w:sz w:val="20"/>
              </w:rPr>
            </w:pPr>
            <w:r>
              <w:rPr>
                <w:sz w:val="20"/>
              </w:rPr>
              <w:t>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  <w:tr>
        <w:trPr>
          <w:trHeight w:val="2075" w:hRule="atLeast"/>
        </w:trPr>
        <w:tc>
          <w:tcPr>
            <w:tcW w:w="1342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後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5"/>
              <w:ind w:right="280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樓消防排煙系統未能啟動。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5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8" w:val="left" w:leader="none"/>
              </w:tabs>
              <w:spacing w:line="225" w:lineRule="auto" w:before="5" w:after="0"/>
              <w:ind w:left="106" w:right="241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通道偵煙式探測器</w:t>
            </w:r>
            <w:r>
              <w:rPr>
                <w:sz w:val="20"/>
              </w:rPr>
              <w:t>失效。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8" w:val="left" w:leader="none"/>
              </w:tabs>
              <w:spacing w:line="225" w:lineRule="auto" w:before="0" w:after="0"/>
              <w:ind w:left="105" w:right="163" w:firstLine="1"/>
              <w:jc w:val="left"/>
              <w:rPr>
                <w:sz w:val="20"/>
              </w:rPr>
            </w:pPr>
            <w:r>
              <w:rPr>
                <w:sz w:val="20"/>
              </w:rPr>
              <w:t>作業區的溫</w:t>
            </w:r>
            <w:r>
              <w:rPr>
                <w:rFonts w:ascii="Segoe UI" w:hAnsi="Segoe UI" w:eastAsia="Segoe UI"/>
                <w:sz w:val="20"/>
              </w:rPr>
              <w:t>/</w:t>
            </w:r>
            <w:r>
              <w:rPr>
                <w:spacing w:val="-5"/>
                <w:sz w:val="20"/>
              </w:rPr>
              <w:t>差動探</w:t>
            </w:r>
            <w:r>
              <w:rPr>
                <w:sz w:val="20"/>
              </w:rPr>
              <w:t>測器因現場未起火， 未達啟動溫度</w:t>
            </w:r>
            <w:r>
              <w:rPr>
                <w:rFonts w:ascii="Segoe UI" w:hAnsi="Segoe UI" w:eastAsia="Segoe UI"/>
                <w:sz w:val="20"/>
              </w:rPr>
              <w:t>(70</w:t>
            </w:r>
            <w:r>
              <w:rPr>
                <w:rFonts w:ascii="Cambria Math" w:hAnsi="Cambria Math" w:eastAsia="Cambria Math"/>
                <w:sz w:val="20"/>
              </w:rPr>
              <w:t>℃</w:t>
            </w:r>
            <w:r>
              <w:rPr>
                <w:sz w:val="20"/>
              </w:rPr>
              <w:t>以</w:t>
            </w:r>
          </w:p>
          <w:p>
            <w:pPr>
              <w:pStyle w:val="TableParagraph"/>
              <w:spacing w:line="322" w:lineRule="exact"/>
              <w:ind w:left="105"/>
              <w:rPr>
                <w:sz w:val="20"/>
              </w:rPr>
            </w:pPr>
            <w:r>
              <w:rPr>
                <w:sz w:val="20"/>
              </w:rPr>
              <w:t>下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auto" w:before="5"/>
              <w:ind w:left="104" w:right="241"/>
              <w:jc w:val="both"/>
              <w:rPr>
                <w:sz w:val="20"/>
              </w:rPr>
            </w:pPr>
            <w:r>
              <w:rPr>
                <w:sz w:val="20"/>
              </w:rPr>
              <w:t>消防系統設計未考慮濃煙跨樓層擴散的情境。</w:t>
            </w:r>
          </w:p>
        </w:tc>
      </w:tr>
      <w:tr>
        <w:trPr>
          <w:trHeight w:val="1383" w:hRule="atLeast"/>
        </w:trPr>
        <w:tc>
          <w:tcPr>
            <w:tcW w:w="134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06:37 </w:t>
            </w:r>
            <w:r>
              <w:rPr>
                <w:sz w:val="20"/>
              </w:rPr>
              <w:t>後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4"/>
              <w:ind w:right="231"/>
              <w:jc w:val="both"/>
              <w:rPr>
                <w:sz w:val="20"/>
              </w:rPr>
            </w:pPr>
            <w:r>
              <w:rPr>
                <w:sz w:val="20"/>
              </w:rPr>
              <w:t>人員疏散不及，多人</w:t>
            </w:r>
            <w:r>
              <w:rPr>
                <w:spacing w:val="-1"/>
                <w:sz w:val="20"/>
              </w:rPr>
              <w:t>受困於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pacing w:val="-4"/>
                <w:sz w:val="20"/>
              </w:rPr>
              <w:t>樓冷藏庫等</w:t>
            </w:r>
            <w:r>
              <w:rPr>
                <w:sz w:val="20"/>
              </w:rPr>
              <w:t>區域。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4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4"/>
              <w:ind w:left="106" w:right="292"/>
              <w:rPr>
                <w:sz w:val="20"/>
              </w:rPr>
            </w:pPr>
            <w:r>
              <w:rPr>
                <w:spacing w:val="-2"/>
                <w:sz w:val="20"/>
              </w:rPr>
              <w:t>夜班人員未實施消防</w:t>
            </w:r>
            <w:r>
              <w:rPr>
                <w:sz w:val="20"/>
              </w:rPr>
              <w:t>緊急災變及疏散演 練。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auto" w:before="4"/>
              <w:ind w:left="104" w:right="241"/>
              <w:jc w:val="both"/>
              <w:rPr>
                <w:sz w:val="20"/>
              </w:rPr>
            </w:pPr>
            <w:r>
              <w:rPr>
                <w:sz w:val="20"/>
              </w:rPr>
              <w:t>管理階層輕忽夜間或輪班人員的消防演練重要</w:t>
            </w:r>
          </w:p>
          <w:p>
            <w:pPr>
              <w:pStyle w:val="TableParagraph"/>
              <w:spacing w:line="322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性。</w:t>
            </w:r>
          </w:p>
        </w:tc>
      </w:tr>
      <w:tr>
        <w:trPr>
          <w:trHeight w:val="1384" w:hRule="atLeast"/>
        </w:trPr>
        <w:tc>
          <w:tcPr>
            <w:tcW w:w="1342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事故後</w:t>
            </w:r>
          </w:p>
        </w:tc>
        <w:tc>
          <w:tcPr>
            <w:tcW w:w="2159" w:type="dxa"/>
          </w:tcPr>
          <w:p>
            <w:pPr>
              <w:pStyle w:val="TableParagraph"/>
              <w:spacing w:line="225" w:lineRule="auto" w:before="5"/>
              <w:ind w:right="231"/>
              <w:rPr>
                <w:sz w:val="20"/>
              </w:rPr>
            </w:pPr>
            <w:r>
              <w:rPr>
                <w:sz w:val="20"/>
              </w:rPr>
              <w:t>消防隊救出受困人 員，但仍造成 </w:t>
            </w:r>
            <w:r>
              <w:rPr>
                <w:rFonts w:ascii="Segoe UI" w:eastAsia="Segoe UI"/>
                <w:sz w:val="20"/>
              </w:rPr>
              <w:t>9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pacing w:val="-8"/>
                <w:sz w:val="20"/>
              </w:rPr>
              <w:t>人死</w:t>
            </w:r>
            <w:r>
              <w:rPr>
                <w:sz w:val="20"/>
              </w:rPr>
              <w:t>亡、</w:t>
            </w:r>
            <w:r>
              <w:rPr>
                <w:rFonts w:ascii="Segoe UI" w:eastAsia="Segoe UI"/>
                <w:sz w:val="20"/>
              </w:rPr>
              <w:t>11</w:t>
            </w:r>
            <w:r>
              <w:rPr>
                <w:rFonts w:ascii="Segoe UI" w:eastAsia="Segoe UI"/>
                <w:spacing w:val="-7"/>
                <w:sz w:val="20"/>
              </w:rPr>
              <w:t> </w:t>
            </w:r>
            <w:r>
              <w:rPr>
                <w:sz w:val="20"/>
              </w:rPr>
              <w:t>人受傷。</w:t>
            </w:r>
          </w:p>
        </w:tc>
        <w:tc>
          <w:tcPr>
            <w:tcW w:w="603" w:type="dxa"/>
          </w:tcPr>
          <w:p>
            <w:pPr>
              <w:pStyle w:val="TableParagraph"/>
              <w:spacing w:line="225" w:lineRule="auto" w:before="5"/>
              <w:ind w:right="283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91" w:type="dxa"/>
          </w:tcPr>
          <w:p>
            <w:pPr>
              <w:pStyle w:val="TableParagraph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2212" w:type="dxa"/>
          </w:tcPr>
          <w:p>
            <w:pPr>
              <w:pStyle w:val="TableParagraph"/>
              <w:spacing w:line="225" w:lineRule="auto" w:before="5"/>
              <w:ind w:left="106" w:right="292"/>
              <w:jc w:val="both"/>
              <w:rPr>
                <w:sz w:val="20"/>
              </w:rPr>
            </w:pPr>
            <w:r>
              <w:rPr>
                <w:sz w:val="20"/>
              </w:rPr>
              <w:t>罹災者因吸入性嗆傷併窒息、一氧化碳中毒致急性呼吸衰竭死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亡。</w:t>
            </w:r>
          </w:p>
        </w:tc>
        <w:tc>
          <w:tcPr>
            <w:tcW w:w="1758" w:type="dxa"/>
          </w:tcPr>
          <w:p>
            <w:pPr>
              <w:pStyle w:val="TableParagraph"/>
              <w:ind w:left="104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</w:tr>
    </w:tbl>
    <w:p>
      <w:pPr>
        <w:spacing w:line="240" w:lineRule="auto" w:before="14"/>
        <w:rPr>
          <w:sz w:val="14"/>
        </w:rPr>
      </w:pPr>
      <w:r>
        <w:rPr/>
        <w:pict>
          <v:line style="position:absolute;mso-position-horizontal-relative:page;mso-position-vertical-relative:paragraph;z-index:-976;mso-wrap-distance-left:0;mso-wrap-distance-right:0" from="88.5pt,15.96pt" to="540.12pt,15.96pt" stroked="true" strokeweight=".72pt" strokecolor="#000000">
            <v:stroke dashstyle="solid"/>
            <w10:wrap type="topAndBottom"/>
          </v:line>
        </w:pict>
      </w:r>
    </w:p>
    <w:p>
      <w:pPr>
        <w:spacing w:after="0" w:line="240" w:lineRule="auto"/>
        <w:rPr>
          <w:sz w:val="14"/>
        </w:rPr>
        <w:sectPr>
          <w:pgSz w:w="11910" w:h="16840"/>
          <w:pgMar w:top="1420" w:bottom="280" w:left="1660" w:right="1020"/>
        </w:sectPr>
      </w:pPr>
    </w:p>
    <w:p>
      <w:pPr>
        <w:pStyle w:val="BodyText"/>
        <w:spacing w:line="428" w:lineRule="exact" w:before="28"/>
        <w:ind w:left="140" w:firstLine="0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spacing w:line="428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本分析從最終的傷害事件開始，透過不斷追問「為什麼」來探究事件的根本原因。</w:t>
      </w:r>
    </w:p>
    <w:p>
      <w:pPr>
        <w:spacing w:line="240" w:lineRule="auto" w:before="1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1242150</wp:posOffset>
            </wp:positionH>
            <wp:positionV relativeFrom="paragraph">
              <wp:posOffset>176042</wp:posOffset>
            </wp:positionV>
            <wp:extent cx="5533530" cy="5080349"/>
            <wp:effectExtent l="0" t="0" r="0" b="0"/>
            <wp:wrapTopAndBottom/>
            <wp:docPr id="3" name="image2.jpeg" descr="一張含有 圖表, 文字, 方案, 工程製圖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530" cy="5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88.5pt,21.045828pt" to="540.12pt,21.04582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line="428" w:lineRule="exact" w:before="251"/>
        <w:ind w:left="140" w:firstLine="0"/>
      </w:pPr>
      <w:r>
        <w:rPr/>
        <w:t>四</w:t>
      </w:r>
      <w:r>
        <w:rPr>
          <w:rFonts w:ascii="Calibri" w:eastAsia="Calibri"/>
        </w:rPr>
        <w:t>. </w:t>
      </w:r>
      <w:r>
        <w:rPr/>
        <w:t>屏障分析</w:t>
      </w:r>
    </w:p>
    <w:p>
      <w:pPr>
        <w:spacing w:line="415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0" w:val="left" w:leader="none"/>
        </w:tabs>
        <w:spacing w:line="415" w:lineRule="exact" w:before="0" w:after="0"/>
        <w:ind w:left="620" w:right="0" w:hanging="480"/>
        <w:jc w:val="left"/>
        <w:rPr>
          <w:sz w:val="24"/>
        </w:rPr>
      </w:pPr>
      <w:r>
        <w:rPr>
          <w:sz w:val="24"/>
        </w:rPr>
        <w:t>危害： 火災及其產生的濃煙與有毒氣體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0" w:val="left" w:leader="none"/>
        </w:tabs>
        <w:spacing w:line="428" w:lineRule="exact" w:before="0" w:after="0"/>
        <w:ind w:left="620" w:right="0" w:hanging="480"/>
        <w:jc w:val="left"/>
        <w:rPr>
          <w:sz w:val="24"/>
        </w:rPr>
      </w:pPr>
      <w:r>
        <w:rPr>
          <w:sz w:val="24"/>
        </w:rPr>
        <w:t>目標： 廠內作業勞工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194"/>
        <w:gridCol w:w="1186"/>
        <w:gridCol w:w="3022"/>
        <w:gridCol w:w="2631"/>
      </w:tblGrid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spacing w:line="225" w:lineRule="auto"/>
              <w:ind w:right="211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194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1186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  <w:p>
            <w:pPr>
              <w:pStyle w:val="TableParagraph"/>
              <w:spacing w:line="346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9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22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/>
              <w:ind w:right="150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225" w:lineRule="auto"/>
        <w:rPr>
          <w:rFonts w:ascii="Segoe UI" w:eastAsia="Segoe UI"/>
          <w:sz w:val="20"/>
        </w:rPr>
        <w:sectPr>
          <w:pgSz w:w="11910" w:h="16840"/>
          <w:pgMar w:top="1380" w:bottom="280" w:left="1660" w:right="10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1194"/>
        <w:gridCol w:w="1186"/>
        <w:gridCol w:w="3022"/>
        <w:gridCol w:w="2631"/>
      </w:tblGrid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spacing w:line="225" w:lineRule="auto" w:before="4"/>
              <w:ind w:right="131"/>
              <w:rPr>
                <w:sz w:val="20"/>
              </w:rPr>
            </w:pPr>
            <w:r>
              <w:rPr>
                <w:sz w:val="20"/>
              </w:rPr>
              <w:t>物理性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工程控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w w:val="100"/>
                <w:sz w:val="20"/>
              </w:rPr>
              <w:t>制</w:t>
            </w: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4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油炸機超溫安全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裝置</w:t>
            </w:r>
          </w:p>
        </w:tc>
        <w:tc>
          <w:tcPr>
            <w:tcW w:w="1186" w:type="dxa"/>
          </w:tcPr>
          <w:p>
            <w:pPr>
              <w:pStyle w:val="TableParagraph"/>
              <w:spacing w:line="225" w:lineRule="auto" w:before="4"/>
              <w:ind w:left="108" w:right="18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22" w:type="dxa"/>
          </w:tcPr>
          <w:p>
            <w:pPr>
              <w:pStyle w:val="TableParagraph"/>
              <w:spacing w:line="225" w:lineRule="auto" w:before="4"/>
              <w:ind w:right="101"/>
              <w:rPr>
                <w:sz w:val="20"/>
              </w:rPr>
            </w:pPr>
            <w:r>
              <w:rPr>
                <w:sz w:val="20"/>
              </w:rPr>
              <w:t>設備本身無此設計，或裝置已故障但未被發現。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4"/>
              <w:ind w:right="110"/>
              <w:rPr>
                <w:sz w:val="20"/>
              </w:rPr>
            </w:pPr>
            <w:r>
              <w:rPr>
                <w:sz w:val="20"/>
              </w:rPr>
              <w:t>無法在油溫異常時自動切斷熱源，是火災發生的源頭。</w:t>
            </w:r>
          </w:p>
        </w:tc>
      </w:tr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4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廚房自動滅火系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統</w:t>
            </w:r>
          </w:p>
        </w:tc>
        <w:tc>
          <w:tcPr>
            <w:tcW w:w="118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3022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系統自動啟動裝置故障 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4"/>
              <w:ind w:right="110"/>
              <w:rPr>
                <w:sz w:val="20"/>
              </w:rPr>
            </w:pPr>
            <w:r>
              <w:rPr>
                <w:sz w:val="20"/>
              </w:rPr>
              <w:t>未能在第一時間自動滅火， 錯失控制火勢的黃金時機。</w:t>
            </w:r>
          </w:p>
        </w:tc>
      </w:tr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4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油炸槽滅火蓋板</w:t>
            </w:r>
          </w:p>
        </w:tc>
        <w:tc>
          <w:tcPr>
            <w:tcW w:w="118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不存在</w:t>
            </w:r>
          </w:p>
        </w:tc>
        <w:tc>
          <w:tcPr>
            <w:tcW w:w="3022" w:type="dxa"/>
          </w:tcPr>
          <w:p>
            <w:pPr>
              <w:pStyle w:val="TableParagraph"/>
              <w:spacing w:line="225" w:lineRule="auto" w:before="4"/>
              <w:ind w:right="301"/>
              <w:rPr>
                <w:sz w:val="20"/>
              </w:rPr>
            </w:pPr>
            <w:r>
              <w:rPr>
                <w:sz w:val="20"/>
              </w:rPr>
              <w:t>未備置此項簡單有效的滅火工具 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4"/>
              <w:ind w:right="110"/>
              <w:rPr>
                <w:sz w:val="20"/>
              </w:rPr>
            </w:pPr>
            <w:r>
              <w:rPr>
                <w:sz w:val="20"/>
              </w:rPr>
              <w:t>失去了一個能快速隔絕氧 </w:t>
            </w:r>
            <w:r>
              <w:rPr>
                <w:spacing w:val="-2"/>
                <w:sz w:val="20"/>
              </w:rPr>
              <w:t>氣、有效撲滅油鍋火災的手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段。</w:t>
            </w:r>
          </w:p>
        </w:tc>
      </w:tr>
      <w:tr>
        <w:trPr>
          <w:trHeight w:val="691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消防排</w:t>
            </w:r>
          </w:p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煙系統</w:t>
            </w:r>
          </w:p>
        </w:tc>
        <w:tc>
          <w:tcPr>
            <w:tcW w:w="1186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部分失效</w:t>
            </w:r>
          </w:p>
        </w:tc>
        <w:tc>
          <w:tcPr>
            <w:tcW w:w="3022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樓偵煙探測器失效，且溫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差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動探測器因設計限制未啟動 。</w:t>
            </w:r>
          </w:p>
        </w:tc>
        <w:tc>
          <w:tcPr>
            <w:tcW w:w="2631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無法將致命的濃煙排出，導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致人員受困於毒氣中。</w:t>
            </w:r>
          </w:p>
        </w:tc>
      </w:tr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4"/>
              <w:ind w:left="108" w:right="194" w:hanging="1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跨樓層防火區劃</w:t>
            </w:r>
            <w:r>
              <w:rPr>
                <w:rFonts w:ascii="Segoe UI" w:eastAsia="Segoe UI"/>
                <w:sz w:val="20"/>
              </w:rPr>
              <w:t>/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sz w:val="20"/>
              </w:rPr>
              <w:t>閘門</w:t>
            </w:r>
          </w:p>
        </w:tc>
        <w:tc>
          <w:tcPr>
            <w:tcW w:w="1186" w:type="dxa"/>
          </w:tcPr>
          <w:p>
            <w:pPr>
              <w:pStyle w:val="TableParagraph"/>
              <w:spacing w:line="225" w:lineRule="auto" w:before="4"/>
              <w:ind w:left="108" w:right="18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失效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不存在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3022" w:type="dxa"/>
          </w:tcPr>
          <w:p>
            <w:pPr>
              <w:pStyle w:val="TableParagraph"/>
              <w:spacing w:line="225" w:lineRule="auto" w:before="4"/>
              <w:ind w:right="101"/>
              <w:rPr>
                <w:sz w:val="20"/>
              </w:rPr>
            </w:pPr>
            <w:r>
              <w:rPr>
                <w:sz w:val="20"/>
              </w:rPr>
              <w:t>樓梯、電梯井等管道間未設置有效的防火閘門以阻絕濃煙。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4"/>
              <w:ind w:right="110"/>
              <w:rPr>
                <w:sz w:val="20"/>
              </w:rPr>
            </w:pPr>
            <w:r>
              <w:rPr>
                <w:sz w:val="20"/>
              </w:rPr>
              <w:t>導致濃煙能透過煙囪效應， 毫無阻礙地快速竄升至樓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上。</w:t>
            </w:r>
          </w:p>
        </w:tc>
      </w:tr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spacing w:line="225" w:lineRule="auto" w:before="4"/>
              <w:ind w:right="132"/>
              <w:rPr>
                <w:sz w:val="20"/>
              </w:rPr>
            </w:pPr>
            <w:r>
              <w:rPr>
                <w:sz w:val="20"/>
              </w:rPr>
              <w:t>行政管理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程序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w w:val="100"/>
                <w:sz w:val="20"/>
              </w:rPr>
              <w:t>性</w:t>
            </w: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4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6. </w:t>
            </w:r>
            <w:r>
              <w:rPr>
                <w:sz w:val="20"/>
              </w:rPr>
              <w:t>設備維護保養程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序</w:t>
            </w:r>
          </w:p>
        </w:tc>
        <w:tc>
          <w:tcPr>
            <w:tcW w:w="1186" w:type="dxa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3022" w:type="dxa"/>
          </w:tcPr>
          <w:p>
            <w:pPr>
              <w:pStyle w:val="TableParagraph"/>
              <w:spacing w:line="225" w:lineRule="auto" w:before="4"/>
              <w:ind w:right="101"/>
              <w:rPr>
                <w:sz w:val="20"/>
              </w:rPr>
            </w:pPr>
            <w:r>
              <w:rPr>
                <w:sz w:val="20"/>
              </w:rPr>
              <w:t>電磁閥及滅火、偵煙系統皆失 </w:t>
            </w:r>
            <w:r>
              <w:rPr>
                <w:spacing w:val="-1"/>
                <w:sz w:val="20"/>
              </w:rPr>
              <w:t>效，顯示維保程序未落實或無效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4"/>
              <w:ind w:right="110"/>
              <w:rPr>
                <w:sz w:val="20"/>
              </w:rPr>
            </w:pPr>
            <w:r>
              <w:rPr>
                <w:sz w:val="20"/>
              </w:rPr>
              <w:t>多個關鍵設備同時失效，顯示系統性的維護管理問題。</w:t>
            </w:r>
          </w:p>
        </w:tc>
      </w:tr>
      <w:tr>
        <w:trPr>
          <w:trHeight w:val="1037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5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7. </w:t>
            </w:r>
            <w:r>
              <w:rPr>
                <w:sz w:val="20"/>
              </w:rPr>
              <w:t>緊急應變與疏散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演練</w:t>
            </w:r>
          </w:p>
        </w:tc>
        <w:tc>
          <w:tcPr>
            <w:tcW w:w="1186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3022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夜班人員未實施消防演練 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5"/>
              <w:ind w:right="110"/>
              <w:rPr>
                <w:sz w:val="20"/>
              </w:rPr>
            </w:pPr>
            <w:r>
              <w:rPr>
                <w:sz w:val="20"/>
              </w:rPr>
              <w:t>火災發生時，人員不知如何應變、何處疏散，導致逃生</w:t>
            </w:r>
          </w:p>
          <w:p>
            <w:pPr>
              <w:pStyle w:val="TableParagraph"/>
              <w:spacing w:line="321" w:lineRule="exact"/>
              <w:rPr>
                <w:sz w:val="20"/>
              </w:rPr>
            </w:pPr>
            <w:r>
              <w:rPr>
                <w:sz w:val="20"/>
              </w:rPr>
              <w:t>不及。</w:t>
            </w:r>
          </w:p>
        </w:tc>
      </w:tr>
      <w:tr>
        <w:trPr>
          <w:trHeight w:val="1038" w:hRule="atLeast"/>
        </w:trPr>
        <w:tc>
          <w:tcPr>
            <w:tcW w:w="93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25" w:lineRule="auto" w:before="5"/>
              <w:ind w:left="108" w:right="223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8. </w:t>
            </w:r>
            <w:r>
              <w:rPr>
                <w:sz w:val="20"/>
              </w:rPr>
              <w:t>現場人員應變操</w:t>
            </w:r>
          </w:p>
          <w:p>
            <w:pPr>
              <w:pStyle w:val="TableParagraph"/>
              <w:spacing w:line="322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作</w:t>
            </w:r>
          </w:p>
        </w:tc>
        <w:tc>
          <w:tcPr>
            <w:tcW w:w="1186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3022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無人手動啟動滅火系統 。</w:t>
            </w:r>
          </w:p>
        </w:tc>
        <w:tc>
          <w:tcPr>
            <w:tcW w:w="2631" w:type="dxa"/>
          </w:tcPr>
          <w:p>
            <w:pPr>
              <w:pStyle w:val="TableParagraph"/>
              <w:spacing w:line="225" w:lineRule="auto" w:before="5"/>
              <w:ind w:right="110"/>
              <w:rPr>
                <w:sz w:val="20"/>
              </w:rPr>
            </w:pPr>
            <w:r>
              <w:rPr>
                <w:sz w:val="20"/>
              </w:rPr>
              <w:t>顯示人員在緊急情況下的應變知識與能力均不足。</w:t>
            </w:r>
          </w:p>
        </w:tc>
      </w:tr>
    </w:tbl>
    <w:p>
      <w:pPr>
        <w:spacing w:line="240" w:lineRule="auto" w:before="8"/>
        <w:rPr>
          <w:sz w:val="18"/>
        </w:rPr>
      </w:pPr>
      <w:r>
        <w:rPr/>
        <w:pict>
          <v:line style="position:absolute;mso-position-horizontal-relative:page;mso-position-vertical-relative:paragraph;z-index:-904;mso-wrap-distance-left:0;mso-wrap-distance-right:0" from="88.5pt,19.32pt" to="540.12pt,19.32pt" stroked="true" strokeweight=".72pt" strokecolor="#000000">
            <v:stroke dashstyle="solid"/>
            <w10:wrap type="topAndBottom"/>
          </v:line>
        </w:pict>
      </w:r>
    </w:p>
    <w:p>
      <w:pPr>
        <w:spacing w:line="240" w:lineRule="auto" w:before="9"/>
        <w:rPr>
          <w:sz w:val="11"/>
        </w:rPr>
      </w:pPr>
    </w:p>
    <w:p>
      <w:pPr>
        <w:pStyle w:val="BodyText"/>
        <w:spacing w:line="428" w:lineRule="exact" w:before="39"/>
        <w:ind w:left="140" w:firstLine="0"/>
      </w:pPr>
      <w:r>
        <w:rPr/>
        <w:t>五</w:t>
      </w:r>
      <w:r>
        <w:rPr>
          <w:rFonts w:ascii="Calibri" w:eastAsia="Calibri"/>
        </w:rPr>
        <w:t>. </w:t>
      </w:r>
      <w:r>
        <w:rPr/>
        <w:t>變更分析</w:t>
      </w:r>
    </w:p>
    <w:p>
      <w:pPr>
        <w:spacing w:line="428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本分析比較「事故狀況」與「理想的無事故狀況」，以識別導致事故的關鍵差異。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028"/>
        <w:gridCol w:w="1632"/>
        <w:gridCol w:w="1926"/>
        <w:gridCol w:w="2376"/>
      </w:tblGrid>
      <w:tr>
        <w:trPr>
          <w:trHeight w:val="1037" w:hRule="atLeast"/>
        </w:trPr>
        <w:tc>
          <w:tcPr>
            <w:tcW w:w="1001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2028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/>
              <w:ind w:right="112"/>
              <w:rPr>
                <w:sz w:val="20"/>
              </w:rPr>
            </w:pPr>
            <w:r>
              <w:rPr>
                <w:sz w:val="20"/>
              </w:rPr>
              <w:t>先前、理想或未發生事故狀況</w:t>
            </w:r>
          </w:p>
          <w:p>
            <w:pPr>
              <w:pStyle w:val="TableParagraph"/>
              <w:spacing w:line="334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26" w:type="dxa"/>
          </w:tcPr>
          <w:p>
            <w:pPr>
              <w:pStyle w:val="TableParagraph"/>
              <w:spacing w:line="344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/>
              <w:ind w:left="106" w:right="9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001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什麼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/>
              <w:ind w:left="106" w:right="108"/>
              <w:jc w:val="both"/>
              <w:rPr>
                <w:sz w:val="20"/>
              </w:rPr>
            </w:pPr>
            <w:r>
              <w:rPr>
                <w:sz w:val="20"/>
              </w:rPr>
              <w:t>一個因設備故障引發的火災，最終失控並導致多人死亡。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設備正常運作， 或故障時能被安全控制，無事故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發生。</w:t>
            </w:r>
          </w:p>
        </w:tc>
        <w:tc>
          <w:tcPr>
            <w:tcW w:w="1926" w:type="dxa"/>
          </w:tcPr>
          <w:p>
            <w:pPr>
              <w:pStyle w:val="TableParagraph"/>
              <w:spacing w:line="225" w:lineRule="auto"/>
              <w:ind w:right="205"/>
              <w:jc w:val="both"/>
              <w:rPr>
                <w:sz w:val="20"/>
              </w:rPr>
            </w:pPr>
            <w:r>
              <w:rPr>
                <w:sz w:val="20"/>
              </w:rPr>
              <w:t>系統狀態由「安全可控」變為「失效失控」。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/>
              <w:ind w:left="106" w:right="255"/>
              <w:rPr>
                <w:sz w:val="20"/>
              </w:rPr>
            </w:pPr>
            <w:r>
              <w:rPr>
                <w:sz w:val="20"/>
              </w:rPr>
              <w:t>造成了無法挽回的生命與財產損失。</w:t>
            </w:r>
          </w:p>
        </w:tc>
      </w:tr>
      <w:tr>
        <w:trPr>
          <w:trHeight w:val="1384" w:hRule="atLeast"/>
        </w:trPr>
        <w:tc>
          <w:tcPr>
            <w:tcW w:w="1001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WHEN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何時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/>
              <w:ind w:left="106" w:right="108"/>
              <w:rPr>
                <w:sz w:val="20"/>
              </w:rPr>
            </w:pPr>
            <w:r>
              <w:rPr>
                <w:sz w:val="20"/>
              </w:rPr>
              <w:t>夜班轉日班的清晨時段 </w:t>
            </w:r>
            <w:r>
              <w:rPr>
                <w:rFonts w:ascii="Segoe UI" w:eastAsia="Segoe UI"/>
                <w:sz w:val="20"/>
              </w:rPr>
              <w:t>(06:37) </w:t>
            </w:r>
            <w:r>
              <w:rPr>
                <w:sz w:val="20"/>
              </w:rPr>
              <w:t>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/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/>
              <w:ind w:left="106" w:right="256"/>
              <w:jc w:val="both"/>
              <w:rPr>
                <w:sz w:val="20"/>
              </w:rPr>
            </w:pPr>
            <w:r>
              <w:rPr>
                <w:sz w:val="20"/>
              </w:rPr>
              <w:t>此時段可能監督管理較鬆散，且是人員交接或疲勞的時刻，增加了應</w:t>
            </w:r>
          </w:p>
          <w:p>
            <w:pPr>
              <w:pStyle w:val="TableParagraph"/>
              <w:spacing w:line="334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變的困難度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</w:tr>
    </w:tbl>
    <w:p>
      <w:pPr>
        <w:spacing w:after="0" w:line="334" w:lineRule="exact"/>
        <w:jc w:val="both"/>
        <w:rPr>
          <w:sz w:val="20"/>
        </w:rPr>
        <w:sectPr>
          <w:pgSz w:w="11910" w:h="16840"/>
          <w:pgMar w:top="1420" w:bottom="280" w:left="1660" w:right="102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028"/>
        <w:gridCol w:w="1632"/>
        <w:gridCol w:w="1926"/>
        <w:gridCol w:w="2376"/>
      </w:tblGrid>
      <w:tr>
        <w:trPr>
          <w:trHeight w:val="1383" w:hRule="atLeast"/>
        </w:trPr>
        <w:tc>
          <w:tcPr>
            <w:tcW w:w="1001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WHERE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何地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 w:before="4"/>
              <w:ind w:left="106" w:right="64" w:hanging="1"/>
              <w:rPr>
                <w:sz w:val="20"/>
              </w:rPr>
            </w:pPr>
            <w:r>
              <w:rPr>
                <w:sz w:val="20"/>
              </w:rPr>
              <w:t>火災由 </w:t>
            </w:r>
            <w:r>
              <w:rPr>
                <w:rFonts w:ascii="Segoe UI" w:eastAsia="Segoe UI"/>
                <w:sz w:val="20"/>
              </w:rPr>
              <w:t>2 </w:t>
            </w:r>
            <w:r>
              <w:rPr>
                <w:sz w:val="20"/>
              </w:rPr>
              <w:t>樓廚房發生，但致命濃煙擴散至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樓。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 w:before="4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火災被控制在源頭，或消防區劃能有效阻擋濃煙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擴散。</w:t>
            </w:r>
          </w:p>
        </w:tc>
        <w:tc>
          <w:tcPr>
            <w:tcW w:w="1926" w:type="dxa"/>
          </w:tcPr>
          <w:p>
            <w:pPr>
              <w:pStyle w:val="TableParagraph"/>
              <w:spacing w:line="225" w:lineRule="auto" w:before="4"/>
              <w:ind w:right="205"/>
              <w:rPr>
                <w:sz w:val="20"/>
              </w:rPr>
            </w:pPr>
            <w:r>
              <w:rPr>
                <w:sz w:val="20"/>
              </w:rPr>
              <w:t>危害範圍由「局 </w:t>
            </w:r>
            <w:r>
              <w:rPr>
                <w:spacing w:val="-2"/>
                <w:sz w:val="20"/>
              </w:rPr>
              <w:t>部」變為「跨樓層</w:t>
            </w:r>
            <w:r>
              <w:rPr>
                <w:sz w:val="20"/>
              </w:rPr>
              <w:t>蔓延」。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 w:before="4"/>
              <w:ind w:left="106" w:right="255"/>
              <w:rPr>
                <w:sz w:val="20"/>
              </w:rPr>
            </w:pPr>
            <w:r>
              <w:rPr>
                <w:spacing w:val="-2"/>
                <w:sz w:val="20"/>
              </w:rPr>
              <w:t>大幅增加了人員受危害</w:t>
            </w:r>
            <w:r>
              <w:rPr>
                <w:sz w:val="20"/>
              </w:rPr>
              <w:t>的範圍與疏散的複雜 性。</w:t>
            </w:r>
          </w:p>
        </w:tc>
      </w:tr>
      <w:tr>
        <w:trPr>
          <w:trHeight w:val="1384" w:hRule="atLeast"/>
        </w:trPr>
        <w:tc>
          <w:tcPr>
            <w:tcW w:w="1001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何人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 w:before="5"/>
              <w:ind w:left="106" w:right="108"/>
              <w:rPr>
                <w:sz w:val="20"/>
              </w:rPr>
            </w:pPr>
            <w:r>
              <w:rPr>
                <w:sz w:val="20"/>
              </w:rPr>
              <w:t>未經消防演練的夜班人員。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 w:before="5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接受過完整且定期消防疏散演練的所有班別人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員。</w:t>
            </w:r>
          </w:p>
        </w:tc>
        <w:tc>
          <w:tcPr>
            <w:tcW w:w="1926" w:type="dxa"/>
          </w:tcPr>
          <w:p>
            <w:pPr>
              <w:pStyle w:val="TableParagraph"/>
              <w:spacing w:line="225" w:lineRule="auto" w:before="5"/>
              <w:ind w:right="205"/>
              <w:rPr>
                <w:sz w:val="20"/>
              </w:rPr>
            </w:pPr>
            <w:r>
              <w:rPr>
                <w:sz w:val="20"/>
              </w:rPr>
              <w:t>人員的「應變能 </w:t>
            </w:r>
            <w:r>
              <w:rPr>
                <w:spacing w:val="-2"/>
                <w:sz w:val="20"/>
              </w:rPr>
              <w:t>力」由具備變為不</w:t>
            </w:r>
            <w:r>
              <w:rPr>
                <w:sz w:val="20"/>
              </w:rPr>
              <w:t>足。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 w:before="6"/>
              <w:ind w:left="106" w:right="255"/>
              <w:jc w:val="both"/>
              <w:rPr>
                <w:sz w:val="20"/>
              </w:rPr>
            </w:pPr>
            <w:r>
              <w:rPr>
                <w:sz w:val="20"/>
              </w:rPr>
              <w:t>這是導致人員無法成功疏散、造成大量傷亡的直接原因。</w:t>
            </w:r>
          </w:p>
        </w:tc>
      </w:tr>
      <w:tr>
        <w:trPr>
          <w:trHeight w:val="1383" w:hRule="atLeast"/>
        </w:trPr>
        <w:tc>
          <w:tcPr>
            <w:tcW w:w="1001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pacing w:val="-1"/>
                <w:sz w:val="20"/>
              </w:rPr>
              <w:t>(</w:t>
            </w:r>
            <w:r>
              <w:rPr>
                <w:sz w:val="20"/>
              </w:rPr>
              <w:t>如何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 w:before="4"/>
              <w:ind w:left="106" w:right="108"/>
              <w:jc w:val="both"/>
              <w:rPr>
                <w:sz w:val="20"/>
              </w:rPr>
            </w:pPr>
            <w:r>
              <w:rPr>
                <w:sz w:val="20"/>
              </w:rPr>
              <w:t>多個安全系統（電磁閥、滅火系統、排煙系統）接連失效。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 w:before="4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各項安全系統皆能正常發揮其預設功能。</w:t>
            </w:r>
          </w:p>
        </w:tc>
        <w:tc>
          <w:tcPr>
            <w:tcW w:w="1926" w:type="dxa"/>
          </w:tcPr>
          <w:p>
            <w:pPr>
              <w:pStyle w:val="TableParagraph"/>
              <w:spacing w:line="225" w:lineRule="auto" w:before="4"/>
              <w:ind w:right="205"/>
              <w:rPr>
                <w:sz w:val="20"/>
              </w:rPr>
            </w:pPr>
            <w:r>
              <w:rPr>
                <w:sz w:val="20"/>
              </w:rPr>
              <w:t>安全屏障由「有 </w:t>
            </w:r>
            <w:r>
              <w:rPr>
                <w:spacing w:val="-2"/>
                <w:sz w:val="20"/>
              </w:rPr>
              <w:t>效」變為「多重失</w:t>
            </w:r>
            <w:r>
              <w:rPr>
                <w:sz w:val="20"/>
              </w:rPr>
              <w:t>效」。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 w:before="5"/>
              <w:ind w:left="106" w:right="255"/>
              <w:jc w:val="both"/>
              <w:rPr>
                <w:sz w:val="20"/>
              </w:rPr>
            </w:pPr>
            <w:r>
              <w:rPr>
                <w:sz w:val="20"/>
              </w:rPr>
              <w:t>瑞士乳酪模型的典型案例，多層防護的漏洞同時被突破，導致災難發</w:t>
            </w:r>
          </w:p>
          <w:p>
            <w:pPr>
              <w:pStyle w:val="TableParagraph"/>
              <w:spacing w:line="321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生。</w:t>
            </w:r>
          </w:p>
        </w:tc>
      </w:tr>
      <w:tr>
        <w:trPr>
          <w:trHeight w:val="1384" w:hRule="atLeast"/>
        </w:trPr>
        <w:tc>
          <w:tcPr>
            <w:tcW w:w="1001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OTHER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其他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028" w:type="dxa"/>
          </w:tcPr>
          <w:p>
            <w:pPr>
              <w:pStyle w:val="TableParagraph"/>
              <w:spacing w:line="225" w:lineRule="auto" w:before="4"/>
              <w:ind w:left="106" w:right="108"/>
              <w:rPr>
                <w:sz w:val="20"/>
              </w:rPr>
            </w:pPr>
            <w:r>
              <w:rPr>
                <w:sz w:val="20"/>
              </w:rPr>
              <w:t>缺乏有效的維護保養與演練管理制度。</w:t>
            </w:r>
          </w:p>
        </w:tc>
        <w:tc>
          <w:tcPr>
            <w:tcW w:w="1632" w:type="dxa"/>
          </w:tcPr>
          <w:p>
            <w:pPr>
              <w:pStyle w:val="TableParagraph"/>
              <w:spacing w:line="225" w:lineRule="auto" w:before="4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有一套完整、被確實執行的維護保養與應變演練</w:t>
            </w:r>
          </w:p>
          <w:p>
            <w:pPr>
              <w:pStyle w:val="TableParagraph"/>
              <w:spacing w:line="323" w:lineRule="exact"/>
              <w:jc w:val="both"/>
              <w:rPr>
                <w:sz w:val="20"/>
              </w:rPr>
            </w:pPr>
            <w:r>
              <w:rPr>
                <w:sz w:val="20"/>
              </w:rPr>
              <w:t>計畫。</w:t>
            </w:r>
          </w:p>
        </w:tc>
        <w:tc>
          <w:tcPr>
            <w:tcW w:w="1926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安全管理制度由</w:t>
            </w:r>
          </w:p>
          <w:p>
            <w:pPr>
              <w:pStyle w:val="TableParagraph"/>
              <w:spacing w:line="225" w:lineRule="auto" w:before="5"/>
              <w:ind w:right="205"/>
              <w:rPr>
                <w:sz w:val="20"/>
              </w:rPr>
            </w:pPr>
            <w:r>
              <w:rPr>
                <w:sz w:val="20"/>
              </w:rPr>
              <w:t>「存在且有效」變為「形式化或完全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缺失」。</w:t>
            </w:r>
          </w:p>
        </w:tc>
        <w:tc>
          <w:tcPr>
            <w:tcW w:w="2376" w:type="dxa"/>
          </w:tcPr>
          <w:p>
            <w:pPr>
              <w:pStyle w:val="TableParagraph"/>
              <w:spacing w:line="225" w:lineRule="auto" w:before="4"/>
              <w:ind w:left="106" w:right="256"/>
              <w:jc w:val="both"/>
              <w:rPr>
                <w:sz w:val="20"/>
              </w:rPr>
            </w:pPr>
            <w:r>
              <w:rPr>
                <w:sz w:val="20"/>
              </w:rPr>
              <w:t>這是所有設備失效與人員應變能力不足背後的根本原因。</w:t>
            </w:r>
          </w:p>
        </w:tc>
      </w:tr>
    </w:tbl>
    <w:p>
      <w:pPr>
        <w:spacing w:line="240" w:lineRule="auto" w:before="8"/>
        <w:rPr>
          <w:sz w:val="18"/>
        </w:rPr>
      </w:pPr>
      <w:r>
        <w:rPr/>
        <w:pict>
          <v:line style="position:absolute;mso-position-horizontal-relative:page;mso-position-vertical-relative:paragraph;z-index:-880;mso-wrap-distance-left:0;mso-wrap-distance-right:0" from="88.5pt,19.32pt" to="540.12pt,19.32pt" stroked="true" strokeweight=".72pt" strokecolor="#000000">
            <v:stroke dashstyle="solid"/>
            <w10:wrap type="topAndBottom"/>
          </v:line>
        </w:pict>
      </w:r>
    </w:p>
    <w:p>
      <w:pPr>
        <w:spacing w:line="240" w:lineRule="auto" w:before="3"/>
        <w:rPr>
          <w:sz w:val="15"/>
        </w:rPr>
      </w:pPr>
    </w:p>
    <w:p>
      <w:pPr>
        <w:pStyle w:val="BodyText"/>
        <w:spacing w:line="428" w:lineRule="exact" w:before="39"/>
        <w:ind w:left="140" w:firstLine="0"/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</w:t>
      </w:r>
    </w:p>
    <w:p>
      <w:pPr>
        <w:spacing w:line="428" w:lineRule="exact" w:before="0"/>
        <w:ind w:left="140" w:right="0" w:firstLine="0"/>
        <w:jc w:val="left"/>
        <w:rPr>
          <w:sz w:val="24"/>
        </w:rPr>
      </w:pPr>
      <w:r>
        <w:rPr>
          <w:sz w:val="24"/>
        </w:rPr>
        <w:t>本分析探討影響人員行為的深層次原因，而非僅歸咎於個人。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3512"/>
        <w:gridCol w:w="3624"/>
      </w:tblGrid>
      <w:tr>
        <w:trPr>
          <w:trHeight w:val="345" w:hRule="atLeast"/>
        </w:trPr>
        <w:tc>
          <w:tcPr>
            <w:tcW w:w="182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512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3624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根本原因（組織與系統層面）</w:t>
            </w:r>
          </w:p>
        </w:tc>
      </w:tr>
      <w:tr>
        <w:trPr>
          <w:trHeight w:val="3459" w:hRule="atLeast"/>
        </w:trPr>
        <w:tc>
          <w:tcPr>
            <w:tcW w:w="1826" w:type="dxa"/>
          </w:tcPr>
          <w:p>
            <w:pPr>
              <w:pStyle w:val="TableParagraph"/>
              <w:spacing w:line="228" w:lineRule="auto"/>
              <w:ind w:right="604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規則性錯誤或 違規行為</w:t>
            </w:r>
            <w:r>
              <w:rPr>
                <w:rFonts w:ascii="Segoe UI" w:eastAsia="Segoe UI"/>
                <w:sz w:val="20"/>
              </w:rPr>
              <w:t>(Omission)</w:t>
            </w:r>
          </w:p>
        </w:tc>
        <w:tc>
          <w:tcPr>
            <w:tcW w:w="351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1" w:val="left" w:leader="none"/>
              </w:tabs>
              <w:spacing w:line="334" w:lineRule="exact" w:before="0" w:after="0"/>
              <w:ind w:left="360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未確實執行設備的定期維護保養。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1" w:val="left" w:leader="none"/>
              </w:tabs>
              <w:spacing w:line="225" w:lineRule="auto" w:before="5" w:after="0"/>
              <w:ind w:left="108" w:right="338" w:firstLine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未對夜班人員實施必要的消防演</w:t>
            </w:r>
            <w:r>
              <w:rPr>
                <w:sz w:val="20"/>
              </w:rPr>
              <w:t>練。</w:t>
            </w:r>
          </w:p>
        </w:tc>
        <w:tc>
          <w:tcPr>
            <w:tcW w:w="3624" w:type="dxa"/>
          </w:tcPr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安全管理制度：</w:t>
            </w:r>
          </w:p>
          <w:p>
            <w:pPr>
              <w:pStyle w:val="TableParagraph"/>
              <w:spacing w:line="225" w:lineRule="auto" w:before="5"/>
              <w:ind w:left="108" w:right="301"/>
              <w:rPr>
                <w:sz w:val="20"/>
              </w:rPr>
            </w:pPr>
            <w:r>
              <w:rPr>
                <w:sz w:val="20"/>
              </w:rPr>
              <w:t>維護保養計畫不完善，或僅為紙上作業。</w:t>
            </w:r>
          </w:p>
          <w:p>
            <w:pPr>
              <w:pStyle w:val="TableParagraph"/>
              <w:spacing w:line="225" w:lineRule="auto"/>
              <w:ind w:left="108" w:right="102"/>
              <w:rPr>
                <w:sz w:val="20"/>
              </w:rPr>
            </w:pPr>
            <w:r>
              <w:rPr>
                <w:sz w:val="20"/>
              </w:rPr>
              <w:t>安全訓練計畫未涵蓋所有班別的員工， 存在管理上的歧視與疏漏。</w:t>
            </w:r>
          </w:p>
          <w:p>
            <w:pPr>
              <w:pStyle w:val="TableParagraph"/>
              <w:spacing w:line="342" w:lineRule="exact"/>
              <w:ind w:left="108"/>
              <w:rPr>
                <w:sz w:val="20"/>
              </w:rPr>
            </w:pPr>
            <w:r>
              <w:rPr>
                <w:sz w:val="20"/>
              </w:rPr>
              <w:t>監督與資源：</w:t>
            </w:r>
          </w:p>
          <w:p>
            <w:pPr>
              <w:pStyle w:val="TableParagraph"/>
              <w:spacing w:line="225" w:lineRule="auto" w:before="4"/>
              <w:ind w:left="108" w:right="102"/>
              <w:rPr>
                <w:sz w:val="20"/>
              </w:rPr>
            </w:pPr>
            <w:r>
              <w:rPr>
                <w:sz w:val="20"/>
              </w:rPr>
              <w:t>管理階層未投入足夠資源與時間進行全面的維護與演練。</w:t>
            </w:r>
          </w:p>
          <w:p>
            <w:pPr>
              <w:pStyle w:val="TableParagraph"/>
              <w:spacing w:line="342" w:lineRule="exact"/>
              <w:ind w:left="108"/>
              <w:rPr>
                <w:sz w:val="20"/>
              </w:rPr>
            </w:pPr>
            <w:r>
              <w:rPr>
                <w:sz w:val="20"/>
              </w:rPr>
              <w:t>監督機制未能確保所有安全規定被平</w:t>
            </w:r>
          </w:p>
          <w:p>
            <w:pPr>
              <w:pStyle w:val="TableParagraph"/>
              <w:spacing w:line="338" w:lineRule="exact"/>
              <w:ind w:left="108"/>
              <w:rPr>
                <w:sz w:val="20"/>
              </w:rPr>
            </w:pPr>
            <w:r>
              <w:rPr>
                <w:sz w:val="20"/>
              </w:rPr>
              <w:t>等、確實地執行。</w:t>
            </w:r>
          </w:p>
        </w:tc>
      </w:tr>
      <w:tr>
        <w:trPr>
          <w:trHeight w:val="1730" w:hRule="atLeast"/>
        </w:trPr>
        <w:tc>
          <w:tcPr>
            <w:tcW w:w="1826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3512" w:type="dxa"/>
          </w:tcPr>
          <w:p>
            <w:pPr>
              <w:pStyle w:val="TableParagraph"/>
              <w:spacing w:line="225" w:lineRule="auto"/>
              <w:ind w:left="108" w:right="190"/>
              <w:rPr>
                <w:sz w:val="20"/>
              </w:rPr>
            </w:pPr>
            <w:r>
              <w:rPr>
                <w:sz w:val="20"/>
              </w:rPr>
              <w:t>火災發生初期，現場人員未使用或不知如何使用手動滅火裝置。</w:t>
            </w:r>
          </w:p>
        </w:tc>
        <w:tc>
          <w:tcPr>
            <w:tcW w:w="3624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訓練與文化：</w:t>
            </w:r>
          </w:p>
          <w:p>
            <w:pPr>
              <w:pStyle w:val="TableParagraph"/>
              <w:spacing w:line="225" w:lineRule="auto" w:before="5"/>
              <w:ind w:left="108" w:right="102"/>
              <w:rPr>
                <w:sz w:val="20"/>
              </w:rPr>
            </w:pPr>
            <w:r>
              <w:rPr>
                <w:sz w:val="20"/>
              </w:rPr>
              <w:t>緊急應變訓練不足，人員不熟悉設備操作。</w:t>
            </w:r>
          </w:p>
          <w:p>
            <w:pPr>
              <w:pStyle w:val="TableParagraph"/>
              <w:spacing w:line="341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缺乏應變能力，可能因恐慌而無法做出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正確判斷。</w:t>
            </w:r>
          </w:p>
        </w:tc>
      </w:tr>
    </w:tbl>
    <w:p>
      <w:pPr>
        <w:spacing w:line="240" w:lineRule="auto" w:before="2"/>
        <w:rPr>
          <w:sz w:val="14"/>
        </w:rPr>
      </w:pPr>
      <w:r>
        <w:rPr/>
        <w:pict>
          <v:line style="position:absolute;mso-position-horizontal-relative:page;mso-position-vertical-relative:paragraph;z-index:-856;mso-wrap-distance-left:0;mso-wrap-distance-right:0" from="88.5pt,15.33208pt" to="540.12pt,15.33208pt" stroked="true" strokeweight=".72pt" strokecolor="#000000">
            <v:stroke dashstyle="solid"/>
            <w10:wrap type="topAndBottom"/>
          </v:line>
        </w:pict>
      </w:r>
    </w:p>
    <w:p>
      <w:pPr>
        <w:spacing w:after="0" w:line="240" w:lineRule="auto"/>
        <w:rPr>
          <w:sz w:val="14"/>
        </w:rPr>
        <w:sectPr>
          <w:pgSz w:w="11910" w:h="16840"/>
          <w:pgMar w:top="1420" w:bottom="280" w:left="1660" w:right="1020"/>
        </w:sectPr>
      </w:pPr>
    </w:p>
    <w:p>
      <w:pPr>
        <w:pStyle w:val="BodyText"/>
        <w:spacing w:line="428" w:lineRule="exact" w:before="28"/>
        <w:ind w:left="140" w:firstLine="0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根本原因分析與改善措施</w:t>
      </w:r>
    </w:p>
    <w:p>
      <w:pPr>
        <w:pStyle w:val="BodyText"/>
        <w:spacing w:line="415" w:lineRule="exact"/>
        <w:ind w:left="140" w:firstLine="0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ListParagraph"/>
        <w:numPr>
          <w:ilvl w:val="1"/>
          <w:numId w:val="5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不安全的狀況：</w:t>
      </w: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415" w:lineRule="exact" w:before="0" w:after="0"/>
        <w:ind w:left="1580" w:right="0" w:hanging="360"/>
        <w:jc w:val="left"/>
        <w:rPr>
          <w:b/>
          <w:sz w:val="24"/>
        </w:rPr>
      </w:pPr>
      <w:r>
        <w:rPr>
          <w:b/>
          <w:sz w:val="24"/>
        </w:rPr>
        <w:t>油炸機電磁閥故障，導致瓦斯持續洩漏加熱 。</w:t>
      </w: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415" w:lineRule="exact" w:before="0" w:after="0"/>
        <w:ind w:left="1580" w:right="0" w:hanging="360"/>
        <w:jc w:val="left"/>
        <w:rPr>
          <w:b/>
          <w:sz w:val="24"/>
        </w:rPr>
      </w:pPr>
      <w:r>
        <w:rPr>
          <w:b/>
          <w:sz w:val="24"/>
        </w:rPr>
        <w:t>廚房滅火系統、偵煙探測器等多個消防安全設備失效 。</w:t>
      </w: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415" w:lineRule="exact" w:before="0" w:after="0"/>
        <w:ind w:left="1580" w:right="0" w:hanging="360"/>
        <w:jc w:val="left"/>
        <w:rPr>
          <w:b/>
          <w:sz w:val="24"/>
        </w:rPr>
      </w:pPr>
      <w:r>
        <w:rPr>
          <w:b/>
          <w:sz w:val="24"/>
        </w:rPr>
        <w:t>建築物管道間的煙囪效應，導致濃煙快速向上流竄 。</w:t>
      </w:r>
    </w:p>
    <w:p>
      <w:pPr>
        <w:pStyle w:val="ListParagraph"/>
        <w:numPr>
          <w:ilvl w:val="1"/>
          <w:numId w:val="5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不安全的行為</w:t>
      </w:r>
      <w:r>
        <w:rPr>
          <w:rFonts w:ascii="Calibri" w:hAnsi="Calibri" w:eastAsia="Calibri"/>
          <w:b/>
          <w:sz w:val="24"/>
        </w:rPr>
        <w:t>(</w:t>
      </w:r>
      <w:r>
        <w:rPr>
          <w:b/>
          <w:sz w:val="24"/>
        </w:rPr>
        <w:t>失誤</w:t>
      </w:r>
      <w:r>
        <w:rPr>
          <w:rFonts w:ascii="Calibri" w:hAns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25" w:lineRule="auto" w:before="6" w:after="0"/>
        <w:ind w:left="1580" w:right="204" w:hanging="360"/>
        <w:jc w:val="left"/>
        <w:rPr>
          <w:b/>
          <w:sz w:val="24"/>
        </w:rPr>
      </w:pPr>
      <w:r>
        <w:rPr>
          <w:b/>
          <w:sz w:val="24"/>
        </w:rPr>
        <w:t>現場人員在火災初期未能採取有效滅火措施（</w:t>
      </w:r>
      <w:r>
        <w:rPr>
          <w:b/>
          <w:spacing w:val="-2"/>
          <w:sz w:val="24"/>
        </w:rPr>
        <w:t>如手動啟動系統、使用蓋</w:t>
      </w:r>
      <w:r>
        <w:rPr>
          <w:b/>
          <w:sz w:val="24"/>
        </w:rPr>
        <w:t>板 ） 。</w:t>
      </w: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410" w:lineRule="exact" w:before="0" w:after="0"/>
        <w:ind w:left="1580" w:right="0" w:hanging="360"/>
        <w:jc w:val="left"/>
        <w:rPr>
          <w:b/>
          <w:sz w:val="24"/>
        </w:rPr>
      </w:pPr>
      <w:r>
        <w:rPr>
          <w:b/>
          <w:sz w:val="24"/>
        </w:rPr>
        <w:t>管理階層未對夜班人員實施消防疏散演練 。</w:t>
      </w:r>
    </w:p>
    <w:p>
      <w:pPr>
        <w:pStyle w:val="BodyText"/>
        <w:spacing w:line="415" w:lineRule="exact"/>
        <w:ind w:left="140" w:firstLine="0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</w:tabs>
        <w:spacing w:line="415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安全管理制度的系統性崩壞：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415" w:lineRule="exact" w:before="0" w:after="0"/>
        <w:ind w:left="1580" w:right="0" w:hanging="360"/>
        <w:jc w:val="left"/>
        <w:rPr>
          <w:b/>
          <w:sz w:val="24"/>
        </w:rPr>
      </w:pPr>
      <w:r>
        <w:rPr>
          <w:b/>
          <w:sz w:val="24"/>
        </w:rPr>
        <w:t>維護保養計畫失效： 從生產設備（電磁閥）到消防系統（滅火、偵</w:t>
      </w:r>
    </w:p>
    <w:p>
      <w:pPr>
        <w:pStyle w:val="BodyText"/>
        <w:spacing w:line="225" w:lineRule="auto" w:before="6"/>
        <w:ind w:right="204" w:firstLine="0"/>
      </w:pPr>
      <w:r>
        <w:rPr/>
        <w:t>煙）的多重故障，顯示公司的維護保養制度僅是形式，或根本未被確實執行。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225" w:lineRule="auto" w:before="0" w:after="0"/>
        <w:ind w:left="1580" w:right="204" w:hanging="360"/>
        <w:jc w:val="left"/>
        <w:rPr>
          <w:b/>
          <w:sz w:val="24"/>
        </w:rPr>
      </w:pPr>
      <w:r>
        <w:rPr>
          <w:b/>
          <w:sz w:val="24"/>
        </w:rPr>
        <w:t>訓練與演練制度存在重大缺陷： 僅對部分人員（如白班）進行演練， </w:t>
      </w:r>
      <w:r>
        <w:rPr>
          <w:b/>
          <w:spacing w:val="-1"/>
          <w:sz w:val="24"/>
        </w:rPr>
        <w:t>完全忽視夜班或輪班人員的應變能力培養，是管理上的重大疏失，直接</w:t>
      </w:r>
      <w:r>
        <w:rPr>
          <w:b/>
          <w:sz w:val="24"/>
        </w:rPr>
        <w:t>導致疏散失敗。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</w:tabs>
        <w:spacing w:line="410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工程設計與風險評估不足：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225" w:lineRule="auto" w:before="6" w:after="0"/>
        <w:ind w:left="1580" w:right="143" w:hanging="360"/>
        <w:jc w:val="left"/>
        <w:rPr>
          <w:b/>
          <w:sz w:val="24"/>
        </w:rPr>
      </w:pPr>
      <w:r>
        <w:rPr>
          <w:b/>
          <w:sz w:val="24"/>
        </w:rPr>
        <w:t>消防系統設計不當： </w:t>
      </w:r>
      <w:r>
        <w:rPr>
          <w:rFonts w:ascii="Calibri" w:hAnsi="Calibri" w:eastAsia="Calibri"/>
          <w:b/>
          <w:sz w:val="24"/>
        </w:rPr>
        <w:t>4</w:t>
      </w:r>
      <w:r>
        <w:rPr>
          <w:rFonts w:ascii="Calibri" w:hAnsi="Calibri" w:eastAsia="Calibri"/>
          <w:b/>
          <w:spacing w:val="5"/>
          <w:sz w:val="24"/>
        </w:rPr>
        <w:t> </w:t>
      </w:r>
      <w:r>
        <w:rPr>
          <w:b/>
          <w:spacing w:val="-1"/>
          <w:sz w:val="24"/>
        </w:rPr>
        <w:t>樓的排煙系統設計未充分考慮濃煙從其他樓層竄</w:t>
      </w:r>
      <w:r>
        <w:rPr>
          <w:b/>
          <w:sz w:val="24"/>
        </w:rPr>
        <w:t>入的可能性，導致偵測邏輯無法應對真實的災害情境。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225" w:lineRule="auto" w:before="1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建築防火安全缺失： 未能有效阻絕或區劃樓層間的垂直管道，讓煙囪</w:t>
      </w:r>
      <w:r>
        <w:rPr>
          <w:b/>
          <w:sz w:val="24"/>
        </w:rPr>
        <w:t>效應的風險未被控制，是災情迅速擴大的關鍵。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</w:tabs>
        <w:spacing w:line="409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管理階層的安全承諾不足與文化薄弱：</w:t>
      </w:r>
    </w:p>
    <w:p>
      <w:pPr>
        <w:pStyle w:val="ListParagraph"/>
        <w:numPr>
          <w:ilvl w:val="1"/>
          <w:numId w:val="7"/>
        </w:numPr>
        <w:tabs>
          <w:tab w:pos="1579" w:val="left" w:leader="none"/>
          <w:tab w:pos="1580" w:val="left" w:leader="none"/>
        </w:tabs>
        <w:spacing w:line="225" w:lineRule="auto" w:before="5" w:after="0"/>
        <w:ind w:left="1580" w:right="20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對於消防設備的維護、全員工的防災演練等需要持續投入資源的項目顯</w:t>
      </w:r>
      <w:r>
        <w:rPr>
          <w:b/>
          <w:sz w:val="24"/>
        </w:rPr>
        <w:t>然不夠重視，顯示安全在組織文化中並非優先事項。</w:t>
      </w:r>
    </w:p>
    <w:p>
      <w:pPr>
        <w:pStyle w:val="BodyText"/>
        <w:spacing w:line="410" w:lineRule="exact"/>
        <w:ind w:left="140" w:firstLine="0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1"/>
          <w:numId w:val="5"/>
        </w:numPr>
        <w:tabs>
          <w:tab w:pos="859" w:val="left" w:leader="none"/>
          <w:tab w:pos="860" w:val="left" w:leader="none"/>
        </w:tabs>
        <w:spacing w:line="415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制度層面：</w:t>
      </w: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25" w:lineRule="auto" w:before="6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全面檢討並落實維護保養制度： 針對所有生產及消防安全設備，建立</w:t>
      </w:r>
      <w:r>
        <w:rPr>
          <w:b/>
          <w:sz w:val="24"/>
        </w:rPr>
        <w:t>預知保養計畫，並由第三方專業機構定期稽核其有效性。</w:t>
      </w: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25" w:lineRule="auto" w:before="1" w:after="0"/>
        <w:ind w:left="1580" w:right="119" w:hanging="360"/>
        <w:jc w:val="left"/>
        <w:rPr>
          <w:b/>
          <w:sz w:val="24"/>
        </w:rPr>
      </w:pPr>
      <w:r>
        <w:rPr>
          <w:b/>
          <w:sz w:val="24"/>
        </w:rPr>
        <w:t>強制執行全員消防演練： 規定所有班別（日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夜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輪班）</w:t>
      </w:r>
      <w:r>
        <w:rPr>
          <w:b/>
          <w:spacing w:val="-3"/>
          <w:sz w:val="24"/>
        </w:rPr>
        <w:t>的員工，每半年</w:t>
      </w:r>
      <w:r>
        <w:rPr>
          <w:b/>
          <w:sz w:val="24"/>
        </w:rPr>
        <w:t>至少必須參加一次完整的消防通報、初期滅火及疏散演練，並留下紀</w:t>
      </w:r>
    </w:p>
    <w:p>
      <w:pPr>
        <w:pStyle w:val="BodyText"/>
        <w:spacing w:line="423" w:lineRule="exact"/>
        <w:ind w:firstLine="0"/>
      </w:pPr>
      <w:r>
        <w:rPr/>
        <w:t>錄。</w:t>
      </w:r>
    </w:p>
    <w:p>
      <w:pPr>
        <w:spacing w:after="0" w:line="423" w:lineRule="exact"/>
        <w:sectPr>
          <w:pgSz w:w="11910" w:h="16840"/>
          <w:pgMar w:top="1380" w:bottom="280" w:left="1660" w:right="1020"/>
        </w:sectPr>
      </w:pPr>
    </w:p>
    <w:p>
      <w:pPr>
        <w:pStyle w:val="ListParagraph"/>
        <w:numPr>
          <w:ilvl w:val="0"/>
          <w:numId w:val="8"/>
        </w:numPr>
        <w:tabs>
          <w:tab w:pos="1580" w:val="left" w:leader="none"/>
        </w:tabs>
        <w:spacing w:line="225" w:lineRule="auto" w:before="47" w:after="0"/>
        <w:ind w:left="1580" w:right="324" w:hanging="360"/>
        <w:jc w:val="left"/>
        <w:rPr>
          <w:b/>
          <w:sz w:val="24"/>
        </w:rPr>
      </w:pPr>
      <w:r>
        <w:rPr>
          <w:b/>
          <w:sz w:val="24"/>
        </w:rPr>
        <w:t>建立緊急應變計畫： 針對不同災害情境（如火災、化學品洩漏）</w:t>
      </w:r>
      <w:r>
        <w:rPr>
          <w:b/>
          <w:spacing w:val="-9"/>
          <w:sz w:val="24"/>
        </w:rPr>
        <w:t>制訂</w:t>
      </w:r>
      <w:r>
        <w:rPr>
          <w:b/>
          <w:sz w:val="24"/>
        </w:rPr>
        <w:t>詳細的應變計畫，並確保所有員工熟知。</w:t>
      </w:r>
    </w:p>
    <w:p>
      <w:pPr>
        <w:pStyle w:val="ListParagraph"/>
        <w:numPr>
          <w:ilvl w:val="1"/>
          <w:numId w:val="5"/>
        </w:numPr>
        <w:tabs>
          <w:tab w:pos="859" w:val="left" w:leader="none"/>
          <w:tab w:pos="860" w:val="left" w:leader="none"/>
        </w:tabs>
        <w:spacing w:line="410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設備層面：</w:t>
      </w:r>
    </w:p>
    <w:p>
      <w:pPr>
        <w:pStyle w:val="ListParagraph"/>
        <w:numPr>
          <w:ilvl w:val="0"/>
          <w:numId w:val="9"/>
        </w:numPr>
        <w:tabs>
          <w:tab w:pos="1580" w:val="left" w:leader="none"/>
        </w:tabs>
        <w:spacing w:line="225" w:lineRule="auto" w:before="6" w:after="0"/>
        <w:ind w:left="1580" w:right="204" w:hanging="360"/>
        <w:jc w:val="left"/>
        <w:rPr>
          <w:b/>
          <w:sz w:val="24"/>
        </w:rPr>
      </w:pPr>
      <w:r>
        <w:rPr>
          <w:b/>
          <w:sz w:val="24"/>
        </w:rPr>
        <w:t>改善消防系統設計： 重新評估排煙系統的偵測邏輯，增設與火警總機</w:t>
      </w:r>
      <w:r>
        <w:rPr>
          <w:b/>
          <w:spacing w:val="-1"/>
          <w:sz w:val="24"/>
        </w:rPr>
        <w:t>連動的機制，確保在任何區域偵測到火警或濃煙時，相關的排煙、廣播</w:t>
      </w:r>
      <w:r>
        <w:rPr>
          <w:b/>
          <w:sz w:val="24"/>
        </w:rPr>
        <w:t>系統能被觸發。</w:t>
      </w:r>
    </w:p>
    <w:p>
      <w:pPr>
        <w:pStyle w:val="ListParagraph"/>
        <w:numPr>
          <w:ilvl w:val="0"/>
          <w:numId w:val="9"/>
        </w:numPr>
        <w:tabs>
          <w:tab w:pos="1580" w:val="left" w:leader="none"/>
        </w:tabs>
        <w:spacing w:line="225" w:lineRule="auto" w:before="0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強化建築防火： 針對電梯井、樓梯間等垂直管道，加裝防火門或防火</w:t>
      </w:r>
      <w:r>
        <w:rPr>
          <w:b/>
          <w:sz w:val="24"/>
        </w:rPr>
        <w:t>閘門，以防止火勢與濃煙垂直蔓延。</w:t>
      </w:r>
    </w:p>
    <w:p>
      <w:pPr>
        <w:pStyle w:val="ListParagraph"/>
        <w:numPr>
          <w:ilvl w:val="0"/>
          <w:numId w:val="9"/>
        </w:numPr>
        <w:tabs>
          <w:tab w:pos="1580" w:val="left" w:leader="none"/>
        </w:tabs>
        <w:spacing w:line="225" w:lineRule="auto" w:before="1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增設獨立安全裝置： 為所有高溫油炸設備加裝獨立的超溫感應器，當</w:t>
      </w:r>
      <w:r>
        <w:rPr>
          <w:b/>
          <w:sz w:val="24"/>
        </w:rPr>
        <w:t>溫度異常時能自動切斷瓦斯與電源。</w:t>
      </w:r>
    </w:p>
    <w:p>
      <w:pPr>
        <w:pStyle w:val="ListParagraph"/>
        <w:numPr>
          <w:ilvl w:val="1"/>
          <w:numId w:val="5"/>
        </w:numPr>
        <w:tabs>
          <w:tab w:pos="859" w:val="left" w:leader="none"/>
          <w:tab w:pos="860" w:val="left" w:leader="none"/>
        </w:tabs>
        <w:spacing w:line="410" w:lineRule="exact" w:before="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</w:rPr>
        <w:t>人員層面：</w:t>
      </w:r>
    </w:p>
    <w:p>
      <w:pPr>
        <w:pStyle w:val="ListParagraph"/>
        <w:numPr>
          <w:ilvl w:val="0"/>
          <w:numId w:val="10"/>
        </w:numPr>
        <w:tabs>
          <w:tab w:pos="1580" w:val="left" w:leader="none"/>
        </w:tabs>
        <w:spacing w:line="225" w:lineRule="auto" w:before="6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強化全員應變訓練： 重新訓練員工如何操作滅火器、手動消防栓及其</w:t>
      </w:r>
      <w:r>
        <w:rPr>
          <w:b/>
          <w:sz w:val="24"/>
        </w:rPr>
        <w:t>他滅火系統。</w:t>
      </w:r>
    </w:p>
    <w:p>
      <w:pPr>
        <w:pStyle w:val="ListParagraph"/>
        <w:numPr>
          <w:ilvl w:val="0"/>
          <w:numId w:val="10"/>
        </w:numPr>
        <w:tabs>
          <w:tab w:pos="1580" w:val="left" w:leader="none"/>
        </w:tabs>
        <w:spacing w:line="225" w:lineRule="auto" w:before="1" w:after="0"/>
        <w:ind w:left="1580" w:right="324" w:hanging="360"/>
        <w:jc w:val="left"/>
        <w:rPr>
          <w:b/>
          <w:sz w:val="24"/>
        </w:rPr>
      </w:pPr>
      <w:r>
        <w:rPr>
          <w:b/>
          <w:spacing w:val="-1"/>
          <w:sz w:val="24"/>
        </w:rPr>
        <w:t>明確指定應變小組： 各班別應明確指定並訓練一支緊急應變小組，負</w:t>
      </w:r>
      <w:r>
        <w:rPr>
          <w:b/>
          <w:sz w:val="24"/>
        </w:rPr>
        <w:t>責在災害初期執行通報、引導疏散及初期滅火等任務。</w:t>
      </w:r>
    </w:p>
    <w:sectPr>
      <w:pgSz w:w="11910" w:h="16840"/>
      <w:pgMar w:top="1380" w:bottom="280" w:left="16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Calibri" w:hAnsi="Calibri" w:eastAsia="Calibri" w:cs="Calibri"/>
        <w:b/>
        <w:bCs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7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0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7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88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6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59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73" w:hanging="252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"/>
      <w:lvlJc w:val="left"/>
      <w:pPr>
        <w:ind w:left="620" w:hanging="48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2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1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61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1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4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64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9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8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3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18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1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0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61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1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1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3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>
      <w:ind w:left="1580" w:hanging="360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580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2025-07-25T00:37:06Z</dcterms:created>
  <dcterms:modified xsi:type="dcterms:W3CDTF">2025-07-25T00:37:06Z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