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28"/>
        <w:ind w:left="3324" w:firstLine="0"/>
      </w:pPr>
      <w:r>
        <w:rPr/>
        <w:t>火災爆炸案 </w:t>
      </w:r>
      <w:r>
        <w:rPr>
          <w:rFonts w:ascii="Calibri" w:eastAsia="Calibri"/>
        </w:rPr>
        <w:t>5_</w:t>
      </w:r>
      <w:r>
        <w:rPr/>
        <w:t>分析參考</w:t>
      </w:r>
    </w:p>
    <w:p>
      <w:pPr>
        <w:pStyle w:val="BodyText"/>
        <w:spacing w:before="8"/>
        <w:rPr>
          <w:b/>
          <w:sz w:val="31"/>
        </w:rPr>
      </w:pPr>
    </w:p>
    <w:p>
      <w:pPr>
        <w:pStyle w:val="BodyText"/>
        <w:spacing w:line="225" w:lineRule="auto" w:before="1"/>
        <w:ind w:left="140" w:right="204"/>
      </w:pPr>
      <w:r>
        <w:rPr>
          <w:b/>
        </w:rPr>
        <w:t>重要提醒： </w:t>
      </w:r>
      <w:r>
        <w:rPr/>
        <w:t>本分析報告是基於所提供案例的有限資訊，並結合事故調查的專業方法論進行。部分內容為根據邏輯與經驗所做的合理假設，並會明確標示為 </w:t>
      </w:r>
      <w:r>
        <w:rPr>
          <w:rFonts w:ascii="Calibri" w:eastAsia="Calibri"/>
        </w:rPr>
        <w:t>(</w:t>
      </w:r>
      <w:r>
        <w:rPr/>
        <w:t>假設</w:t>
      </w:r>
      <w:r>
        <w:rPr>
          <w:rFonts w:ascii="Calibri" w:eastAsia="Calibri"/>
        </w:rPr>
        <w:t>)</w:t>
      </w:r>
      <w:r>
        <w:rPr/>
        <w:t>。一場實際、完整的事故調查，需要更詳盡的現場勘查、人員訪談與物證檢驗來支持所有結論。</w:t>
      </w:r>
    </w:p>
    <w:p>
      <w:pPr>
        <w:pStyle w:val="BodyText"/>
        <w:spacing w:before="5"/>
        <w:rPr>
          <w:sz w:val="6"/>
        </w:rPr>
      </w:pPr>
      <w:r>
        <w:rPr/>
        <w:pict>
          <v:group style="position:absolute;margin-left:90pt;margin-top:7.741465pt;width:441.6pt;height:1.55pt;mso-position-horizontal-relative:page;mso-position-vertical-relative:paragraph;z-index:-1024;mso-wrap-distance-left:0;mso-wrap-distance-right:0" coordorigin="1800,155" coordsize="8832,31">
            <v:line style="position:absolute" from="1800,170" to="10632,170" stroked="true" strokeweight="1.5pt" strokecolor="#9f9f9f">
              <v:stroke dashstyle="solid"/>
            </v:line>
            <v:rect style="position:absolute;left:1800;top:155;width:5;height:5" filled="true" fillcolor="#9f9f9f" stroked="false">
              <v:fill type="solid"/>
            </v:rect>
            <v:rect style="position:absolute;left:1800;top:155;width:5;height:5" filled="true" fillcolor="#9f9f9f" stroked="false">
              <v:fill type="solid"/>
            </v:rect>
            <v:line style="position:absolute" from="1805,157" to="10627,157" stroked="true" strokeweight=".239pt" strokecolor="#9f9f9f">
              <v:stroke dashstyle="solid"/>
            </v:line>
            <v:rect style="position:absolute;left:10627;top:155;width:5;height:5" filled="true" fillcolor="#e2e2e2" stroked="false">
              <v:fill type="solid"/>
            </v:rect>
            <v:rect style="position:absolute;left:10627;top:155;width:5;height:5" filled="true" fillcolor="#9f9f9f" stroked="false">
              <v:fill type="solid"/>
            </v:rect>
            <v:rect style="position:absolute;left:1800;top:159;width:5;height:21" filled="true" fillcolor="#9f9f9f" stroked="false">
              <v:fill type="solid"/>
            </v:rect>
            <v:rect style="position:absolute;left:10627;top:159;width:5;height:21" filled="true" fillcolor="#e2e2e2" stroked="false">
              <v:fill type="solid"/>
            </v:rect>
            <v:rect style="position:absolute;left:1800;top:180;width:5;height:5" filled="true" fillcolor="#9f9f9f" stroked="false">
              <v:fill type="solid"/>
            </v:rect>
            <v:rect style="position:absolute;left:1800;top:180;width:5;height:5" filled="true" fillcolor="#e2e2e2" stroked="false">
              <v:fill type="solid"/>
            </v:rect>
            <v:line style="position:absolute" from="1805,183" to="10627,183" stroked="true" strokeweight=".239pt" strokecolor="#e2e2e2">
              <v:stroke dashstyle="solid"/>
            </v:line>
            <v:rect style="position:absolute;left:10627;top:180;width:5;height:5" filled="true" fillcolor="#e2e2e2" stroked="false">
              <v:fill type="solid"/>
            </v:rect>
            <v:rect style="position:absolute;left:10627;top:180;width:5;height:5" filled="true" fillcolor="#e2e2e2" stroked="false">
              <v:fill type="solid"/>
            </v:rect>
            <w10:wrap type="topAndBottom"/>
          </v:group>
        </w:pict>
      </w:r>
    </w:p>
    <w:p>
      <w:pPr>
        <w:pStyle w:val="BodyText"/>
        <w:spacing w:line="225" w:lineRule="auto" w:before="26"/>
        <w:ind w:left="140" w:right="1451"/>
      </w:pPr>
      <w:r>
        <w:rPr/>
        <w:t>自行車零件製造業 </w:t>
      </w:r>
      <w:r>
        <w:rPr>
          <w:rFonts w:ascii="Calibri" w:eastAsia="Calibri"/>
        </w:rPr>
        <w:t>- </w:t>
      </w:r>
      <w:r>
        <w:rPr/>
        <w:t>從事管件表面研磨作業發生爆炸災害調查分析報告事故基本資料</w:t>
      </w:r>
    </w:p>
    <w:p>
      <w:pPr>
        <w:pStyle w:val="ListParagraph"/>
        <w:numPr>
          <w:ilvl w:val="0"/>
          <w:numId w:val="1"/>
        </w:numPr>
        <w:tabs>
          <w:tab w:pos="859" w:val="left" w:leader="none"/>
          <w:tab w:pos="860" w:val="left" w:leader="none"/>
        </w:tabs>
        <w:spacing w:line="409" w:lineRule="exact" w:before="0" w:after="0"/>
        <w:ind w:left="860" w:right="0" w:hanging="360"/>
        <w:jc w:val="left"/>
        <w:rPr>
          <w:sz w:val="24"/>
        </w:rPr>
      </w:pPr>
      <w:r>
        <w:rPr>
          <w:sz w:val="24"/>
        </w:rPr>
        <w:t>行業分類： 自行車零件製造業</w:t>
      </w:r>
    </w:p>
    <w:p>
      <w:pPr>
        <w:pStyle w:val="ListParagraph"/>
        <w:numPr>
          <w:ilvl w:val="0"/>
          <w:numId w:val="1"/>
        </w:numPr>
        <w:tabs>
          <w:tab w:pos="859" w:val="left" w:leader="none"/>
          <w:tab w:pos="860" w:val="left" w:leader="none"/>
        </w:tabs>
        <w:spacing w:line="415" w:lineRule="exact" w:before="0" w:after="0"/>
        <w:ind w:left="860" w:right="0" w:hanging="360"/>
        <w:jc w:val="left"/>
        <w:rPr>
          <w:sz w:val="24"/>
        </w:rPr>
      </w:pPr>
      <w:r>
        <w:rPr>
          <w:sz w:val="24"/>
        </w:rPr>
        <w:t>災害類型： 爆炸</w:t>
      </w:r>
    </w:p>
    <w:p>
      <w:pPr>
        <w:pStyle w:val="ListParagraph"/>
        <w:numPr>
          <w:ilvl w:val="0"/>
          <w:numId w:val="1"/>
        </w:numPr>
        <w:tabs>
          <w:tab w:pos="859" w:val="left" w:leader="none"/>
          <w:tab w:pos="860" w:val="left" w:leader="none"/>
        </w:tabs>
        <w:spacing w:line="415" w:lineRule="exact" w:before="0" w:after="0"/>
        <w:ind w:left="860" w:right="0" w:hanging="360"/>
        <w:jc w:val="left"/>
        <w:rPr>
          <w:rFonts w:ascii="Calibri" w:hAnsi="Calibri" w:eastAsia="Calibri"/>
          <w:sz w:val="24"/>
        </w:rPr>
      </w:pPr>
      <w:r>
        <w:rPr>
          <w:sz w:val="24"/>
        </w:rPr>
        <w:t>媒介物： 其他</w:t>
      </w:r>
      <w:r>
        <w:rPr>
          <w:rFonts w:ascii="Calibri" w:hAnsi="Calibri" w:eastAsia="Calibri"/>
          <w:sz w:val="24"/>
        </w:rPr>
        <w:t>(</w:t>
      </w:r>
      <w:r>
        <w:rPr>
          <w:sz w:val="24"/>
        </w:rPr>
        <w:t>鋁合金粉末</w:t>
      </w:r>
      <w:r>
        <w:rPr>
          <w:rFonts w:ascii="Calibri" w:hAnsi="Calibri" w:eastAsia="Calibri"/>
          <w:sz w:val="24"/>
        </w:rPr>
        <w:t>)</w:t>
      </w:r>
    </w:p>
    <w:p>
      <w:pPr>
        <w:pStyle w:val="ListParagraph"/>
        <w:numPr>
          <w:ilvl w:val="0"/>
          <w:numId w:val="1"/>
        </w:numPr>
        <w:tabs>
          <w:tab w:pos="859" w:val="left" w:leader="none"/>
          <w:tab w:pos="860" w:val="left" w:leader="none"/>
        </w:tabs>
        <w:spacing w:line="415" w:lineRule="exact" w:before="0" w:after="0"/>
        <w:ind w:left="860" w:right="0" w:hanging="360"/>
        <w:jc w:val="left"/>
        <w:rPr>
          <w:sz w:val="24"/>
        </w:rPr>
      </w:pPr>
      <w:r>
        <w:rPr>
          <w:sz w:val="24"/>
        </w:rPr>
        <w:t>罹災情形： 死亡 </w:t>
      </w:r>
      <w:r>
        <w:rPr>
          <w:rFonts w:ascii="Calibri" w:hAnsi="Calibri" w:eastAsia="Calibri"/>
          <w:sz w:val="24"/>
        </w:rPr>
        <w:t>1</w:t>
      </w:r>
      <w:r>
        <w:rPr>
          <w:rFonts w:ascii="Calibri" w:hAnsi="Calibri" w:eastAsia="Calibri"/>
          <w:spacing w:val="5"/>
          <w:sz w:val="24"/>
        </w:rPr>
        <w:t> </w:t>
      </w:r>
      <w:r>
        <w:rPr>
          <w:sz w:val="24"/>
        </w:rPr>
        <w:t>人、受傷 </w:t>
      </w:r>
      <w:r>
        <w:rPr>
          <w:rFonts w:ascii="Calibri" w:hAnsi="Calibri" w:eastAsia="Calibri"/>
          <w:sz w:val="24"/>
        </w:rPr>
        <w:t>2</w:t>
      </w:r>
      <w:r>
        <w:rPr>
          <w:rFonts w:ascii="Calibri" w:hAnsi="Calibri" w:eastAsia="Calibri"/>
          <w:spacing w:val="5"/>
          <w:sz w:val="24"/>
        </w:rPr>
        <w:t> </w:t>
      </w:r>
      <w:r>
        <w:rPr>
          <w:sz w:val="24"/>
        </w:rPr>
        <w:t>人</w:t>
      </w:r>
    </w:p>
    <w:p>
      <w:pPr>
        <w:pStyle w:val="ListParagraph"/>
        <w:numPr>
          <w:ilvl w:val="0"/>
          <w:numId w:val="1"/>
        </w:numPr>
        <w:tabs>
          <w:tab w:pos="859" w:val="left" w:leader="none"/>
          <w:tab w:pos="860" w:val="left" w:leader="none"/>
        </w:tabs>
        <w:spacing w:line="415" w:lineRule="exact" w:before="0" w:after="0"/>
        <w:ind w:left="860" w:right="0" w:hanging="360"/>
        <w:jc w:val="left"/>
        <w:rPr>
          <w:sz w:val="24"/>
        </w:rPr>
      </w:pPr>
      <w:r>
        <w:rPr>
          <w:spacing w:val="9"/>
          <w:sz w:val="24"/>
        </w:rPr>
        <w:t>事故時間： </w:t>
      </w:r>
      <w:r>
        <w:rPr>
          <w:rFonts w:ascii="Calibri" w:hAnsi="Calibri" w:eastAsia="Calibri"/>
          <w:sz w:val="24"/>
        </w:rPr>
        <w:t>111</w:t>
      </w:r>
      <w:r>
        <w:rPr>
          <w:rFonts w:ascii="Calibri" w:hAnsi="Calibri" w:eastAsia="Calibri"/>
          <w:spacing w:val="5"/>
          <w:sz w:val="24"/>
        </w:rPr>
        <w:t> </w:t>
      </w:r>
      <w:r>
        <w:rPr>
          <w:sz w:val="24"/>
        </w:rPr>
        <w:t>年</w:t>
      </w:r>
      <w:r>
        <w:rPr>
          <w:rFonts w:ascii="Calibri" w:hAnsi="Calibri" w:eastAsia="Calibri"/>
          <w:sz w:val="24"/>
        </w:rPr>
        <w:t>○○</w:t>
      </w:r>
      <w:r>
        <w:rPr>
          <w:sz w:val="24"/>
        </w:rPr>
        <w:t>月</w:t>
      </w:r>
      <w:r>
        <w:rPr>
          <w:rFonts w:ascii="Calibri" w:hAnsi="Calibri" w:eastAsia="Calibri"/>
          <w:sz w:val="24"/>
        </w:rPr>
        <w:t>○○</w:t>
      </w:r>
      <w:r>
        <w:rPr>
          <w:sz w:val="24"/>
        </w:rPr>
        <w:t>日  </w:t>
      </w:r>
      <w:r>
        <w:rPr>
          <w:rFonts w:ascii="Calibri" w:hAnsi="Calibri" w:eastAsia="Calibri"/>
          <w:sz w:val="24"/>
        </w:rPr>
        <w:t>9</w:t>
      </w:r>
      <w:r>
        <w:rPr>
          <w:rFonts w:ascii="Calibri" w:hAnsi="Calibri" w:eastAsia="Calibri"/>
          <w:spacing w:val="5"/>
          <w:sz w:val="24"/>
        </w:rPr>
        <w:t> </w:t>
      </w:r>
      <w:r>
        <w:rPr>
          <w:sz w:val="24"/>
        </w:rPr>
        <w:t>時許</w:t>
      </w:r>
    </w:p>
    <w:p>
      <w:pPr>
        <w:pStyle w:val="ListParagraph"/>
        <w:numPr>
          <w:ilvl w:val="0"/>
          <w:numId w:val="1"/>
        </w:numPr>
        <w:tabs>
          <w:tab w:pos="859" w:val="left" w:leader="none"/>
          <w:tab w:pos="860" w:val="left" w:leader="none"/>
        </w:tabs>
        <w:spacing w:line="415" w:lineRule="exact" w:before="0" w:after="0"/>
        <w:ind w:left="860" w:right="0" w:hanging="360"/>
        <w:jc w:val="left"/>
        <w:rPr>
          <w:sz w:val="24"/>
        </w:rPr>
      </w:pPr>
      <w:r>
        <w:rPr>
          <w:sz w:val="24"/>
        </w:rPr>
        <w:t>事故地點： 廠內表面研磨區</w:t>
      </w:r>
    </w:p>
    <w:p>
      <w:pPr>
        <w:pStyle w:val="ListParagraph"/>
        <w:numPr>
          <w:ilvl w:val="0"/>
          <w:numId w:val="1"/>
        </w:numPr>
        <w:tabs>
          <w:tab w:pos="860" w:val="left" w:leader="none"/>
        </w:tabs>
        <w:spacing w:line="225" w:lineRule="auto" w:before="7" w:after="0"/>
        <w:ind w:left="860" w:right="299" w:hanging="360"/>
        <w:jc w:val="both"/>
        <w:rPr>
          <w:sz w:val="24"/>
        </w:rPr>
      </w:pPr>
      <w:r>
        <w:rPr>
          <w:sz w:val="24"/>
        </w:rPr>
        <w:t>事故摘要： 勞工王</w:t>
      </w:r>
      <w:r>
        <w:rPr>
          <w:rFonts w:ascii="Calibri" w:hAnsi="Calibri" w:eastAsia="Calibri"/>
          <w:sz w:val="24"/>
        </w:rPr>
        <w:t>○○</w:t>
      </w:r>
      <w:r>
        <w:rPr>
          <w:sz w:val="24"/>
        </w:rPr>
        <w:t>、阮</w:t>
      </w:r>
      <w:r>
        <w:rPr>
          <w:rFonts w:ascii="Calibri" w:hAnsi="Calibri" w:eastAsia="Calibri"/>
          <w:sz w:val="24"/>
        </w:rPr>
        <w:t>○○</w:t>
      </w:r>
      <w:r>
        <w:rPr>
          <w:sz w:val="24"/>
        </w:rPr>
        <w:t>、達</w:t>
      </w:r>
      <w:r>
        <w:rPr>
          <w:rFonts w:ascii="Calibri" w:hAnsi="Calibri" w:eastAsia="Calibri"/>
          <w:sz w:val="24"/>
        </w:rPr>
        <w:t>○○</w:t>
      </w:r>
      <w:r>
        <w:rPr>
          <w:sz w:val="24"/>
        </w:rPr>
        <w:t>等 </w:t>
      </w:r>
      <w:r>
        <w:rPr>
          <w:rFonts w:ascii="Calibri" w:hAnsi="Calibri" w:eastAsia="Calibri"/>
          <w:sz w:val="24"/>
        </w:rPr>
        <w:t>3</w:t>
      </w:r>
      <w:r>
        <w:rPr>
          <w:rFonts w:ascii="Calibri" w:hAnsi="Calibri" w:eastAsia="Calibri"/>
          <w:spacing w:val="5"/>
          <w:sz w:val="24"/>
        </w:rPr>
        <w:t> </w:t>
      </w:r>
      <w:r>
        <w:rPr>
          <w:sz w:val="24"/>
        </w:rPr>
        <w:t>人於表面研磨區從事鐵質坐管研磨作業。約 </w:t>
      </w:r>
      <w:r>
        <w:rPr>
          <w:rFonts w:ascii="Calibri" w:hAnsi="Calibri" w:eastAsia="Calibri"/>
          <w:sz w:val="24"/>
        </w:rPr>
        <w:t>9</w:t>
      </w:r>
      <w:r>
        <w:rPr>
          <w:rFonts w:ascii="Calibri" w:hAnsi="Calibri" w:eastAsia="Calibri"/>
          <w:spacing w:val="5"/>
          <w:sz w:val="24"/>
        </w:rPr>
        <w:t> </w:t>
      </w:r>
      <w:r>
        <w:rPr>
          <w:sz w:val="24"/>
        </w:rPr>
        <w:t>時許，一台移動式袋式集塵機的集塵袋突然發生鋁合金粉塵爆炸並引起火災。爆炸造成現場 </w:t>
      </w:r>
      <w:r>
        <w:rPr>
          <w:rFonts w:ascii="Calibri" w:hAnsi="Calibri" w:eastAsia="Calibri"/>
          <w:sz w:val="24"/>
        </w:rPr>
        <w:t>3</w:t>
      </w:r>
      <w:r>
        <w:rPr>
          <w:rFonts w:ascii="Calibri" w:hAnsi="Calibri" w:eastAsia="Calibri"/>
          <w:spacing w:val="5"/>
          <w:sz w:val="24"/>
        </w:rPr>
        <w:t> </w:t>
      </w:r>
      <w:r>
        <w:rPr>
          <w:sz w:val="24"/>
        </w:rPr>
        <w:t>名勞工燒灼傷，其中阮</w:t>
      </w:r>
      <w:r>
        <w:rPr>
          <w:rFonts w:ascii="Calibri" w:hAnsi="Calibri" w:eastAsia="Calibri"/>
          <w:sz w:val="24"/>
        </w:rPr>
        <w:t>○○</w:t>
      </w:r>
      <w:r>
        <w:rPr>
          <w:spacing w:val="-2"/>
          <w:sz w:val="24"/>
        </w:rPr>
        <w:t>經送醫後因傷重不治</w:t>
      </w:r>
      <w:r>
        <w:rPr>
          <w:sz w:val="24"/>
        </w:rPr>
        <w:t>死亡。</w:t>
      </w:r>
    </w:p>
    <w:p>
      <w:pPr>
        <w:pStyle w:val="BodyText"/>
        <w:spacing w:before="4"/>
        <w:rPr>
          <w:sz w:val="6"/>
        </w:rPr>
      </w:pPr>
      <w:r>
        <w:rPr/>
        <w:pict>
          <v:group style="position:absolute;margin-left:90pt;margin-top:7.724281pt;width:441.6pt;height:1.55pt;mso-position-horizontal-relative:page;mso-position-vertical-relative:paragraph;z-index:-1000;mso-wrap-distance-left:0;mso-wrap-distance-right:0" coordorigin="1800,154" coordsize="8832,31">
            <v:line style="position:absolute" from="1800,169" to="10632,169" stroked="true" strokeweight="1.5pt" strokecolor="#9f9f9f">
              <v:stroke dashstyle="solid"/>
            </v:line>
            <v:rect style="position:absolute;left:1800;top:154;width:5;height:5" filled="true" fillcolor="#9f9f9f" stroked="false">
              <v:fill type="solid"/>
            </v:rect>
            <v:rect style="position:absolute;left:1800;top:154;width:5;height:5" filled="true" fillcolor="#9f9f9f" stroked="false">
              <v:fill type="solid"/>
            </v:rect>
            <v:line style="position:absolute" from="1805,157" to="10627,157" stroked="true" strokeweight=".24pt" strokecolor="#9f9f9f">
              <v:stroke dashstyle="solid"/>
            </v:line>
            <v:rect style="position:absolute;left:10627;top:154;width:5;height:5" filled="true" fillcolor="#e2e2e2" stroked="false">
              <v:fill type="solid"/>
            </v:rect>
            <v:rect style="position:absolute;left:10627;top:154;width:5;height:5" filled="true" fillcolor="#9f9f9f" stroked="false">
              <v:fill type="solid"/>
            </v:rect>
            <v:rect style="position:absolute;left:1800;top:159;width:5;height:21" filled="true" fillcolor="#9f9f9f" stroked="false">
              <v:fill type="solid"/>
            </v:rect>
            <v:rect style="position:absolute;left:10627;top:159;width:5;height:21" filled="true" fillcolor="#e2e2e2" stroked="false">
              <v:fill type="solid"/>
            </v:rect>
            <v:rect style="position:absolute;left:1800;top:180;width:5;height:5" filled="true" fillcolor="#9f9f9f" stroked="false">
              <v:fill type="solid"/>
            </v:rect>
            <v:rect style="position:absolute;left:1800;top:180;width:5;height:5" filled="true" fillcolor="#e2e2e2" stroked="false">
              <v:fill type="solid"/>
            </v:rect>
            <v:line style="position:absolute" from="1805,182" to="10627,182" stroked="true" strokeweight=".24pt" strokecolor="#e2e2e2">
              <v:stroke dashstyle="solid"/>
            </v:line>
            <v:rect style="position:absolute;left:10627;top:180;width:5;height:5" filled="true" fillcolor="#e2e2e2" stroked="false">
              <v:fill type="solid"/>
            </v:rect>
            <v:rect style="position:absolute;left:10627;top:180;width:5;height:5" filled="true" fillcolor="#e2e2e2" stroked="false">
              <v:fill type="solid"/>
            </v:rect>
            <w10:wrap type="topAndBottom"/>
          </v:group>
        </w:pict>
      </w:r>
    </w:p>
    <w:p>
      <w:pPr>
        <w:pStyle w:val="Heading1"/>
        <w:numPr>
          <w:ilvl w:val="0"/>
          <w:numId w:val="2"/>
        </w:numPr>
        <w:tabs>
          <w:tab w:pos="859" w:val="left" w:leader="none"/>
          <w:tab w:pos="860" w:val="left" w:leader="none"/>
        </w:tabs>
        <w:spacing w:line="428" w:lineRule="exact" w:before="6" w:after="0"/>
        <w:ind w:left="860" w:right="0" w:hanging="360"/>
        <w:jc w:val="left"/>
        <w:rPr>
          <w:rFonts w:ascii="Calibri" w:hAnsi="Calibri" w:eastAsia="Calibri"/>
        </w:rPr>
      </w:pPr>
      <w:r>
        <w:rPr>
          <w:spacing w:val="7"/>
        </w:rPr>
        <w:t>事件成因分析圖 </w:t>
      </w:r>
      <w:r>
        <w:rPr>
          <w:rFonts w:ascii="Calibri" w:hAnsi="Calibri" w:eastAsia="Calibri"/>
        </w:rPr>
        <w:t>(ECFC)</w:t>
      </w:r>
    </w:p>
    <w:p>
      <w:pPr>
        <w:pStyle w:val="BodyText"/>
        <w:spacing w:line="428" w:lineRule="exact"/>
        <w:ind w:left="140"/>
      </w:pPr>
      <w:r>
        <w:rPr/>
        <w:t>此圖將事故發生的事件及相關條件按時間順序呈現，以視覺化方式釐清因果關係。</w:t>
      </w:r>
    </w:p>
    <w:p>
      <w:pPr>
        <w:pStyle w:val="BodyText"/>
        <w:spacing w:before="12"/>
        <w:rPr>
          <w:sz w:val="6"/>
        </w:rPr>
      </w:pPr>
      <w:r>
        <w:rPr/>
        <w:drawing>
          <wp:anchor distT="0" distB="0" distL="0" distR="0" allowOverlap="1" layoutInCell="1" locked="0" behindDoc="0" simplePos="0" relativeHeight="2">
            <wp:simplePos x="0" y="0"/>
            <wp:positionH relativeFrom="page">
              <wp:posOffset>1145539</wp:posOffset>
            </wp:positionH>
            <wp:positionV relativeFrom="paragraph">
              <wp:posOffset>102752</wp:posOffset>
            </wp:positionV>
            <wp:extent cx="5561649" cy="1452752"/>
            <wp:effectExtent l="0" t="0" r="0" b="0"/>
            <wp:wrapTopAndBottom/>
            <wp:docPr id="1" name="image1.jpeg" descr="一張含有 文字, 螢幕擷取畫面 的圖片  AI 產生的內容可能不正確。"/>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561649" cy="1452752"/>
                    </a:xfrm>
                    <a:prstGeom prst="rect">
                      <a:avLst/>
                    </a:prstGeom>
                  </pic:spPr>
                </pic:pic>
              </a:graphicData>
            </a:graphic>
          </wp:anchor>
        </w:drawing>
      </w:r>
    </w:p>
    <w:p>
      <w:pPr>
        <w:pStyle w:val="BodyText"/>
        <w:rPr>
          <w:sz w:val="20"/>
        </w:rPr>
      </w:pPr>
    </w:p>
    <w:p>
      <w:pPr>
        <w:pStyle w:val="BodyText"/>
        <w:spacing w:before="7"/>
        <w:rPr>
          <w:sz w:val="10"/>
        </w:rPr>
      </w:pPr>
      <w:r>
        <w:rPr/>
        <w:pict>
          <v:line style="position:absolute;mso-position-horizontal-relative:page;mso-position-vertical-relative:paragraph;z-index:-952;mso-wrap-distance-left:0;mso-wrap-distance-right:0" from="88.5pt,11.914203pt" to="533.1pt,11.914203pt" stroked="true" strokeweight=".72pt" strokecolor="#000000">
            <v:stroke dashstyle="solid"/>
            <w10:wrap type="topAndBottom"/>
          </v:line>
        </w:pict>
      </w:r>
    </w:p>
    <w:p>
      <w:pPr>
        <w:pStyle w:val="Heading1"/>
        <w:numPr>
          <w:ilvl w:val="0"/>
          <w:numId w:val="2"/>
        </w:numPr>
        <w:tabs>
          <w:tab w:pos="859" w:val="left" w:leader="none"/>
          <w:tab w:pos="860" w:val="left" w:leader="none"/>
        </w:tabs>
        <w:spacing w:line="386" w:lineRule="exact" w:before="0" w:after="0"/>
        <w:ind w:left="860" w:right="0" w:hanging="360"/>
        <w:jc w:val="left"/>
      </w:pPr>
      <w:r>
        <w:rPr/>
        <w:t>時間序列表</w:t>
      </w:r>
    </w:p>
    <w:p>
      <w:pPr>
        <w:pStyle w:val="BodyText"/>
        <w:spacing w:line="428" w:lineRule="exact"/>
        <w:ind w:left="140"/>
      </w:pPr>
      <w:r>
        <w:rPr/>
        <w:t>此表以表格形式記錄事故發生的先後順序和相關條件，作為 </w:t>
      </w:r>
      <w:r>
        <w:rPr>
          <w:rFonts w:ascii="Calibri" w:eastAsia="Calibri"/>
        </w:rPr>
        <w:t>ECFC </w:t>
      </w:r>
      <w:r>
        <w:rPr/>
        <w:t>的輔助。</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9"/>
        <w:gridCol w:w="2125"/>
        <w:gridCol w:w="575"/>
        <w:gridCol w:w="837"/>
        <w:gridCol w:w="1691"/>
        <w:gridCol w:w="2067"/>
      </w:tblGrid>
      <w:tr>
        <w:trPr>
          <w:trHeight w:val="1037" w:hRule="atLeast"/>
        </w:trPr>
        <w:tc>
          <w:tcPr>
            <w:tcW w:w="1529" w:type="dxa"/>
          </w:tcPr>
          <w:p>
            <w:pPr>
              <w:pStyle w:val="TableParagraph"/>
              <w:spacing w:line="343" w:lineRule="exact"/>
              <w:rPr>
                <w:sz w:val="20"/>
              </w:rPr>
            </w:pPr>
            <w:r>
              <w:rPr>
                <w:sz w:val="20"/>
              </w:rPr>
              <w:t>日期時間</w:t>
            </w:r>
          </w:p>
        </w:tc>
        <w:tc>
          <w:tcPr>
            <w:tcW w:w="2125" w:type="dxa"/>
          </w:tcPr>
          <w:p>
            <w:pPr>
              <w:pStyle w:val="TableParagraph"/>
              <w:spacing w:line="343" w:lineRule="exact"/>
              <w:ind w:left="106"/>
              <w:rPr>
                <w:sz w:val="20"/>
              </w:rPr>
            </w:pPr>
            <w:r>
              <w:rPr>
                <w:sz w:val="20"/>
              </w:rPr>
              <w:t>事件描述</w:t>
            </w:r>
          </w:p>
        </w:tc>
        <w:tc>
          <w:tcPr>
            <w:tcW w:w="575" w:type="dxa"/>
          </w:tcPr>
          <w:p>
            <w:pPr>
              <w:pStyle w:val="TableParagraph"/>
              <w:spacing w:line="225" w:lineRule="auto"/>
              <w:ind w:right="176"/>
              <w:rPr>
                <w:rFonts w:ascii="Segoe UI" w:eastAsia="Segoe UI"/>
                <w:sz w:val="20"/>
              </w:rPr>
            </w:pPr>
            <w:r>
              <w:rPr>
                <w:sz w:val="20"/>
              </w:rPr>
              <w:t>事實</w:t>
            </w:r>
            <w:r>
              <w:rPr>
                <w:rFonts w:ascii="Segoe UI" w:eastAsia="Segoe UI"/>
                <w:sz w:val="20"/>
              </w:rPr>
              <w:t>/</w:t>
            </w:r>
          </w:p>
        </w:tc>
        <w:tc>
          <w:tcPr>
            <w:tcW w:w="837" w:type="dxa"/>
          </w:tcPr>
          <w:p>
            <w:pPr>
              <w:pStyle w:val="TableParagraph"/>
              <w:spacing w:line="332" w:lineRule="exact"/>
              <w:ind w:left="106"/>
              <w:rPr>
                <w:rFonts w:ascii="Segoe UI" w:eastAsia="Segoe UI"/>
                <w:sz w:val="20"/>
              </w:rPr>
            </w:pPr>
            <w:r>
              <w:rPr>
                <w:sz w:val="20"/>
              </w:rPr>
              <w:t>主</w:t>
            </w:r>
            <w:r>
              <w:rPr>
                <w:rFonts w:ascii="Segoe UI" w:eastAsia="Segoe UI"/>
                <w:sz w:val="20"/>
              </w:rPr>
              <w:t>(P)/</w:t>
            </w:r>
          </w:p>
          <w:p>
            <w:pPr>
              <w:pStyle w:val="TableParagraph"/>
              <w:spacing w:line="346" w:lineRule="exact"/>
              <w:ind w:left="106"/>
              <w:rPr>
                <w:rFonts w:ascii="Segoe UI" w:eastAsia="Segoe UI"/>
                <w:sz w:val="20"/>
              </w:rPr>
            </w:pPr>
            <w:r>
              <w:rPr>
                <w:sz w:val="20"/>
              </w:rPr>
              <w:t>次</w:t>
            </w:r>
            <w:r>
              <w:rPr>
                <w:rFonts w:ascii="Segoe UI" w:eastAsia="Segoe UI"/>
                <w:sz w:val="20"/>
              </w:rPr>
              <w:t>(S)</w:t>
            </w:r>
          </w:p>
          <w:p>
            <w:pPr>
              <w:pStyle w:val="TableParagraph"/>
              <w:spacing w:line="340" w:lineRule="exact"/>
              <w:ind w:left="106"/>
              <w:rPr>
                <w:sz w:val="20"/>
              </w:rPr>
            </w:pPr>
            <w:r>
              <w:rPr>
                <w:sz w:val="20"/>
              </w:rPr>
              <w:t>事件軸</w:t>
            </w:r>
          </w:p>
        </w:tc>
        <w:tc>
          <w:tcPr>
            <w:tcW w:w="1691" w:type="dxa"/>
          </w:tcPr>
          <w:p>
            <w:pPr>
              <w:pStyle w:val="TableParagraph"/>
              <w:spacing w:line="225" w:lineRule="auto"/>
              <w:ind w:right="98" w:hanging="1"/>
              <w:rPr>
                <w:rFonts w:ascii="Segoe UI" w:eastAsia="Segoe UI"/>
                <w:sz w:val="20"/>
              </w:rPr>
            </w:pPr>
            <w:r>
              <w:rPr>
                <w:sz w:val="20"/>
              </w:rPr>
              <w:t>相關條件 </w:t>
            </w:r>
            <w:r>
              <w:rPr>
                <w:rFonts w:ascii="Segoe UI" w:eastAsia="Segoe UI"/>
                <w:sz w:val="20"/>
              </w:rPr>
              <w:t>1 (</w:t>
            </w:r>
            <w:r>
              <w:rPr>
                <w:sz w:val="20"/>
              </w:rPr>
              <w:t>直接條件</w:t>
            </w:r>
            <w:r>
              <w:rPr>
                <w:rFonts w:ascii="Segoe UI" w:eastAsia="Segoe UI"/>
                <w:sz w:val="20"/>
              </w:rPr>
              <w:t>)</w:t>
            </w:r>
          </w:p>
        </w:tc>
        <w:tc>
          <w:tcPr>
            <w:tcW w:w="2067" w:type="dxa"/>
          </w:tcPr>
          <w:p>
            <w:pPr>
              <w:pStyle w:val="TableParagraph"/>
              <w:spacing w:line="332" w:lineRule="exact"/>
              <w:ind w:left="106"/>
              <w:rPr>
                <w:rFonts w:ascii="Segoe UI" w:eastAsia="Segoe UI"/>
                <w:sz w:val="20"/>
              </w:rPr>
            </w:pPr>
            <w:r>
              <w:rPr>
                <w:sz w:val="20"/>
              </w:rPr>
              <w:t>相關條件 </w:t>
            </w:r>
            <w:r>
              <w:rPr>
                <w:rFonts w:ascii="Segoe UI" w:eastAsia="Segoe UI"/>
                <w:sz w:val="20"/>
              </w:rPr>
              <w:t>2 (</w:t>
            </w:r>
            <w:r>
              <w:rPr>
                <w:sz w:val="20"/>
              </w:rPr>
              <w:t>條件 </w:t>
            </w:r>
            <w:r>
              <w:rPr>
                <w:rFonts w:ascii="Segoe UI" w:eastAsia="Segoe UI"/>
                <w:sz w:val="20"/>
              </w:rPr>
              <w:t>1</w:t>
            </w:r>
          </w:p>
          <w:p>
            <w:pPr>
              <w:pStyle w:val="TableParagraph"/>
              <w:spacing w:line="357" w:lineRule="exact"/>
              <w:ind w:left="106"/>
              <w:rPr>
                <w:rFonts w:ascii="Segoe UI" w:eastAsia="Segoe UI"/>
                <w:sz w:val="20"/>
              </w:rPr>
            </w:pPr>
            <w:r>
              <w:rPr>
                <w:sz w:val="20"/>
              </w:rPr>
              <w:t>的背景或前提</w:t>
            </w:r>
            <w:r>
              <w:rPr>
                <w:rFonts w:ascii="Segoe UI" w:eastAsia="Segoe UI"/>
                <w:sz w:val="20"/>
              </w:rPr>
              <w:t>)</w:t>
            </w:r>
          </w:p>
        </w:tc>
      </w:tr>
    </w:tbl>
    <w:p>
      <w:pPr>
        <w:spacing w:after="0" w:line="357" w:lineRule="exact"/>
        <w:rPr>
          <w:rFonts w:ascii="Segoe UI" w:eastAsia="Segoe UI"/>
          <w:sz w:val="20"/>
        </w:rPr>
        <w:sectPr>
          <w:type w:val="continuous"/>
          <w:pgSz w:w="11910" w:h="16840"/>
          <w:pgMar w:top="1380" w:bottom="280" w:left="1660" w:right="114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9"/>
        <w:gridCol w:w="2125"/>
        <w:gridCol w:w="575"/>
        <w:gridCol w:w="837"/>
        <w:gridCol w:w="1691"/>
        <w:gridCol w:w="2067"/>
      </w:tblGrid>
      <w:tr>
        <w:trPr>
          <w:trHeight w:val="692" w:hRule="atLeast"/>
        </w:trPr>
        <w:tc>
          <w:tcPr>
            <w:tcW w:w="1529" w:type="dxa"/>
          </w:tcPr>
          <w:p>
            <w:pPr>
              <w:pStyle w:val="TableParagraph"/>
              <w:ind w:left="0"/>
              <w:rPr>
                <w:rFonts w:ascii="Times New Roman"/>
                <w:sz w:val="20"/>
              </w:rPr>
            </w:pPr>
          </w:p>
        </w:tc>
        <w:tc>
          <w:tcPr>
            <w:tcW w:w="2125" w:type="dxa"/>
          </w:tcPr>
          <w:p>
            <w:pPr>
              <w:pStyle w:val="TableParagraph"/>
              <w:ind w:left="0"/>
              <w:rPr>
                <w:rFonts w:ascii="Times New Roman"/>
                <w:sz w:val="20"/>
              </w:rPr>
            </w:pPr>
          </w:p>
        </w:tc>
        <w:tc>
          <w:tcPr>
            <w:tcW w:w="575" w:type="dxa"/>
          </w:tcPr>
          <w:p>
            <w:pPr>
              <w:pStyle w:val="TableParagraph"/>
              <w:spacing w:line="346" w:lineRule="exact"/>
              <w:rPr>
                <w:sz w:val="20"/>
              </w:rPr>
            </w:pPr>
            <w:r>
              <w:rPr>
                <w:w w:val="100"/>
                <w:sz w:val="20"/>
              </w:rPr>
              <w:t>假</w:t>
            </w:r>
          </w:p>
          <w:p>
            <w:pPr>
              <w:pStyle w:val="TableParagraph"/>
              <w:spacing w:line="326" w:lineRule="exact"/>
              <w:rPr>
                <w:sz w:val="20"/>
              </w:rPr>
            </w:pPr>
            <w:r>
              <w:rPr>
                <w:w w:val="100"/>
                <w:sz w:val="20"/>
              </w:rPr>
              <w:t>設</w:t>
            </w:r>
          </w:p>
        </w:tc>
        <w:tc>
          <w:tcPr>
            <w:tcW w:w="837"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2067" w:type="dxa"/>
          </w:tcPr>
          <w:p>
            <w:pPr>
              <w:pStyle w:val="TableParagraph"/>
              <w:ind w:left="0"/>
              <w:rPr>
                <w:rFonts w:ascii="Times New Roman"/>
                <w:sz w:val="20"/>
              </w:rPr>
            </w:pPr>
          </w:p>
        </w:tc>
      </w:tr>
      <w:tr>
        <w:trPr>
          <w:trHeight w:val="1037" w:hRule="atLeast"/>
        </w:trPr>
        <w:tc>
          <w:tcPr>
            <w:tcW w:w="1529" w:type="dxa"/>
          </w:tcPr>
          <w:p>
            <w:pPr>
              <w:pStyle w:val="TableParagraph"/>
              <w:spacing w:line="260" w:lineRule="exact"/>
              <w:rPr>
                <w:rFonts w:ascii="Segoe UI" w:hAnsi="Segoe UI"/>
                <w:sz w:val="20"/>
              </w:rPr>
            </w:pPr>
            <w:r>
              <w:rPr>
                <w:rFonts w:ascii="Segoe UI" w:hAnsi="Segoe UI"/>
                <w:sz w:val="20"/>
              </w:rPr>
              <w:t>111/○○/○○</w:t>
            </w:r>
          </w:p>
          <w:p>
            <w:pPr>
              <w:pStyle w:val="TableParagraph"/>
              <w:spacing w:line="362" w:lineRule="exact"/>
              <w:rPr>
                <w:sz w:val="20"/>
              </w:rPr>
            </w:pPr>
            <w:r>
              <w:rPr>
                <w:rFonts w:ascii="Segoe UI" w:eastAsia="Segoe UI"/>
                <w:sz w:val="20"/>
              </w:rPr>
              <w:t>8 </w:t>
            </w:r>
            <w:r>
              <w:rPr>
                <w:sz w:val="20"/>
              </w:rPr>
              <w:t>時許</w:t>
            </w:r>
          </w:p>
        </w:tc>
        <w:tc>
          <w:tcPr>
            <w:tcW w:w="2125" w:type="dxa"/>
          </w:tcPr>
          <w:p>
            <w:pPr>
              <w:pStyle w:val="TableParagraph"/>
              <w:spacing w:line="225" w:lineRule="auto" w:before="4"/>
              <w:ind w:left="106" w:right="116" w:hanging="1"/>
              <w:rPr>
                <w:sz w:val="20"/>
              </w:rPr>
            </w:pPr>
            <w:r>
              <w:rPr>
                <w:sz w:val="20"/>
              </w:rPr>
              <w:t>勞工王</w:t>
            </w:r>
            <w:r>
              <w:rPr>
                <w:rFonts w:ascii="Segoe UI" w:hAnsi="Segoe UI" w:eastAsia="Segoe UI"/>
                <w:sz w:val="20"/>
              </w:rPr>
              <w:t>○○</w:t>
            </w:r>
            <w:r>
              <w:rPr>
                <w:sz w:val="20"/>
              </w:rPr>
              <w:t>、阮</w:t>
            </w:r>
            <w:r>
              <w:rPr>
                <w:rFonts w:ascii="Segoe UI" w:hAnsi="Segoe UI" w:eastAsia="Segoe UI"/>
                <w:sz w:val="20"/>
              </w:rPr>
              <w:t>○○</w:t>
            </w:r>
            <w:r>
              <w:rPr>
                <w:sz w:val="20"/>
              </w:rPr>
              <w:t>、達</w:t>
            </w:r>
            <w:r>
              <w:rPr>
                <w:rFonts w:ascii="Segoe UI" w:hAnsi="Segoe UI" w:eastAsia="Segoe UI"/>
                <w:sz w:val="20"/>
              </w:rPr>
              <w:t>○○</w:t>
            </w:r>
            <w:r>
              <w:rPr>
                <w:sz w:val="20"/>
              </w:rPr>
              <w:t>於廠內表面研</w:t>
            </w:r>
          </w:p>
          <w:p>
            <w:pPr>
              <w:pStyle w:val="TableParagraph"/>
              <w:spacing w:line="322" w:lineRule="exact"/>
              <w:ind w:left="106"/>
              <w:rPr>
                <w:sz w:val="20"/>
              </w:rPr>
            </w:pPr>
            <w:r>
              <w:rPr>
                <w:sz w:val="20"/>
              </w:rPr>
              <w:t>磨區從事研磨作業。</w:t>
            </w:r>
          </w:p>
        </w:tc>
        <w:tc>
          <w:tcPr>
            <w:tcW w:w="575" w:type="dxa"/>
          </w:tcPr>
          <w:p>
            <w:pPr>
              <w:pStyle w:val="TableParagraph"/>
              <w:spacing w:line="225" w:lineRule="auto" w:before="4"/>
              <w:ind w:right="254"/>
              <w:rPr>
                <w:sz w:val="20"/>
              </w:rPr>
            </w:pPr>
            <w:r>
              <w:rPr>
                <w:sz w:val="20"/>
              </w:rPr>
              <w:t>事實</w:t>
            </w:r>
          </w:p>
        </w:tc>
        <w:tc>
          <w:tcPr>
            <w:tcW w:w="837" w:type="dxa"/>
          </w:tcPr>
          <w:p>
            <w:pPr>
              <w:pStyle w:val="TableParagraph"/>
              <w:ind w:left="106"/>
              <w:rPr>
                <w:rFonts w:ascii="Segoe UI"/>
                <w:sz w:val="20"/>
              </w:rPr>
            </w:pPr>
            <w:r>
              <w:rPr>
                <w:rFonts w:ascii="Segoe UI"/>
                <w:w w:val="100"/>
                <w:sz w:val="20"/>
              </w:rPr>
              <w:t>P</w:t>
            </w:r>
          </w:p>
        </w:tc>
        <w:tc>
          <w:tcPr>
            <w:tcW w:w="1691" w:type="dxa"/>
          </w:tcPr>
          <w:p>
            <w:pPr>
              <w:pStyle w:val="TableParagraph"/>
              <w:ind w:left="106"/>
              <w:rPr>
                <w:rFonts w:ascii="Segoe UI"/>
                <w:sz w:val="20"/>
              </w:rPr>
            </w:pPr>
            <w:r>
              <w:rPr>
                <w:rFonts w:ascii="Segoe UI"/>
                <w:w w:val="100"/>
                <w:sz w:val="20"/>
              </w:rPr>
              <w:t>/</w:t>
            </w:r>
          </w:p>
        </w:tc>
        <w:tc>
          <w:tcPr>
            <w:tcW w:w="2067" w:type="dxa"/>
          </w:tcPr>
          <w:p>
            <w:pPr>
              <w:pStyle w:val="TableParagraph"/>
              <w:ind w:left="106"/>
              <w:rPr>
                <w:rFonts w:ascii="Segoe UI"/>
                <w:sz w:val="20"/>
              </w:rPr>
            </w:pPr>
            <w:r>
              <w:rPr>
                <w:rFonts w:ascii="Segoe UI"/>
                <w:w w:val="100"/>
                <w:sz w:val="20"/>
              </w:rPr>
              <w:t>/</w:t>
            </w:r>
          </w:p>
        </w:tc>
      </w:tr>
      <w:tr>
        <w:trPr>
          <w:trHeight w:val="1383" w:hRule="atLeast"/>
        </w:trPr>
        <w:tc>
          <w:tcPr>
            <w:tcW w:w="1529" w:type="dxa"/>
          </w:tcPr>
          <w:p>
            <w:pPr>
              <w:pStyle w:val="TableParagraph"/>
              <w:spacing w:line="356" w:lineRule="exact"/>
              <w:rPr>
                <w:sz w:val="20"/>
              </w:rPr>
            </w:pPr>
            <w:r>
              <w:rPr>
                <w:sz w:val="20"/>
              </w:rPr>
              <w:t>事故前</w:t>
            </w:r>
          </w:p>
        </w:tc>
        <w:tc>
          <w:tcPr>
            <w:tcW w:w="2125" w:type="dxa"/>
          </w:tcPr>
          <w:p>
            <w:pPr>
              <w:pStyle w:val="TableParagraph"/>
              <w:spacing w:line="225" w:lineRule="auto" w:before="4"/>
              <w:ind w:left="106" w:right="205"/>
              <w:jc w:val="both"/>
              <w:rPr>
                <w:sz w:val="20"/>
              </w:rPr>
            </w:pPr>
            <w:r>
              <w:rPr>
                <w:sz w:val="20"/>
              </w:rPr>
              <w:t>移動式袋式集塵機曾用於收集鋁合金研磨粉塵 </w:t>
            </w:r>
            <w:r>
              <w:rPr>
                <w:rFonts w:ascii="Segoe UI" w:eastAsia="Segoe UI"/>
                <w:sz w:val="20"/>
              </w:rPr>
              <w:t>(</w:t>
            </w:r>
            <w:r>
              <w:rPr>
                <w:sz w:val="20"/>
              </w:rPr>
              <w:t>假設</w:t>
            </w:r>
            <w:r>
              <w:rPr>
                <w:rFonts w:ascii="Segoe UI" w:eastAsia="Segoe UI"/>
                <w:sz w:val="20"/>
              </w:rPr>
              <w:t>)</w:t>
            </w:r>
            <w:r>
              <w:rPr>
                <w:sz w:val="20"/>
              </w:rPr>
              <w:t>。</w:t>
            </w:r>
          </w:p>
        </w:tc>
        <w:tc>
          <w:tcPr>
            <w:tcW w:w="575" w:type="dxa"/>
          </w:tcPr>
          <w:p>
            <w:pPr>
              <w:pStyle w:val="TableParagraph"/>
              <w:spacing w:line="225" w:lineRule="auto" w:before="4"/>
              <w:ind w:right="254"/>
              <w:rPr>
                <w:sz w:val="20"/>
              </w:rPr>
            </w:pPr>
            <w:r>
              <w:rPr>
                <w:sz w:val="20"/>
              </w:rPr>
              <w:t>假設</w:t>
            </w:r>
          </w:p>
        </w:tc>
        <w:tc>
          <w:tcPr>
            <w:tcW w:w="837" w:type="dxa"/>
          </w:tcPr>
          <w:p>
            <w:pPr>
              <w:pStyle w:val="TableParagraph"/>
              <w:spacing w:line="345" w:lineRule="exact"/>
              <w:ind w:left="106"/>
              <w:rPr>
                <w:sz w:val="20"/>
              </w:rPr>
            </w:pPr>
            <w:r>
              <w:rPr>
                <w:rFonts w:ascii="Segoe UI" w:eastAsia="Segoe UI"/>
                <w:sz w:val="20"/>
              </w:rPr>
              <w:t>C (</w:t>
            </w:r>
            <w:r>
              <w:rPr>
                <w:sz w:val="20"/>
              </w:rPr>
              <w:t>條</w:t>
            </w:r>
          </w:p>
          <w:p>
            <w:pPr>
              <w:pStyle w:val="TableParagraph"/>
              <w:spacing w:line="357" w:lineRule="exact"/>
              <w:ind w:left="106"/>
              <w:rPr>
                <w:rFonts w:ascii="Segoe UI" w:eastAsia="Segoe UI"/>
                <w:sz w:val="20"/>
              </w:rPr>
            </w:pPr>
            <w:r>
              <w:rPr>
                <w:sz w:val="20"/>
              </w:rPr>
              <w:t>件</w:t>
            </w:r>
            <w:r>
              <w:rPr>
                <w:rFonts w:ascii="Segoe UI" w:eastAsia="Segoe UI"/>
                <w:sz w:val="20"/>
              </w:rPr>
              <w:t>)</w:t>
            </w:r>
          </w:p>
        </w:tc>
        <w:tc>
          <w:tcPr>
            <w:tcW w:w="1691" w:type="dxa"/>
          </w:tcPr>
          <w:p>
            <w:pPr>
              <w:pStyle w:val="TableParagraph"/>
              <w:spacing w:line="225" w:lineRule="auto" w:before="4"/>
              <w:ind w:left="106" w:right="171"/>
              <w:rPr>
                <w:sz w:val="20"/>
              </w:rPr>
            </w:pPr>
            <w:r>
              <w:rPr>
                <w:spacing w:val="-3"/>
                <w:sz w:val="20"/>
              </w:rPr>
              <w:t>未依規定或未在</w:t>
            </w:r>
            <w:r>
              <w:rPr>
                <w:sz w:val="20"/>
              </w:rPr>
              <w:t>更換研磨材質 </w:t>
            </w:r>
            <w:r>
              <w:rPr>
                <w:spacing w:val="-3"/>
                <w:sz w:val="20"/>
              </w:rPr>
              <w:t>前，徹底清理集</w:t>
            </w:r>
          </w:p>
          <w:p>
            <w:pPr>
              <w:pStyle w:val="TableParagraph"/>
              <w:spacing w:line="322" w:lineRule="exact"/>
              <w:ind w:left="106"/>
              <w:rPr>
                <w:sz w:val="20"/>
              </w:rPr>
            </w:pPr>
            <w:r>
              <w:rPr>
                <w:sz w:val="20"/>
              </w:rPr>
              <w:t>塵設備。</w:t>
            </w:r>
          </w:p>
        </w:tc>
        <w:tc>
          <w:tcPr>
            <w:tcW w:w="2067" w:type="dxa"/>
          </w:tcPr>
          <w:p>
            <w:pPr>
              <w:pStyle w:val="TableParagraph"/>
              <w:spacing w:line="225" w:lineRule="auto" w:before="4"/>
              <w:ind w:left="106" w:right="147"/>
              <w:rPr>
                <w:sz w:val="20"/>
              </w:rPr>
            </w:pPr>
            <w:r>
              <w:rPr>
                <w:sz w:val="20"/>
              </w:rPr>
              <w:t>缺乏標準作業程序或清理管理制度不足</w:t>
            </w:r>
          </w:p>
          <w:p>
            <w:pPr>
              <w:pStyle w:val="TableParagraph"/>
              <w:spacing w:line="353" w:lineRule="exact"/>
              <w:ind w:left="106"/>
              <w:rPr>
                <w:sz w:val="20"/>
              </w:rPr>
            </w:pPr>
            <w:r>
              <w:rPr>
                <w:rFonts w:ascii="Segoe UI" w:eastAsia="Segoe UI"/>
                <w:sz w:val="20"/>
              </w:rPr>
              <w:t>(</w:t>
            </w:r>
            <w:r>
              <w:rPr>
                <w:sz w:val="20"/>
              </w:rPr>
              <w:t>假設</w:t>
            </w:r>
            <w:r>
              <w:rPr>
                <w:rFonts w:ascii="Segoe UI" w:eastAsia="Segoe UI"/>
                <w:sz w:val="20"/>
              </w:rPr>
              <w:t>)</w:t>
            </w:r>
            <w:r>
              <w:rPr>
                <w:sz w:val="20"/>
              </w:rPr>
              <w:t>。</w:t>
            </w:r>
          </w:p>
        </w:tc>
      </w:tr>
      <w:tr>
        <w:trPr>
          <w:trHeight w:val="1037" w:hRule="atLeast"/>
        </w:trPr>
        <w:tc>
          <w:tcPr>
            <w:tcW w:w="1529" w:type="dxa"/>
          </w:tcPr>
          <w:p>
            <w:pPr>
              <w:pStyle w:val="TableParagraph"/>
              <w:spacing w:line="357" w:lineRule="exact"/>
              <w:rPr>
                <w:sz w:val="20"/>
              </w:rPr>
            </w:pPr>
            <w:r>
              <w:rPr>
                <w:rFonts w:ascii="Segoe UI" w:eastAsia="Segoe UI"/>
                <w:sz w:val="20"/>
              </w:rPr>
              <w:t>9 </w:t>
            </w:r>
            <w:r>
              <w:rPr>
                <w:sz w:val="20"/>
              </w:rPr>
              <w:t>時許</w:t>
            </w:r>
          </w:p>
        </w:tc>
        <w:tc>
          <w:tcPr>
            <w:tcW w:w="2125" w:type="dxa"/>
          </w:tcPr>
          <w:p>
            <w:pPr>
              <w:pStyle w:val="TableParagraph"/>
              <w:spacing w:line="225" w:lineRule="auto" w:before="5"/>
              <w:ind w:left="106" w:right="115" w:hanging="1"/>
              <w:rPr>
                <w:sz w:val="20"/>
              </w:rPr>
            </w:pPr>
            <w:r>
              <w:rPr>
                <w:sz w:val="20"/>
              </w:rPr>
              <w:t>阮</w:t>
            </w:r>
            <w:r>
              <w:rPr>
                <w:rFonts w:ascii="Segoe UI" w:hAnsi="Segoe UI" w:eastAsia="Segoe UI"/>
                <w:sz w:val="20"/>
              </w:rPr>
              <w:t>○○</w:t>
            </w:r>
            <w:r>
              <w:rPr>
                <w:sz w:val="20"/>
              </w:rPr>
              <w:t>與達</w:t>
            </w:r>
            <w:r>
              <w:rPr>
                <w:rFonts w:ascii="Segoe UI" w:hAnsi="Segoe UI" w:eastAsia="Segoe UI"/>
                <w:sz w:val="20"/>
              </w:rPr>
              <w:t>○○</w:t>
            </w:r>
            <w:r>
              <w:rPr>
                <w:sz w:val="20"/>
              </w:rPr>
              <w:t>分別操作研磨機研磨鐵質坐</w:t>
            </w:r>
          </w:p>
          <w:p>
            <w:pPr>
              <w:pStyle w:val="TableParagraph"/>
              <w:spacing w:line="321" w:lineRule="exact"/>
              <w:ind w:left="106"/>
              <w:rPr>
                <w:sz w:val="20"/>
              </w:rPr>
            </w:pPr>
            <w:r>
              <w:rPr>
                <w:sz w:val="20"/>
              </w:rPr>
              <w:t>管。</w:t>
            </w:r>
          </w:p>
        </w:tc>
        <w:tc>
          <w:tcPr>
            <w:tcW w:w="575" w:type="dxa"/>
          </w:tcPr>
          <w:p>
            <w:pPr>
              <w:pStyle w:val="TableParagraph"/>
              <w:spacing w:line="225" w:lineRule="auto" w:before="5"/>
              <w:ind w:right="254"/>
              <w:rPr>
                <w:sz w:val="20"/>
              </w:rPr>
            </w:pPr>
            <w:r>
              <w:rPr>
                <w:sz w:val="20"/>
              </w:rPr>
              <w:t>事實</w:t>
            </w:r>
          </w:p>
        </w:tc>
        <w:tc>
          <w:tcPr>
            <w:tcW w:w="837" w:type="dxa"/>
          </w:tcPr>
          <w:p>
            <w:pPr>
              <w:pStyle w:val="TableParagraph"/>
              <w:ind w:left="106"/>
              <w:rPr>
                <w:rFonts w:ascii="Segoe UI"/>
                <w:sz w:val="20"/>
              </w:rPr>
            </w:pPr>
            <w:r>
              <w:rPr>
                <w:rFonts w:ascii="Segoe UI"/>
                <w:w w:val="100"/>
                <w:sz w:val="20"/>
              </w:rPr>
              <w:t>P</w:t>
            </w:r>
          </w:p>
        </w:tc>
        <w:tc>
          <w:tcPr>
            <w:tcW w:w="1691" w:type="dxa"/>
          </w:tcPr>
          <w:p>
            <w:pPr>
              <w:pStyle w:val="TableParagraph"/>
              <w:spacing w:line="225" w:lineRule="auto" w:before="5"/>
              <w:ind w:left="106" w:right="171"/>
              <w:rPr>
                <w:sz w:val="20"/>
              </w:rPr>
            </w:pPr>
            <w:r>
              <w:rPr>
                <w:sz w:val="20"/>
              </w:rPr>
              <w:t>研磨鐵件產生高溫火花。</w:t>
            </w:r>
          </w:p>
        </w:tc>
        <w:tc>
          <w:tcPr>
            <w:tcW w:w="2067" w:type="dxa"/>
          </w:tcPr>
          <w:p>
            <w:pPr>
              <w:pStyle w:val="TableParagraph"/>
              <w:spacing w:line="225" w:lineRule="auto" w:before="5"/>
              <w:ind w:left="106" w:right="147"/>
              <w:rPr>
                <w:sz w:val="20"/>
              </w:rPr>
            </w:pPr>
            <w:r>
              <w:rPr>
                <w:sz w:val="20"/>
              </w:rPr>
              <w:t>未評估火花作為點火源的風險 </w:t>
            </w:r>
            <w:r>
              <w:rPr>
                <w:rFonts w:ascii="Segoe UI" w:eastAsia="Segoe UI"/>
                <w:sz w:val="20"/>
              </w:rPr>
              <w:t>(</w:t>
            </w:r>
            <w:r>
              <w:rPr>
                <w:sz w:val="20"/>
              </w:rPr>
              <w:t>假設</w:t>
            </w:r>
            <w:r>
              <w:rPr>
                <w:rFonts w:ascii="Segoe UI" w:eastAsia="Segoe UI"/>
                <w:sz w:val="20"/>
              </w:rPr>
              <w:t>)</w:t>
            </w:r>
            <w:r>
              <w:rPr>
                <w:sz w:val="20"/>
              </w:rPr>
              <w:t>。</w:t>
            </w:r>
          </w:p>
        </w:tc>
      </w:tr>
      <w:tr>
        <w:trPr>
          <w:trHeight w:val="1037" w:hRule="atLeast"/>
        </w:trPr>
        <w:tc>
          <w:tcPr>
            <w:tcW w:w="1529" w:type="dxa"/>
          </w:tcPr>
          <w:p>
            <w:pPr>
              <w:pStyle w:val="TableParagraph"/>
              <w:spacing w:line="357" w:lineRule="exact"/>
              <w:rPr>
                <w:sz w:val="20"/>
              </w:rPr>
            </w:pPr>
            <w:r>
              <w:rPr>
                <w:rFonts w:ascii="Segoe UI" w:eastAsia="Segoe UI"/>
                <w:sz w:val="20"/>
              </w:rPr>
              <w:t>9 </w:t>
            </w:r>
            <w:r>
              <w:rPr>
                <w:sz w:val="20"/>
              </w:rPr>
              <w:t>時許</w:t>
            </w:r>
          </w:p>
        </w:tc>
        <w:tc>
          <w:tcPr>
            <w:tcW w:w="2125" w:type="dxa"/>
          </w:tcPr>
          <w:p>
            <w:pPr>
              <w:pStyle w:val="TableParagraph"/>
              <w:spacing w:line="225" w:lineRule="auto" w:before="5"/>
              <w:ind w:left="106" w:right="205"/>
              <w:rPr>
                <w:sz w:val="20"/>
              </w:rPr>
            </w:pPr>
            <w:r>
              <w:rPr>
                <w:sz w:val="20"/>
              </w:rPr>
              <w:t>研磨產生的火花與粉塵被吸入移動式袋式</w:t>
            </w:r>
          </w:p>
          <w:p>
            <w:pPr>
              <w:pStyle w:val="TableParagraph"/>
              <w:spacing w:line="321" w:lineRule="exact"/>
              <w:ind w:left="106"/>
              <w:rPr>
                <w:sz w:val="20"/>
              </w:rPr>
            </w:pPr>
            <w:r>
              <w:rPr>
                <w:sz w:val="20"/>
              </w:rPr>
              <w:t>集塵機。</w:t>
            </w:r>
          </w:p>
        </w:tc>
        <w:tc>
          <w:tcPr>
            <w:tcW w:w="575" w:type="dxa"/>
          </w:tcPr>
          <w:p>
            <w:pPr>
              <w:pStyle w:val="TableParagraph"/>
              <w:spacing w:line="225" w:lineRule="auto" w:before="5"/>
              <w:ind w:right="254"/>
              <w:rPr>
                <w:sz w:val="20"/>
              </w:rPr>
            </w:pPr>
            <w:r>
              <w:rPr>
                <w:sz w:val="20"/>
              </w:rPr>
              <w:t>推論</w:t>
            </w:r>
          </w:p>
        </w:tc>
        <w:tc>
          <w:tcPr>
            <w:tcW w:w="837" w:type="dxa"/>
          </w:tcPr>
          <w:p>
            <w:pPr>
              <w:pStyle w:val="TableParagraph"/>
              <w:ind w:left="106"/>
              <w:rPr>
                <w:rFonts w:ascii="Segoe UI"/>
                <w:sz w:val="20"/>
              </w:rPr>
            </w:pPr>
            <w:r>
              <w:rPr>
                <w:rFonts w:ascii="Segoe UI"/>
                <w:w w:val="100"/>
                <w:sz w:val="20"/>
              </w:rPr>
              <w:t>P</w:t>
            </w:r>
          </w:p>
        </w:tc>
        <w:tc>
          <w:tcPr>
            <w:tcW w:w="1691" w:type="dxa"/>
          </w:tcPr>
          <w:p>
            <w:pPr>
              <w:pStyle w:val="TableParagraph"/>
              <w:spacing w:line="225" w:lineRule="auto" w:before="5"/>
              <w:ind w:left="106" w:right="171"/>
              <w:rPr>
                <w:sz w:val="20"/>
              </w:rPr>
            </w:pPr>
            <w:r>
              <w:rPr>
                <w:sz w:val="20"/>
              </w:rPr>
              <w:t>集塵機未安裝火花消除裝置 </w:t>
            </w:r>
            <w:r>
              <w:rPr>
                <w:rFonts w:ascii="Segoe UI" w:eastAsia="Segoe UI"/>
                <w:sz w:val="20"/>
              </w:rPr>
              <w:t>(</w:t>
            </w:r>
            <w:r>
              <w:rPr>
                <w:sz w:val="20"/>
              </w:rPr>
              <w:t>假</w:t>
            </w:r>
          </w:p>
          <w:p>
            <w:pPr>
              <w:pStyle w:val="TableParagraph"/>
              <w:spacing w:line="321" w:lineRule="exact"/>
              <w:ind w:left="106"/>
              <w:rPr>
                <w:sz w:val="20"/>
              </w:rPr>
            </w:pPr>
            <w:r>
              <w:rPr>
                <w:sz w:val="20"/>
              </w:rPr>
              <w:t>設</w:t>
            </w:r>
            <w:r>
              <w:rPr>
                <w:rFonts w:ascii="Segoe UI" w:eastAsia="Segoe UI"/>
                <w:sz w:val="20"/>
              </w:rPr>
              <w:t>)</w:t>
            </w:r>
            <w:r>
              <w:rPr>
                <w:sz w:val="20"/>
              </w:rPr>
              <w:t>。</w:t>
            </w:r>
          </w:p>
        </w:tc>
        <w:tc>
          <w:tcPr>
            <w:tcW w:w="2067" w:type="dxa"/>
          </w:tcPr>
          <w:p>
            <w:pPr>
              <w:pStyle w:val="TableParagraph"/>
              <w:spacing w:line="225" w:lineRule="auto" w:before="5"/>
              <w:ind w:left="106" w:right="147"/>
              <w:rPr>
                <w:sz w:val="20"/>
              </w:rPr>
            </w:pPr>
            <w:r>
              <w:rPr>
                <w:sz w:val="20"/>
              </w:rPr>
              <w:t>設備安全設計不足， 未考慮火源引入風</w:t>
            </w:r>
          </w:p>
          <w:p>
            <w:pPr>
              <w:pStyle w:val="TableParagraph"/>
              <w:spacing w:line="321" w:lineRule="exact"/>
              <w:ind w:left="106"/>
              <w:rPr>
                <w:sz w:val="20"/>
              </w:rPr>
            </w:pPr>
            <w:r>
              <w:rPr>
                <w:sz w:val="20"/>
              </w:rPr>
              <w:t>險。</w:t>
            </w:r>
          </w:p>
        </w:tc>
      </w:tr>
      <w:tr>
        <w:trPr>
          <w:trHeight w:val="2075" w:hRule="atLeast"/>
        </w:trPr>
        <w:tc>
          <w:tcPr>
            <w:tcW w:w="1529" w:type="dxa"/>
          </w:tcPr>
          <w:p>
            <w:pPr>
              <w:pStyle w:val="TableParagraph"/>
              <w:spacing w:line="357" w:lineRule="exact"/>
              <w:rPr>
                <w:sz w:val="20"/>
              </w:rPr>
            </w:pPr>
            <w:r>
              <w:rPr>
                <w:rFonts w:ascii="Segoe UI" w:eastAsia="Segoe UI"/>
                <w:sz w:val="20"/>
              </w:rPr>
              <w:t>9 </w:t>
            </w:r>
            <w:r>
              <w:rPr>
                <w:sz w:val="20"/>
              </w:rPr>
              <w:t>時許</w:t>
            </w:r>
          </w:p>
        </w:tc>
        <w:tc>
          <w:tcPr>
            <w:tcW w:w="2125" w:type="dxa"/>
          </w:tcPr>
          <w:p>
            <w:pPr>
              <w:pStyle w:val="TableParagraph"/>
              <w:spacing w:line="225" w:lineRule="auto" w:before="5"/>
              <w:ind w:left="106" w:right="205"/>
              <w:rPr>
                <w:sz w:val="20"/>
              </w:rPr>
            </w:pPr>
            <w:r>
              <w:rPr>
                <w:sz w:val="20"/>
              </w:rPr>
              <w:t>集塵機之集塵袋發生鋁合金粉塵爆炸。</w:t>
            </w:r>
          </w:p>
        </w:tc>
        <w:tc>
          <w:tcPr>
            <w:tcW w:w="575" w:type="dxa"/>
          </w:tcPr>
          <w:p>
            <w:pPr>
              <w:pStyle w:val="TableParagraph"/>
              <w:spacing w:line="225" w:lineRule="auto" w:before="5"/>
              <w:ind w:right="254"/>
              <w:rPr>
                <w:sz w:val="20"/>
              </w:rPr>
            </w:pPr>
            <w:r>
              <w:rPr>
                <w:sz w:val="20"/>
              </w:rPr>
              <w:t>事實</w:t>
            </w:r>
          </w:p>
        </w:tc>
        <w:tc>
          <w:tcPr>
            <w:tcW w:w="837" w:type="dxa"/>
          </w:tcPr>
          <w:p>
            <w:pPr>
              <w:pStyle w:val="TableParagraph"/>
              <w:ind w:left="106"/>
              <w:rPr>
                <w:rFonts w:ascii="Segoe UI"/>
                <w:sz w:val="20"/>
              </w:rPr>
            </w:pPr>
            <w:r>
              <w:rPr>
                <w:rFonts w:ascii="Segoe UI"/>
                <w:w w:val="100"/>
                <w:sz w:val="20"/>
              </w:rPr>
              <w:t>P</w:t>
            </w:r>
          </w:p>
        </w:tc>
        <w:tc>
          <w:tcPr>
            <w:tcW w:w="1691" w:type="dxa"/>
          </w:tcPr>
          <w:p>
            <w:pPr>
              <w:pStyle w:val="TableParagraph"/>
              <w:numPr>
                <w:ilvl w:val="0"/>
                <w:numId w:val="3"/>
              </w:numPr>
              <w:tabs>
                <w:tab w:pos="359" w:val="left" w:leader="none"/>
              </w:tabs>
              <w:spacing w:line="225" w:lineRule="auto" w:before="5" w:after="0"/>
              <w:ind w:left="107" w:right="120" w:firstLine="0"/>
              <w:jc w:val="both"/>
              <w:rPr>
                <w:sz w:val="20"/>
              </w:rPr>
            </w:pPr>
            <w:r>
              <w:rPr>
                <w:spacing w:val="-3"/>
                <w:sz w:val="20"/>
              </w:rPr>
              <w:t>點火源：研磨</w:t>
            </w:r>
            <w:r>
              <w:rPr>
                <w:sz w:val="20"/>
              </w:rPr>
              <w:t>鐵件的火花。</w:t>
            </w:r>
          </w:p>
          <w:p>
            <w:pPr>
              <w:pStyle w:val="TableParagraph"/>
              <w:numPr>
                <w:ilvl w:val="0"/>
                <w:numId w:val="3"/>
              </w:numPr>
              <w:tabs>
                <w:tab w:pos="359" w:val="left" w:leader="none"/>
              </w:tabs>
              <w:spacing w:line="225" w:lineRule="auto" w:before="0" w:after="0"/>
              <w:ind w:left="107" w:right="120" w:firstLine="0"/>
              <w:jc w:val="both"/>
              <w:rPr>
                <w:sz w:val="20"/>
              </w:rPr>
            </w:pPr>
            <w:r>
              <w:rPr>
                <w:spacing w:val="-3"/>
                <w:sz w:val="20"/>
              </w:rPr>
              <w:t>燃料：集塵袋</w:t>
            </w:r>
            <w:r>
              <w:rPr>
                <w:sz w:val="20"/>
              </w:rPr>
              <w:t>內殘留的鋁合金粉末。</w:t>
            </w:r>
          </w:p>
          <w:p>
            <w:pPr>
              <w:pStyle w:val="TableParagraph"/>
              <w:numPr>
                <w:ilvl w:val="0"/>
                <w:numId w:val="3"/>
              </w:numPr>
              <w:tabs>
                <w:tab w:pos="359" w:val="left" w:leader="none"/>
              </w:tabs>
              <w:spacing w:line="322" w:lineRule="exact" w:before="0" w:after="0"/>
              <w:ind w:left="359" w:right="0" w:hanging="252"/>
              <w:jc w:val="both"/>
              <w:rPr>
                <w:sz w:val="20"/>
              </w:rPr>
            </w:pPr>
            <w:r>
              <w:rPr>
                <w:sz w:val="20"/>
              </w:rPr>
              <w:t>氧氣：空氣。</w:t>
            </w:r>
          </w:p>
        </w:tc>
        <w:tc>
          <w:tcPr>
            <w:tcW w:w="2067" w:type="dxa"/>
          </w:tcPr>
          <w:p>
            <w:pPr>
              <w:pStyle w:val="TableParagraph"/>
              <w:spacing w:line="225" w:lineRule="auto" w:before="5"/>
              <w:ind w:left="106" w:right="146"/>
              <w:rPr>
                <w:sz w:val="20"/>
              </w:rPr>
            </w:pPr>
            <w:r>
              <w:rPr>
                <w:sz w:val="20"/>
              </w:rPr>
              <w:t>未將不同性質（可燃性</w:t>
            </w:r>
            <w:r>
              <w:rPr>
                <w:rFonts w:ascii="Segoe UI" w:eastAsia="Segoe UI"/>
                <w:sz w:val="20"/>
              </w:rPr>
              <w:t>/</w:t>
            </w:r>
            <w:r>
              <w:rPr>
                <w:sz w:val="20"/>
              </w:rPr>
              <w:t>會產生火花）的研磨作業分開或進行有效管理。</w:t>
            </w:r>
          </w:p>
        </w:tc>
      </w:tr>
      <w:tr>
        <w:trPr>
          <w:trHeight w:val="691" w:hRule="atLeast"/>
        </w:trPr>
        <w:tc>
          <w:tcPr>
            <w:tcW w:w="1529" w:type="dxa"/>
          </w:tcPr>
          <w:p>
            <w:pPr>
              <w:pStyle w:val="TableParagraph"/>
              <w:spacing w:line="357" w:lineRule="exact"/>
              <w:rPr>
                <w:sz w:val="20"/>
              </w:rPr>
            </w:pPr>
            <w:r>
              <w:rPr>
                <w:rFonts w:ascii="Segoe UI" w:eastAsia="Segoe UI"/>
                <w:sz w:val="20"/>
              </w:rPr>
              <w:t>9 </w:t>
            </w:r>
            <w:r>
              <w:rPr>
                <w:sz w:val="20"/>
              </w:rPr>
              <w:t>時許</w:t>
            </w:r>
          </w:p>
        </w:tc>
        <w:tc>
          <w:tcPr>
            <w:tcW w:w="2125" w:type="dxa"/>
          </w:tcPr>
          <w:p>
            <w:pPr>
              <w:pStyle w:val="TableParagraph"/>
              <w:spacing w:line="346" w:lineRule="exact"/>
              <w:ind w:left="106"/>
              <w:rPr>
                <w:sz w:val="20"/>
              </w:rPr>
            </w:pPr>
            <w:r>
              <w:rPr>
                <w:sz w:val="20"/>
              </w:rPr>
              <w:t>爆炸後立即引起火</w:t>
            </w:r>
          </w:p>
          <w:p>
            <w:pPr>
              <w:pStyle w:val="TableParagraph"/>
              <w:spacing w:line="326" w:lineRule="exact"/>
              <w:ind w:left="106"/>
              <w:rPr>
                <w:sz w:val="20"/>
              </w:rPr>
            </w:pPr>
            <w:r>
              <w:rPr>
                <w:sz w:val="20"/>
              </w:rPr>
              <w:t>災。</w:t>
            </w:r>
          </w:p>
        </w:tc>
        <w:tc>
          <w:tcPr>
            <w:tcW w:w="575" w:type="dxa"/>
          </w:tcPr>
          <w:p>
            <w:pPr>
              <w:pStyle w:val="TableParagraph"/>
              <w:spacing w:line="346" w:lineRule="exact"/>
              <w:rPr>
                <w:sz w:val="20"/>
              </w:rPr>
            </w:pPr>
            <w:r>
              <w:rPr>
                <w:w w:val="100"/>
                <w:sz w:val="20"/>
              </w:rPr>
              <w:t>事</w:t>
            </w:r>
          </w:p>
          <w:p>
            <w:pPr>
              <w:pStyle w:val="TableParagraph"/>
              <w:spacing w:line="326" w:lineRule="exact"/>
              <w:rPr>
                <w:sz w:val="20"/>
              </w:rPr>
            </w:pPr>
            <w:r>
              <w:rPr>
                <w:w w:val="100"/>
                <w:sz w:val="20"/>
              </w:rPr>
              <w:t>實</w:t>
            </w:r>
          </w:p>
        </w:tc>
        <w:tc>
          <w:tcPr>
            <w:tcW w:w="837" w:type="dxa"/>
          </w:tcPr>
          <w:p>
            <w:pPr>
              <w:pStyle w:val="TableParagraph"/>
              <w:ind w:left="106"/>
              <w:rPr>
                <w:rFonts w:ascii="Segoe UI"/>
                <w:sz w:val="20"/>
              </w:rPr>
            </w:pPr>
            <w:r>
              <w:rPr>
                <w:rFonts w:ascii="Segoe UI"/>
                <w:w w:val="100"/>
                <w:sz w:val="20"/>
              </w:rPr>
              <w:t>P</w:t>
            </w:r>
          </w:p>
        </w:tc>
        <w:tc>
          <w:tcPr>
            <w:tcW w:w="1691" w:type="dxa"/>
          </w:tcPr>
          <w:p>
            <w:pPr>
              <w:pStyle w:val="TableParagraph"/>
              <w:spacing w:line="346" w:lineRule="exact"/>
              <w:ind w:left="106"/>
              <w:rPr>
                <w:sz w:val="20"/>
              </w:rPr>
            </w:pPr>
            <w:r>
              <w:rPr>
                <w:spacing w:val="-1"/>
                <w:sz w:val="20"/>
              </w:rPr>
              <w:t>集塵袋等周邊物</w:t>
            </w:r>
          </w:p>
          <w:p>
            <w:pPr>
              <w:pStyle w:val="TableParagraph"/>
              <w:spacing w:line="326" w:lineRule="exact"/>
              <w:ind w:left="106"/>
              <w:rPr>
                <w:sz w:val="20"/>
              </w:rPr>
            </w:pPr>
            <w:r>
              <w:rPr>
                <w:spacing w:val="-1"/>
                <w:sz w:val="20"/>
              </w:rPr>
              <w:t>品為可燃材質。</w:t>
            </w:r>
          </w:p>
        </w:tc>
        <w:tc>
          <w:tcPr>
            <w:tcW w:w="2067" w:type="dxa"/>
          </w:tcPr>
          <w:p>
            <w:pPr>
              <w:pStyle w:val="TableParagraph"/>
              <w:ind w:left="106"/>
              <w:rPr>
                <w:rFonts w:ascii="Segoe UI"/>
                <w:sz w:val="20"/>
              </w:rPr>
            </w:pPr>
            <w:r>
              <w:rPr>
                <w:rFonts w:ascii="Segoe UI"/>
                <w:w w:val="100"/>
                <w:sz w:val="20"/>
              </w:rPr>
              <w:t>/</w:t>
            </w:r>
          </w:p>
        </w:tc>
      </w:tr>
      <w:tr>
        <w:trPr>
          <w:trHeight w:val="1384" w:hRule="atLeast"/>
        </w:trPr>
        <w:tc>
          <w:tcPr>
            <w:tcW w:w="1529" w:type="dxa"/>
          </w:tcPr>
          <w:p>
            <w:pPr>
              <w:pStyle w:val="TableParagraph"/>
              <w:spacing w:line="356" w:lineRule="exact"/>
              <w:rPr>
                <w:sz w:val="20"/>
              </w:rPr>
            </w:pPr>
            <w:r>
              <w:rPr>
                <w:sz w:val="20"/>
              </w:rPr>
              <w:t>事故後</w:t>
            </w:r>
          </w:p>
        </w:tc>
        <w:tc>
          <w:tcPr>
            <w:tcW w:w="2125" w:type="dxa"/>
          </w:tcPr>
          <w:p>
            <w:pPr>
              <w:pStyle w:val="TableParagraph"/>
              <w:spacing w:line="225" w:lineRule="auto" w:before="4"/>
              <w:ind w:left="106" w:right="116" w:hanging="1"/>
              <w:rPr>
                <w:sz w:val="20"/>
              </w:rPr>
            </w:pPr>
            <w:r>
              <w:rPr>
                <w:sz w:val="20"/>
              </w:rPr>
              <w:t>造成阮</w:t>
            </w:r>
            <w:r>
              <w:rPr>
                <w:rFonts w:ascii="Segoe UI" w:hAnsi="Segoe UI" w:eastAsia="Segoe UI"/>
                <w:sz w:val="20"/>
              </w:rPr>
              <w:t>○○</w:t>
            </w:r>
            <w:r>
              <w:rPr>
                <w:sz w:val="20"/>
              </w:rPr>
              <w:t>、達</w:t>
            </w:r>
            <w:r>
              <w:rPr>
                <w:rFonts w:ascii="Segoe UI" w:hAnsi="Segoe UI" w:eastAsia="Segoe UI"/>
                <w:sz w:val="20"/>
              </w:rPr>
              <w:t>○○</w:t>
            </w:r>
            <w:r>
              <w:rPr>
                <w:sz w:val="20"/>
              </w:rPr>
              <w:t>及王</w:t>
            </w:r>
            <w:r>
              <w:rPr>
                <w:rFonts w:ascii="Segoe UI" w:hAnsi="Segoe UI" w:eastAsia="Segoe UI"/>
                <w:sz w:val="20"/>
              </w:rPr>
              <w:t>○○</w:t>
            </w:r>
            <w:r>
              <w:rPr>
                <w:sz w:val="20"/>
              </w:rPr>
              <w:t>等 </w:t>
            </w:r>
            <w:r>
              <w:rPr>
                <w:rFonts w:ascii="Segoe UI" w:hAnsi="Segoe UI" w:eastAsia="Segoe UI"/>
                <w:sz w:val="20"/>
              </w:rPr>
              <w:t>3 </w:t>
            </w:r>
            <w:r>
              <w:rPr>
                <w:sz w:val="20"/>
              </w:rPr>
              <w:t>人燒灼</w:t>
            </w:r>
          </w:p>
          <w:p>
            <w:pPr>
              <w:pStyle w:val="TableParagraph"/>
              <w:spacing w:line="342" w:lineRule="exact"/>
              <w:ind w:left="106"/>
              <w:rPr>
                <w:sz w:val="20"/>
              </w:rPr>
            </w:pPr>
            <w:r>
              <w:rPr>
                <w:sz w:val="20"/>
              </w:rPr>
              <w:t>傷，阮</w:t>
            </w:r>
            <w:r>
              <w:rPr>
                <w:rFonts w:ascii="Segoe UI" w:hAnsi="Segoe UI" w:eastAsia="Segoe UI"/>
                <w:sz w:val="20"/>
              </w:rPr>
              <w:t>○○</w:t>
            </w:r>
            <w:r>
              <w:rPr>
                <w:sz w:val="20"/>
              </w:rPr>
              <w:t>最終因傷</w:t>
            </w:r>
          </w:p>
          <w:p>
            <w:pPr>
              <w:pStyle w:val="TableParagraph"/>
              <w:spacing w:line="327" w:lineRule="exact"/>
              <w:ind w:left="106"/>
              <w:rPr>
                <w:sz w:val="20"/>
              </w:rPr>
            </w:pPr>
            <w:r>
              <w:rPr>
                <w:sz w:val="20"/>
              </w:rPr>
              <w:t>重不治死亡。</w:t>
            </w:r>
          </w:p>
        </w:tc>
        <w:tc>
          <w:tcPr>
            <w:tcW w:w="575" w:type="dxa"/>
          </w:tcPr>
          <w:p>
            <w:pPr>
              <w:pStyle w:val="TableParagraph"/>
              <w:spacing w:line="225" w:lineRule="auto" w:before="4"/>
              <w:ind w:left="108" w:right="254"/>
              <w:rPr>
                <w:sz w:val="20"/>
              </w:rPr>
            </w:pPr>
            <w:r>
              <w:rPr>
                <w:sz w:val="20"/>
              </w:rPr>
              <w:t>事實</w:t>
            </w:r>
          </w:p>
        </w:tc>
        <w:tc>
          <w:tcPr>
            <w:tcW w:w="837" w:type="dxa"/>
          </w:tcPr>
          <w:p>
            <w:pPr>
              <w:pStyle w:val="TableParagraph"/>
              <w:ind w:left="106"/>
              <w:rPr>
                <w:rFonts w:ascii="Segoe UI"/>
                <w:sz w:val="20"/>
              </w:rPr>
            </w:pPr>
            <w:r>
              <w:rPr>
                <w:rFonts w:ascii="Segoe UI"/>
                <w:w w:val="100"/>
                <w:sz w:val="20"/>
              </w:rPr>
              <w:t>P</w:t>
            </w:r>
          </w:p>
        </w:tc>
        <w:tc>
          <w:tcPr>
            <w:tcW w:w="1691" w:type="dxa"/>
          </w:tcPr>
          <w:p>
            <w:pPr>
              <w:pStyle w:val="TableParagraph"/>
              <w:spacing w:line="225" w:lineRule="auto" w:before="4"/>
              <w:ind w:left="106" w:right="171"/>
              <w:jc w:val="both"/>
              <w:rPr>
                <w:sz w:val="20"/>
              </w:rPr>
            </w:pPr>
            <w:r>
              <w:rPr>
                <w:sz w:val="20"/>
              </w:rPr>
              <w:t>爆炸威力強大， 人員位於爆炸範圍內。</w:t>
            </w:r>
          </w:p>
        </w:tc>
        <w:tc>
          <w:tcPr>
            <w:tcW w:w="2067" w:type="dxa"/>
          </w:tcPr>
          <w:p>
            <w:pPr>
              <w:pStyle w:val="TableParagraph"/>
              <w:spacing w:line="225" w:lineRule="auto" w:before="4"/>
              <w:ind w:left="106" w:right="147"/>
              <w:rPr>
                <w:sz w:val="20"/>
              </w:rPr>
            </w:pPr>
            <w:r>
              <w:rPr>
                <w:sz w:val="20"/>
              </w:rPr>
              <w:t>人員位置鄰近爆炸的集塵機 。</w:t>
            </w:r>
          </w:p>
        </w:tc>
      </w:tr>
    </w:tbl>
    <w:p>
      <w:pPr>
        <w:pStyle w:val="BodyText"/>
        <w:spacing w:before="14"/>
        <w:rPr>
          <w:sz w:val="14"/>
        </w:rPr>
      </w:pPr>
      <w:r>
        <w:rPr/>
        <w:pict>
          <v:line style="position:absolute;mso-position-horizontal-relative:page;mso-position-vertical-relative:paragraph;z-index:-928;mso-wrap-distance-left:0;mso-wrap-distance-right:0" from="88.5pt,15.96pt" to="533.1pt,15.96pt" stroked="true" strokeweight=".72pt" strokecolor="#000000">
            <v:stroke dashstyle="solid"/>
            <w10:wrap type="topAndBottom"/>
          </v:line>
        </w:pict>
      </w:r>
    </w:p>
    <w:p>
      <w:pPr>
        <w:pStyle w:val="BodyText"/>
        <w:spacing w:before="9"/>
        <w:rPr>
          <w:sz w:val="11"/>
        </w:rPr>
      </w:pPr>
    </w:p>
    <w:p>
      <w:pPr>
        <w:pStyle w:val="Heading1"/>
        <w:numPr>
          <w:ilvl w:val="0"/>
          <w:numId w:val="2"/>
        </w:numPr>
        <w:tabs>
          <w:tab w:pos="859" w:val="left" w:leader="none"/>
          <w:tab w:pos="860" w:val="left" w:leader="none"/>
        </w:tabs>
        <w:spacing w:line="428" w:lineRule="exact" w:before="39" w:after="0"/>
        <w:ind w:left="860" w:right="0" w:hanging="360"/>
        <w:jc w:val="left"/>
        <w:rPr>
          <w:rFonts w:ascii="Calibri" w:hAnsi="Calibri" w:eastAsia="Calibri"/>
        </w:rPr>
      </w:pPr>
      <w:r>
        <w:rPr>
          <w:spacing w:val="9"/>
        </w:rPr>
        <w:t>為何樹分析 </w:t>
      </w:r>
      <w:r>
        <w:rPr>
          <w:rFonts w:ascii="Calibri" w:hAnsi="Calibri" w:eastAsia="Calibri"/>
        </w:rPr>
        <w:t>(Why Tree)</w:t>
      </w:r>
    </w:p>
    <w:p>
      <w:pPr>
        <w:pStyle w:val="BodyText"/>
        <w:spacing w:line="428" w:lineRule="exact"/>
        <w:ind w:left="140"/>
      </w:pPr>
      <w:r>
        <w:rPr/>
        <w:t>本分析從最終的傷害事件開始，透過不斷追問「為什麼」來探究事件的根本原因。</w:t>
      </w:r>
    </w:p>
    <w:p>
      <w:pPr>
        <w:spacing w:after="0" w:line="428" w:lineRule="exact"/>
        <w:sectPr>
          <w:pgSz w:w="11910" w:h="16840"/>
          <w:pgMar w:top="1420" w:bottom="280" w:left="1660" w:right="1140"/>
        </w:sectPr>
      </w:pPr>
    </w:p>
    <w:p>
      <w:pPr>
        <w:pStyle w:val="BodyText"/>
        <w:spacing w:before="10"/>
        <w:rPr>
          <w:sz w:val="17"/>
        </w:rPr>
      </w:pPr>
    </w:p>
    <w:p>
      <w:pPr>
        <w:pStyle w:val="BodyText"/>
        <w:ind w:left="1417"/>
        <w:rPr>
          <w:sz w:val="20"/>
        </w:rPr>
      </w:pPr>
      <w:r>
        <w:rPr>
          <w:sz w:val="20"/>
        </w:rPr>
        <w:drawing>
          <wp:inline distT="0" distB="0" distL="0" distR="0">
            <wp:extent cx="3385861" cy="5272087"/>
            <wp:effectExtent l="0" t="0" r="0" b="0"/>
            <wp:docPr id="3" name="image2.png" descr="一張含有 文字, 圖表, 螢幕擷取畫面, 方案 的圖片  AI 產生的內容可能不正確。"/>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385861" cy="5272087"/>
                    </a:xfrm>
                    <a:prstGeom prst="rect">
                      <a:avLst/>
                    </a:prstGeom>
                  </pic:spPr>
                </pic:pic>
              </a:graphicData>
            </a:graphic>
          </wp:inline>
        </w:drawing>
      </w:r>
      <w:r>
        <w:rPr>
          <w:sz w:val="20"/>
        </w:rPr>
      </w:r>
    </w:p>
    <w:p>
      <w:pPr>
        <w:pStyle w:val="BodyText"/>
        <w:spacing w:before="18"/>
        <w:rPr>
          <w:sz w:val="17"/>
        </w:rPr>
      </w:pPr>
      <w:r>
        <w:rPr/>
        <w:pict>
          <v:line style="position:absolute;mso-position-horizontal-relative:page;mso-position-vertical-relative:paragraph;z-index:-904;mso-wrap-distance-left:0;mso-wrap-distance-right:0" from="88.5pt,18.895115pt" to="533.1pt,18.895115pt" stroked="true" strokeweight=".72pt" strokecolor="#000000">
            <v:stroke dashstyle="solid"/>
            <w10:wrap type="topAndBottom"/>
          </v:line>
        </w:pict>
      </w:r>
    </w:p>
    <w:p>
      <w:pPr>
        <w:pStyle w:val="Heading1"/>
        <w:numPr>
          <w:ilvl w:val="0"/>
          <w:numId w:val="2"/>
        </w:numPr>
        <w:tabs>
          <w:tab w:pos="859" w:val="left" w:leader="none"/>
          <w:tab w:pos="860" w:val="left" w:leader="none"/>
        </w:tabs>
        <w:spacing w:line="386" w:lineRule="exact" w:before="0" w:after="0"/>
        <w:ind w:left="860" w:right="0" w:hanging="360"/>
        <w:jc w:val="left"/>
      </w:pPr>
      <w:r>
        <w:rPr/>
        <w:t>屏障分析</w:t>
      </w:r>
    </w:p>
    <w:p>
      <w:pPr>
        <w:pStyle w:val="BodyText"/>
        <w:spacing w:line="415" w:lineRule="exact"/>
        <w:ind w:left="140"/>
      </w:pPr>
      <w:r>
        <w:rPr/>
        <w:t>本分析旨在識別應有但失效、缺失或不足的屏障，導致危害接觸到目標。</w:t>
      </w:r>
    </w:p>
    <w:p>
      <w:pPr>
        <w:pStyle w:val="ListParagraph"/>
        <w:numPr>
          <w:ilvl w:val="0"/>
          <w:numId w:val="1"/>
        </w:numPr>
        <w:tabs>
          <w:tab w:pos="859" w:val="left" w:leader="none"/>
          <w:tab w:pos="860" w:val="left" w:leader="none"/>
        </w:tabs>
        <w:spacing w:line="415" w:lineRule="exact" w:before="0" w:after="0"/>
        <w:ind w:left="860" w:right="0" w:hanging="360"/>
        <w:jc w:val="left"/>
        <w:rPr>
          <w:sz w:val="24"/>
        </w:rPr>
      </w:pPr>
      <w:r>
        <w:rPr>
          <w:b/>
          <w:sz w:val="24"/>
        </w:rPr>
        <w:t>危害： </w:t>
      </w:r>
      <w:r>
        <w:rPr>
          <w:sz w:val="24"/>
        </w:rPr>
        <w:t>鋁合金粉塵爆炸</w:t>
      </w:r>
    </w:p>
    <w:p>
      <w:pPr>
        <w:pStyle w:val="ListParagraph"/>
        <w:numPr>
          <w:ilvl w:val="0"/>
          <w:numId w:val="1"/>
        </w:numPr>
        <w:tabs>
          <w:tab w:pos="859" w:val="left" w:leader="none"/>
          <w:tab w:pos="860" w:val="left" w:leader="none"/>
        </w:tabs>
        <w:spacing w:line="428" w:lineRule="exact" w:before="0" w:after="0"/>
        <w:ind w:left="860" w:right="0" w:hanging="360"/>
        <w:jc w:val="left"/>
        <w:rPr>
          <w:sz w:val="24"/>
        </w:rPr>
      </w:pPr>
      <w:r>
        <w:rPr>
          <w:b/>
          <w:sz w:val="24"/>
        </w:rPr>
        <w:t>目標： </w:t>
      </w:r>
      <w:r>
        <w:rPr>
          <w:sz w:val="24"/>
        </w:rPr>
        <w:t>現場作業勞工</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1542"/>
        <w:gridCol w:w="1102"/>
        <w:gridCol w:w="2781"/>
        <w:gridCol w:w="2530"/>
      </w:tblGrid>
      <w:tr>
        <w:trPr>
          <w:trHeight w:val="1037" w:hRule="atLeast"/>
        </w:trPr>
        <w:tc>
          <w:tcPr>
            <w:tcW w:w="869" w:type="dxa"/>
          </w:tcPr>
          <w:p>
            <w:pPr>
              <w:pStyle w:val="TableParagraph"/>
              <w:spacing w:line="225" w:lineRule="auto"/>
              <w:ind w:right="149"/>
              <w:rPr>
                <w:sz w:val="20"/>
              </w:rPr>
            </w:pPr>
            <w:r>
              <w:rPr>
                <w:sz w:val="20"/>
              </w:rPr>
              <w:t>屏障類型</w:t>
            </w:r>
          </w:p>
        </w:tc>
        <w:tc>
          <w:tcPr>
            <w:tcW w:w="1542" w:type="dxa"/>
          </w:tcPr>
          <w:p>
            <w:pPr>
              <w:pStyle w:val="TableParagraph"/>
              <w:spacing w:line="343" w:lineRule="exact"/>
              <w:ind w:left="106"/>
              <w:rPr>
                <w:sz w:val="20"/>
              </w:rPr>
            </w:pPr>
            <w:r>
              <w:rPr>
                <w:sz w:val="20"/>
              </w:rPr>
              <w:t>屏障</w:t>
            </w:r>
          </w:p>
        </w:tc>
        <w:tc>
          <w:tcPr>
            <w:tcW w:w="1102" w:type="dxa"/>
          </w:tcPr>
          <w:p>
            <w:pPr>
              <w:pStyle w:val="TableParagraph"/>
              <w:spacing w:line="333" w:lineRule="exact"/>
              <w:rPr>
                <w:sz w:val="20"/>
              </w:rPr>
            </w:pPr>
            <w:r>
              <w:rPr>
                <w:sz w:val="20"/>
              </w:rPr>
              <w:t>屏障表現</w:t>
            </w:r>
          </w:p>
          <w:p>
            <w:pPr>
              <w:pStyle w:val="TableParagraph"/>
              <w:spacing w:line="346" w:lineRule="exact"/>
              <w:rPr>
                <w:sz w:val="20"/>
              </w:rPr>
            </w:pPr>
            <w:r>
              <w:rPr>
                <w:rFonts w:ascii="Segoe UI" w:eastAsia="Segoe UI"/>
                <w:spacing w:val="-1"/>
                <w:sz w:val="20"/>
              </w:rPr>
              <w:t>(</w:t>
            </w:r>
            <w:r>
              <w:rPr>
                <w:sz w:val="20"/>
              </w:rPr>
              <w:t>事故時狀</w:t>
            </w:r>
          </w:p>
          <w:p>
            <w:pPr>
              <w:pStyle w:val="TableParagraph"/>
              <w:spacing w:line="339" w:lineRule="exact"/>
              <w:rPr>
                <w:rFonts w:ascii="Segoe UI" w:eastAsia="Segoe UI"/>
                <w:sz w:val="20"/>
              </w:rPr>
            </w:pPr>
            <w:r>
              <w:rPr>
                <w:sz w:val="20"/>
              </w:rPr>
              <w:t>態</w:t>
            </w:r>
            <w:r>
              <w:rPr>
                <w:rFonts w:ascii="Segoe UI" w:eastAsia="Segoe UI"/>
                <w:sz w:val="20"/>
              </w:rPr>
              <w:t>)</w:t>
            </w:r>
          </w:p>
        </w:tc>
        <w:tc>
          <w:tcPr>
            <w:tcW w:w="2781" w:type="dxa"/>
          </w:tcPr>
          <w:p>
            <w:pPr>
              <w:pStyle w:val="TableParagraph"/>
              <w:spacing w:line="343" w:lineRule="exact"/>
              <w:rPr>
                <w:sz w:val="20"/>
              </w:rPr>
            </w:pPr>
            <w:r>
              <w:rPr>
                <w:sz w:val="20"/>
              </w:rPr>
              <w:t>屏障失效原因</w:t>
            </w:r>
          </w:p>
        </w:tc>
        <w:tc>
          <w:tcPr>
            <w:tcW w:w="2530" w:type="dxa"/>
          </w:tcPr>
          <w:p>
            <w:pPr>
              <w:pStyle w:val="TableParagraph"/>
              <w:spacing w:line="225" w:lineRule="auto"/>
              <w:ind w:left="106" w:right="251" w:hanging="1"/>
              <w:rPr>
                <w:rFonts w:ascii="Segoe UI" w:eastAsia="Segoe UI"/>
                <w:sz w:val="20"/>
              </w:rPr>
            </w:pPr>
            <w:r>
              <w:rPr>
                <w:sz w:val="20"/>
              </w:rPr>
              <w:t>屏障如何影響事故 </w:t>
            </w:r>
            <w:r>
              <w:rPr>
                <w:rFonts w:ascii="Segoe UI" w:eastAsia="Segoe UI"/>
                <w:sz w:val="20"/>
              </w:rPr>
              <w:t>(</w:t>
            </w:r>
            <w:r>
              <w:rPr>
                <w:sz w:val="20"/>
              </w:rPr>
              <w:t>失效的後果</w:t>
            </w:r>
            <w:r>
              <w:rPr>
                <w:rFonts w:ascii="Segoe UI" w:eastAsia="Segoe UI"/>
                <w:sz w:val="20"/>
              </w:rPr>
              <w:t>)</w:t>
            </w:r>
          </w:p>
        </w:tc>
      </w:tr>
      <w:tr>
        <w:trPr>
          <w:trHeight w:val="1038" w:hRule="atLeast"/>
        </w:trPr>
        <w:tc>
          <w:tcPr>
            <w:tcW w:w="869" w:type="dxa"/>
          </w:tcPr>
          <w:p>
            <w:pPr>
              <w:pStyle w:val="TableParagraph"/>
              <w:spacing w:line="333" w:lineRule="exact"/>
              <w:rPr>
                <w:sz w:val="20"/>
              </w:rPr>
            </w:pPr>
            <w:r>
              <w:rPr>
                <w:sz w:val="20"/>
              </w:rPr>
              <w:t>物理性</w:t>
            </w:r>
          </w:p>
          <w:p>
            <w:pPr>
              <w:pStyle w:val="TableParagraph"/>
              <w:spacing w:line="346" w:lineRule="exact"/>
              <w:rPr>
                <w:sz w:val="20"/>
              </w:rPr>
            </w:pPr>
            <w:r>
              <w:rPr>
                <w:rFonts w:ascii="Segoe UI" w:eastAsia="Segoe UI"/>
                <w:sz w:val="20"/>
              </w:rPr>
              <w:t>/</w:t>
            </w:r>
            <w:r>
              <w:rPr>
                <w:sz w:val="20"/>
              </w:rPr>
              <w:t>工程</w:t>
            </w:r>
          </w:p>
          <w:p>
            <w:pPr>
              <w:pStyle w:val="TableParagraph"/>
              <w:spacing w:line="340" w:lineRule="exact"/>
              <w:rPr>
                <w:sz w:val="20"/>
              </w:rPr>
            </w:pPr>
            <w:r>
              <w:rPr>
                <w:sz w:val="20"/>
              </w:rPr>
              <w:t>控制</w:t>
            </w:r>
          </w:p>
        </w:tc>
        <w:tc>
          <w:tcPr>
            <w:tcW w:w="1542" w:type="dxa"/>
          </w:tcPr>
          <w:p>
            <w:pPr>
              <w:pStyle w:val="TableParagraph"/>
              <w:spacing w:line="225" w:lineRule="auto"/>
              <w:ind w:left="106" w:right="173" w:hanging="1"/>
              <w:rPr>
                <w:sz w:val="20"/>
              </w:rPr>
            </w:pPr>
            <w:r>
              <w:rPr>
                <w:rFonts w:ascii="Segoe UI" w:eastAsia="Segoe UI"/>
                <w:sz w:val="20"/>
              </w:rPr>
              <w:t>1. </w:t>
            </w:r>
            <w:r>
              <w:rPr>
                <w:sz w:val="20"/>
              </w:rPr>
              <w:t>專用或防爆型集塵設備</w:t>
            </w:r>
          </w:p>
        </w:tc>
        <w:tc>
          <w:tcPr>
            <w:tcW w:w="1102" w:type="dxa"/>
          </w:tcPr>
          <w:p>
            <w:pPr>
              <w:pStyle w:val="TableParagraph"/>
              <w:spacing w:line="343" w:lineRule="exact"/>
              <w:rPr>
                <w:sz w:val="20"/>
              </w:rPr>
            </w:pPr>
            <w:r>
              <w:rPr>
                <w:sz w:val="20"/>
              </w:rPr>
              <w:t>不存在</w:t>
            </w:r>
          </w:p>
        </w:tc>
        <w:tc>
          <w:tcPr>
            <w:tcW w:w="2781" w:type="dxa"/>
          </w:tcPr>
          <w:p>
            <w:pPr>
              <w:pStyle w:val="TableParagraph"/>
              <w:spacing w:line="225" w:lineRule="auto"/>
              <w:ind w:right="260"/>
              <w:rPr>
                <w:sz w:val="20"/>
              </w:rPr>
            </w:pPr>
            <w:r>
              <w:rPr>
                <w:sz w:val="20"/>
              </w:rPr>
              <w:t>使用一般的移動式袋式集塵機處理可燃性金屬粉塵 </w:t>
            </w:r>
            <w:r>
              <w:rPr>
                <w:rFonts w:ascii="Segoe UI" w:eastAsia="Segoe UI"/>
                <w:sz w:val="20"/>
              </w:rPr>
              <w:t>(</w:t>
            </w:r>
            <w:r>
              <w:rPr>
                <w:sz w:val="20"/>
              </w:rPr>
              <w:t>假</w:t>
            </w:r>
          </w:p>
          <w:p>
            <w:pPr>
              <w:pStyle w:val="TableParagraph"/>
              <w:spacing w:line="336" w:lineRule="exact"/>
              <w:rPr>
                <w:sz w:val="20"/>
              </w:rPr>
            </w:pPr>
            <w:r>
              <w:rPr>
                <w:sz w:val="20"/>
              </w:rPr>
              <w:t>設</w:t>
            </w:r>
            <w:r>
              <w:rPr>
                <w:rFonts w:ascii="Segoe UI" w:eastAsia="Segoe UI"/>
                <w:sz w:val="20"/>
              </w:rPr>
              <w:t>)</w:t>
            </w:r>
            <w:r>
              <w:rPr>
                <w:sz w:val="20"/>
              </w:rPr>
              <w:t>。</w:t>
            </w:r>
          </w:p>
        </w:tc>
        <w:tc>
          <w:tcPr>
            <w:tcW w:w="2530" w:type="dxa"/>
          </w:tcPr>
          <w:p>
            <w:pPr>
              <w:pStyle w:val="TableParagraph"/>
              <w:spacing w:line="225" w:lineRule="auto"/>
              <w:ind w:left="106" w:right="210"/>
              <w:rPr>
                <w:sz w:val="20"/>
              </w:rPr>
            </w:pPr>
            <w:r>
              <w:rPr>
                <w:sz w:val="20"/>
              </w:rPr>
              <w:t>未能從根本上預防爆炸的發生或抑制其威力。</w:t>
            </w:r>
          </w:p>
        </w:tc>
      </w:tr>
    </w:tbl>
    <w:p>
      <w:pPr>
        <w:spacing w:after="0" w:line="225" w:lineRule="auto"/>
        <w:rPr>
          <w:sz w:val="20"/>
        </w:rPr>
        <w:sectPr>
          <w:pgSz w:w="11910" w:h="16840"/>
          <w:pgMar w:top="1580" w:bottom="280" w:left="1660" w:right="114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1542"/>
        <w:gridCol w:w="1102"/>
        <w:gridCol w:w="2781"/>
        <w:gridCol w:w="2530"/>
      </w:tblGrid>
      <w:tr>
        <w:trPr>
          <w:trHeight w:val="1037" w:hRule="atLeast"/>
        </w:trPr>
        <w:tc>
          <w:tcPr>
            <w:tcW w:w="869" w:type="dxa"/>
          </w:tcPr>
          <w:p>
            <w:pPr>
              <w:pStyle w:val="TableParagraph"/>
              <w:ind w:left="0"/>
              <w:rPr>
                <w:rFonts w:ascii="Times New Roman"/>
                <w:sz w:val="20"/>
              </w:rPr>
            </w:pPr>
          </w:p>
        </w:tc>
        <w:tc>
          <w:tcPr>
            <w:tcW w:w="1542" w:type="dxa"/>
          </w:tcPr>
          <w:p>
            <w:pPr>
              <w:pStyle w:val="TableParagraph"/>
              <w:spacing w:line="225" w:lineRule="auto" w:before="4"/>
              <w:ind w:left="106" w:right="293"/>
              <w:rPr>
                <w:sz w:val="20"/>
              </w:rPr>
            </w:pPr>
            <w:r>
              <w:rPr>
                <w:rFonts w:ascii="Segoe UI" w:eastAsia="Segoe UI"/>
                <w:sz w:val="20"/>
              </w:rPr>
              <w:t>2. </w:t>
            </w:r>
            <w:r>
              <w:rPr>
                <w:sz w:val="20"/>
              </w:rPr>
              <w:t>火花消除</w:t>
            </w:r>
            <w:r>
              <w:rPr>
                <w:rFonts w:ascii="Segoe UI" w:eastAsia="Segoe UI"/>
                <w:sz w:val="20"/>
              </w:rPr>
              <w:t>/ </w:t>
            </w:r>
            <w:r>
              <w:rPr>
                <w:sz w:val="20"/>
              </w:rPr>
              <w:t>抑制裝置</w:t>
            </w:r>
          </w:p>
        </w:tc>
        <w:tc>
          <w:tcPr>
            <w:tcW w:w="1102" w:type="dxa"/>
          </w:tcPr>
          <w:p>
            <w:pPr>
              <w:pStyle w:val="TableParagraph"/>
              <w:spacing w:line="345" w:lineRule="exact"/>
              <w:rPr>
                <w:sz w:val="20"/>
              </w:rPr>
            </w:pPr>
            <w:r>
              <w:rPr>
                <w:sz w:val="20"/>
              </w:rPr>
              <w:t>不存在</w:t>
            </w:r>
          </w:p>
          <w:p>
            <w:pPr>
              <w:pStyle w:val="TableParagraph"/>
              <w:spacing w:line="357" w:lineRule="exact"/>
              <w:rPr>
                <w:rFonts w:ascii="Segoe UI" w:eastAsia="Segoe UI"/>
                <w:sz w:val="20"/>
              </w:rPr>
            </w:pPr>
            <w:r>
              <w:rPr>
                <w:rFonts w:ascii="Segoe UI" w:eastAsia="Segoe UI"/>
                <w:spacing w:val="-1"/>
                <w:sz w:val="20"/>
              </w:rPr>
              <w:t>(</w:t>
            </w:r>
            <w:r>
              <w:rPr>
                <w:sz w:val="20"/>
              </w:rPr>
              <w:t>假設</w:t>
            </w:r>
            <w:r>
              <w:rPr>
                <w:rFonts w:ascii="Segoe UI" w:eastAsia="Segoe UI"/>
                <w:sz w:val="20"/>
              </w:rPr>
              <w:t>)</w:t>
            </w:r>
          </w:p>
        </w:tc>
        <w:tc>
          <w:tcPr>
            <w:tcW w:w="2781" w:type="dxa"/>
          </w:tcPr>
          <w:p>
            <w:pPr>
              <w:pStyle w:val="TableParagraph"/>
              <w:spacing w:line="225" w:lineRule="auto" w:before="4"/>
              <w:ind w:right="260"/>
              <w:rPr>
                <w:sz w:val="20"/>
              </w:rPr>
            </w:pPr>
            <w:r>
              <w:rPr>
                <w:sz w:val="20"/>
              </w:rPr>
              <w:t>集塵系統前端未安裝任何火花攔截或撲滅裝置。</w:t>
            </w:r>
          </w:p>
        </w:tc>
        <w:tc>
          <w:tcPr>
            <w:tcW w:w="2530" w:type="dxa"/>
          </w:tcPr>
          <w:p>
            <w:pPr>
              <w:pStyle w:val="TableParagraph"/>
              <w:spacing w:line="225" w:lineRule="auto" w:before="4"/>
              <w:ind w:left="106" w:right="210"/>
              <w:rPr>
                <w:sz w:val="20"/>
              </w:rPr>
            </w:pPr>
            <w:r>
              <w:rPr>
                <w:sz w:val="20"/>
              </w:rPr>
              <w:t>點火源（火花）能毫無阻礙地進入充滿燃料（鋁</w:t>
            </w:r>
          </w:p>
          <w:p>
            <w:pPr>
              <w:pStyle w:val="TableParagraph"/>
              <w:spacing w:line="322" w:lineRule="exact"/>
              <w:ind w:left="106"/>
              <w:rPr>
                <w:sz w:val="20"/>
              </w:rPr>
            </w:pPr>
            <w:r>
              <w:rPr>
                <w:sz w:val="20"/>
              </w:rPr>
              <w:t>粉）的集塵袋中。</w:t>
            </w:r>
          </w:p>
        </w:tc>
      </w:tr>
      <w:tr>
        <w:trPr>
          <w:trHeight w:val="1037" w:hRule="atLeast"/>
        </w:trPr>
        <w:tc>
          <w:tcPr>
            <w:tcW w:w="869" w:type="dxa"/>
          </w:tcPr>
          <w:p>
            <w:pPr>
              <w:pStyle w:val="TableParagraph"/>
              <w:ind w:left="0"/>
              <w:rPr>
                <w:rFonts w:ascii="Times New Roman"/>
                <w:sz w:val="20"/>
              </w:rPr>
            </w:pPr>
          </w:p>
        </w:tc>
        <w:tc>
          <w:tcPr>
            <w:tcW w:w="1542" w:type="dxa"/>
          </w:tcPr>
          <w:p>
            <w:pPr>
              <w:pStyle w:val="TableParagraph"/>
              <w:spacing w:line="225" w:lineRule="auto" w:before="4"/>
              <w:ind w:left="106" w:right="173" w:hanging="1"/>
              <w:rPr>
                <w:sz w:val="20"/>
              </w:rPr>
            </w:pPr>
            <w:r>
              <w:rPr>
                <w:rFonts w:ascii="Segoe UI" w:eastAsia="Segoe UI"/>
                <w:sz w:val="20"/>
              </w:rPr>
              <w:t>3. </w:t>
            </w:r>
            <w:r>
              <w:rPr>
                <w:sz w:val="20"/>
              </w:rPr>
              <w:t>不同金屬研磨作業的物理</w:t>
            </w:r>
          </w:p>
          <w:p>
            <w:pPr>
              <w:pStyle w:val="TableParagraph"/>
              <w:spacing w:line="322" w:lineRule="exact"/>
              <w:ind w:left="106"/>
              <w:rPr>
                <w:sz w:val="20"/>
              </w:rPr>
            </w:pPr>
            <w:r>
              <w:rPr>
                <w:sz w:val="20"/>
              </w:rPr>
              <w:t>隔離</w:t>
            </w:r>
          </w:p>
        </w:tc>
        <w:tc>
          <w:tcPr>
            <w:tcW w:w="1102" w:type="dxa"/>
          </w:tcPr>
          <w:p>
            <w:pPr>
              <w:pStyle w:val="TableParagraph"/>
              <w:spacing w:line="345" w:lineRule="exact"/>
              <w:rPr>
                <w:sz w:val="20"/>
              </w:rPr>
            </w:pPr>
            <w:r>
              <w:rPr>
                <w:sz w:val="20"/>
              </w:rPr>
              <w:t>不存在</w:t>
            </w:r>
          </w:p>
          <w:p>
            <w:pPr>
              <w:pStyle w:val="TableParagraph"/>
              <w:spacing w:line="357" w:lineRule="exact"/>
              <w:rPr>
                <w:rFonts w:ascii="Segoe UI" w:eastAsia="Segoe UI"/>
                <w:sz w:val="20"/>
              </w:rPr>
            </w:pPr>
            <w:r>
              <w:rPr>
                <w:rFonts w:ascii="Segoe UI" w:eastAsia="Segoe UI"/>
                <w:spacing w:val="-1"/>
                <w:sz w:val="20"/>
              </w:rPr>
              <w:t>(</w:t>
            </w:r>
            <w:r>
              <w:rPr>
                <w:sz w:val="20"/>
              </w:rPr>
              <w:t>假設</w:t>
            </w:r>
            <w:r>
              <w:rPr>
                <w:rFonts w:ascii="Segoe UI" w:eastAsia="Segoe UI"/>
                <w:sz w:val="20"/>
              </w:rPr>
              <w:t>)</w:t>
            </w:r>
          </w:p>
        </w:tc>
        <w:tc>
          <w:tcPr>
            <w:tcW w:w="2781" w:type="dxa"/>
          </w:tcPr>
          <w:p>
            <w:pPr>
              <w:pStyle w:val="TableParagraph"/>
              <w:spacing w:line="225" w:lineRule="auto" w:before="4"/>
              <w:ind w:right="260"/>
              <w:rPr>
                <w:sz w:val="20"/>
              </w:rPr>
            </w:pPr>
            <w:r>
              <w:rPr>
                <w:sz w:val="20"/>
              </w:rPr>
              <w:t>會產生火花的作業（磨鐵） 與可燃性粉塵（鋁粉）共用</w:t>
            </w:r>
          </w:p>
          <w:p>
            <w:pPr>
              <w:pStyle w:val="TableParagraph"/>
              <w:spacing w:line="322" w:lineRule="exact"/>
              <w:rPr>
                <w:sz w:val="20"/>
              </w:rPr>
            </w:pPr>
            <w:r>
              <w:rPr>
                <w:sz w:val="20"/>
              </w:rPr>
              <w:t>同一套集塵系統。</w:t>
            </w:r>
          </w:p>
        </w:tc>
        <w:tc>
          <w:tcPr>
            <w:tcW w:w="2530" w:type="dxa"/>
          </w:tcPr>
          <w:p>
            <w:pPr>
              <w:pStyle w:val="TableParagraph"/>
              <w:spacing w:line="225" w:lineRule="auto" w:before="4"/>
              <w:ind w:left="106" w:right="210"/>
              <w:rPr>
                <w:sz w:val="20"/>
              </w:rPr>
            </w:pPr>
            <w:r>
              <w:rPr>
                <w:sz w:val="20"/>
              </w:rPr>
              <w:t>造成點火源與燃料在集塵系統內混合，創造了爆炸</w:t>
            </w:r>
          </w:p>
          <w:p>
            <w:pPr>
              <w:pStyle w:val="TableParagraph"/>
              <w:spacing w:line="322" w:lineRule="exact"/>
              <w:ind w:left="106"/>
              <w:rPr>
                <w:sz w:val="20"/>
              </w:rPr>
            </w:pPr>
            <w:r>
              <w:rPr>
                <w:sz w:val="20"/>
              </w:rPr>
              <w:t>條件。</w:t>
            </w:r>
          </w:p>
        </w:tc>
      </w:tr>
      <w:tr>
        <w:trPr>
          <w:trHeight w:val="1037" w:hRule="atLeast"/>
        </w:trPr>
        <w:tc>
          <w:tcPr>
            <w:tcW w:w="869" w:type="dxa"/>
          </w:tcPr>
          <w:p>
            <w:pPr>
              <w:pStyle w:val="TableParagraph"/>
              <w:spacing w:line="225" w:lineRule="auto" w:before="4"/>
              <w:ind w:right="149"/>
              <w:rPr>
                <w:sz w:val="20"/>
              </w:rPr>
            </w:pPr>
            <w:r>
              <w:rPr>
                <w:sz w:val="20"/>
              </w:rPr>
              <w:t>行政管理</w:t>
            </w:r>
            <w:r>
              <w:rPr>
                <w:rFonts w:ascii="Segoe UI" w:eastAsia="Segoe UI"/>
                <w:sz w:val="20"/>
              </w:rPr>
              <w:t>/</w:t>
            </w:r>
            <w:r>
              <w:rPr>
                <w:sz w:val="20"/>
              </w:rPr>
              <w:t>程</w:t>
            </w:r>
          </w:p>
          <w:p>
            <w:pPr>
              <w:pStyle w:val="TableParagraph"/>
              <w:spacing w:line="322" w:lineRule="exact"/>
              <w:rPr>
                <w:sz w:val="20"/>
              </w:rPr>
            </w:pPr>
            <w:r>
              <w:rPr>
                <w:sz w:val="20"/>
              </w:rPr>
              <w:t>序性</w:t>
            </w:r>
          </w:p>
        </w:tc>
        <w:tc>
          <w:tcPr>
            <w:tcW w:w="1542" w:type="dxa"/>
          </w:tcPr>
          <w:p>
            <w:pPr>
              <w:pStyle w:val="TableParagraph"/>
              <w:spacing w:line="225" w:lineRule="auto" w:before="4"/>
              <w:ind w:left="106" w:right="173" w:hanging="1"/>
              <w:rPr>
                <w:sz w:val="20"/>
              </w:rPr>
            </w:pPr>
            <w:r>
              <w:rPr>
                <w:rFonts w:ascii="Segoe UI" w:eastAsia="Segoe UI"/>
                <w:sz w:val="20"/>
              </w:rPr>
              <w:t>4. </w:t>
            </w:r>
            <w:r>
              <w:rPr>
                <w:sz w:val="20"/>
              </w:rPr>
              <w:t>粉塵爆炸危害辨識與風險</w:t>
            </w:r>
          </w:p>
          <w:p>
            <w:pPr>
              <w:pStyle w:val="TableParagraph"/>
              <w:spacing w:line="322" w:lineRule="exact"/>
              <w:ind w:left="106"/>
              <w:rPr>
                <w:sz w:val="20"/>
              </w:rPr>
            </w:pPr>
            <w:r>
              <w:rPr>
                <w:sz w:val="20"/>
              </w:rPr>
              <w:t>評估</w:t>
            </w:r>
          </w:p>
        </w:tc>
        <w:tc>
          <w:tcPr>
            <w:tcW w:w="1102" w:type="dxa"/>
          </w:tcPr>
          <w:p>
            <w:pPr>
              <w:pStyle w:val="TableParagraph"/>
              <w:spacing w:line="225" w:lineRule="auto" w:before="4"/>
              <w:ind w:right="102"/>
              <w:rPr>
                <w:rFonts w:ascii="Segoe UI" w:eastAsia="Segoe UI"/>
                <w:sz w:val="20"/>
              </w:rPr>
            </w:pPr>
            <w:r>
              <w:rPr>
                <w:sz w:val="20"/>
              </w:rPr>
              <w:t>失效</w:t>
            </w:r>
            <w:r>
              <w:rPr>
                <w:rFonts w:ascii="Segoe UI" w:eastAsia="Segoe UI"/>
                <w:sz w:val="20"/>
              </w:rPr>
              <w:t>/</w:t>
            </w:r>
            <w:r>
              <w:rPr>
                <w:sz w:val="20"/>
              </w:rPr>
              <w:t>不存在 </w:t>
            </w:r>
            <w:r>
              <w:rPr>
                <w:rFonts w:ascii="Segoe UI" w:eastAsia="Segoe UI"/>
                <w:sz w:val="20"/>
              </w:rPr>
              <w:t>(</w:t>
            </w:r>
            <w:r>
              <w:rPr>
                <w:sz w:val="20"/>
              </w:rPr>
              <w:t>假設</w:t>
            </w:r>
            <w:r>
              <w:rPr>
                <w:rFonts w:ascii="Segoe UI" w:eastAsia="Segoe UI"/>
                <w:sz w:val="20"/>
              </w:rPr>
              <w:t>)</w:t>
            </w:r>
          </w:p>
        </w:tc>
        <w:tc>
          <w:tcPr>
            <w:tcW w:w="2781" w:type="dxa"/>
          </w:tcPr>
          <w:p>
            <w:pPr>
              <w:pStyle w:val="TableParagraph"/>
              <w:spacing w:line="225" w:lineRule="auto" w:before="4"/>
              <w:ind w:right="260"/>
              <w:rPr>
                <w:sz w:val="20"/>
              </w:rPr>
            </w:pPr>
            <w:r>
              <w:rPr>
                <w:sz w:val="20"/>
              </w:rPr>
              <w:t>未評估鋁合金粉塵的爆炸 </w:t>
            </w:r>
            <w:r>
              <w:rPr>
                <w:spacing w:val="-2"/>
                <w:sz w:val="20"/>
              </w:rPr>
              <w:t>性，以及混合不同金屬研磨</w:t>
            </w:r>
          </w:p>
          <w:p>
            <w:pPr>
              <w:pStyle w:val="TableParagraph"/>
              <w:spacing w:line="322" w:lineRule="exact"/>
              <w:rPr>
                <w:sz w:val="20"/>
              </w:rPr>
            </w:pPr>
            <w:r>
              <w:rPr>
                <w:sz w:val="20"/>
              </w:rPr>
              <w:t>的風險。</w:t>
            </w:r>
          </w:p>
        </w:tc>
        <w:tc>
          <w:tcPr>
            <w:tcW w:w="2530" w:type="dxa"/>
          </w:tcPr>
          <w:p>
            <w:pPr>
              <w:pStyle w:val="TableParagraph"/>
              <w:spacing w:line="225" w:lineRule="auto" w:before="4"/>
              <w:ind w:left="106" w:right="210"/>
              <w:rPr>
                <w:sz w:val="20"/>
              </w:rPr>
            </w:pPr>
            <w:r>
              <w:rPr>
                <w:sz w:val="20"/>
              </w:rPr>
              <w:t>未能識別出關鍵危害，因此未能採取任何預防措</w:t>
            </w:r>
          </w:p>
          <w:p>
            <w:pPr>
              <w:pStyle w:val="TableParagraph"/>
              <w:spacing w:line="322" w:lineRule="exact"/>
              <w:ind w:left="106"/>
              <w:rPr>
                <w:sz w:val="20"/>
              </w:rPr>
            </w:pPr>
            <w:r>
              <w:rPr>
                <w:sz w:val="20"/>
              </w:rPr>
              <w:t>施。</w:t>
            </w:r>
          </w:p>
        </w:tc>
      </w:tr>
      <w:tr>
        <w:trPr>
          <w:trHeight w:val="1037" w:hRule="atLeast"/>
        </w:trPr>
        <w:tc>
          <w:tcPr>
            <w:tcW w:w="869" w:type="dxa"/>
          </w:tcPr>
          <w:p>
            <w:pPr>
              <w:pStyle w:val="TableParagraph"/>
              <w:ind w:left="0"/>
              <w:rPr>
                <w:rFonts w:ascii="Times New Roman"/>
                <w:sz w:val="20"/>
              </w:rPr>
            </w:pPr>
          </w:p>
        </w:tc>
        <w:tc>
          <w:tcPr>
            <w:tcW w:w="1542" w:type="dxa"/>
          </w:tcPr>
          <w:p>
            <w:pPr>
              <w:pStyle w:val="TableParagraph"/>
              <w:spacing w:line="225" w:lineRule="auto" w:before="5"/>
              <w:ind w:left="106" w:right="173" w:hanging="1"/>
              <w:rPr>
                <w:rFonts w:ascii="Segoe UI" w:eastAsia="Segoe UI"/>
                <w:sz w:val="20"/>
              </w:rPr>
            </w:pPr>
            <w:r>
              <w:rPr>
                <w:rFonts w:ascii="Segoe UI" w:eastAsia="Segoe UI"/>
                <w:sz w:val="20"/>
              </w:rPr>
              <w:t>5. </w:t>
            </w:r>
            <w:r>
              <w:rPr>
                <w:sz w:val="20"/>
              </w:rPr>
              <w:t>安全作業標準 </w:t>
            </w:r>
            <w:r>
              <w:rPr>
                <w:rFonts w:ascii="Segoe UI" w:eastAsia="Segoe UI"/>
                <w:sz w:val="20"/>
              </w:rPr>
              <w:t>(SOP)</w:t>
            </w:r>
          </w:p>
        </w:tc>
        <w:tc>
          <w:tcPr>
            <w:tcW w:w="1102" w:type="dxa"/>
          </w:tcPr>
          <w:p>
            <w:pPr>
              <w:pStyle w:val="TableParagraph"/>
              <w:spacing w:line="225" w:lineRule="auto" w:before="5"/>
              <w:ind w:right="102" w:hanging="1"/>
              <w:rPr>
                <w:rFonts w:ascii="Segoe UI" w:eastAsia="Segoe UI"/>
                <w:sz w:val="20"/>
              </w:rPr>
            </w:pPr>
            <w:r>
              <w:rPr>
                <w:sz w:val="20"/>
              </w:rPr>
              <w:t>失效</w:t>
            </w:r>
            <w:r>
              <w:rPr>
                <w:rFonts w:ascii="Segoe UI" w:eastAsia="Segoe UI"/>
                <w:sz w:val="20"/>
              </w:rPr>
              <w:t>/</w:t>
            </w:r>
            <w:r>
              <w:rPr>
                <w:sz w:val="20"/>
              </w:rPr>
              <w:t>不存在 </w:t>
            </w:r>
            <w:r>
              <w:rPr>
                <w:rFonts w:ascii="Segoe UI" w:eastAsia="Segoe UI"/>
                <w:sz w:val="20"/>
              </w:rPr>
              <w:t>(</w:t>
            </w:r>
            <w:r>
              <w:rPr>
                <w:sz w:val="20"/>
              </w:rPr>
              <w:t>假設</w:t>
            </w:r>
            <w:r>
              <w:rPr>
                <w:rFonts w:ascii="Segoe UI" w:eastAsia="Segoe UI"/>
                <w:sz w:val="20"/>
              </w:rPr>
              <w:t>)</w:t>
            </w:r>
          </w:p>
        </w:tc>
        <w:tc>
          <w:tcPr>
            <w:tcW w:w="2781" w:type="dxa"/>
          </w:tcPr>
          <w:p>
            <w:pPr>
              <w:pStyle w:val="TableParagraph"/>
              <w:spacing w:line="225" w:lineRule="auto" w:before="5"/>
              <w:ind w:right="260"/>
              <w:rPr>
                <w:sz w:val="20"/>
              </w:rPr>
            </w:pPr>
            <w:r>
              <w:rPr>
                <w:sz w:val="20"/>
              </w:rPr>
              <w:t>缺乏關於更換研磨材質前必須徹底清理集塵設備的明確</w:t>
            </w:r>
          </w:p>
          <w:p>
            <w:pPr>
              <w:pStyle w:val="TableParagraph"/>
              <w:spacing w:line="321" w:lineRule="exact"/>
              <w:rPr>
                <w:sz w:val="20"/>
              </w:rPr>
            </w:pPr>
            <w:r>
              <w:rPr>
                <w:sz w:val="20"/>
              </w:rPr>
              <w:t>規定。</w:t>
            </w:r>
          </w:p>
        </w:tc>
        <w:tc>
          <w:tcPr>
            <w:tcW w:w="2530" w:type="dxa"/>
          </w:tcPr>
          <w:p>
            <w:pPr>
              <w:pStyle w:val="TableParagraph"/>
              <w:spacing w:line="225" w:lineRule="auto" w:before="5"/>
              <w:ind w:left="106" w:right="210"/>
              <w:rPr>
                <w:sz w:val="20"/>
              </w:rPr>
            </w:pPr>
            <w:r>
              <w:rPr>
                <w:sz w:val="20"/>
              </w:rPr>
              <w:t>勞工僅依一般程序操作， 在無意中將點火源引入危</w:t>
            </w:r>
          </w:p>
          <w:p>
            <w:pPr>
              <w:pStyle w:val="TableParagraph"/>
              <w:spacing w:line="321" w:lineRule="exact"/>
              <w:ind w:left="106"/>
              <w:rPr>
                <w:sz w:val="20"/>
              </w:rPr>
            </w:pPr>
            <w:r>
              <w:rPr>
                <w:sz w:val="20"/>
              </w:rPr>
              <w:t>險環境。</w:t>
            </w:r>
          </w:p>
        </w:tc>
      </w:tr>
      <w:tr>
        <w:trPr>
          <w:trHeight w:val="1037" w:hRule="atLeast"/>
        </w:trPr>
        <w:tc>
          <w:tcPr>
            <w:tcW w:w="869" w:type="dxa"/>
          </w:tcPr>
          <w:p>
            <w:pPr>
              <w:pStyle w:val="TableParagraph"/>
              <w:ind w:left="0"/>
              <w:rPr>
                <w:rFonts w:ascii="Times New Roman"/>
                <w:sz w:val="20"/>
              </w:rPr>
            </w:pPr>
          </w:p>
        </w:tc>
        <w:tc>
          <w:tcPr>
            <w:tcW w:w="1542" w:type="dxa"/>
          </w:tcPr>
          <w:p>
            <w:pPr>
              <w:pStyle w:val="TableParagraph"/>
              <w:spacing w:line="225" w:lineRule="auto" w:before="5"/>
              <w:ind w:left="106" w:right="173" w:hanging="1"/>
              <w:rPr>
                <w:sz w:val="20"/>
              </w:rPr>
            </w:pPr>
            <w:r>
              <w:rPr>
                <w:rFonts w:ascii="Segoe UI" w:eastAsia="Segoe UI"/>
                <w:sz w:val="20"/>
              </w:rPr>
              <w:t>6. </w:t>
            </w:r>
            <w:r>
              <w:rPr>
                <w:sz w:val="20"/>
              </w:rPr>
              <w:t>清潔與內務管理計畫</w:t>
            </w:r>
          </w:p>
        </w:tc>
        <w:tc>
          <w:tcPr>
            <w:tcW w:w="1102" w:type="dxa"/>
          </w:tcPr>
          <w:p>
            <w:pPr>
              <w:pStyle w:val="TableParagraph"/>
              <w:spacing w:line="346" w:lineRule="exact"/>
              <w:rPr>
                <w:sz w:val="20"/>
              </w:rPr>
            </w:pPr>
            <w:r>
              <w:rPr>
                <w:sz w:val="20"/>
              </w:rPr>
              <w:t>失效</w:t>
            </w:r>
            <w:r>
              <w:rPr>
                <w:rFonts w:ascii="Segoe UI" w:eastAsia="Segoe UI"/>
                <w:sz w:val="20"/>
              </w:rPr>
              <w:t>/</w:t>
            </w:r>
            <w:r>
              <w:rPr>
                <w:sz w:val="20"/>
              </w:rPr>
              <w:t>不足</w:t>
            </w:r>
          </w:p>
          <w:p>
            <w:pPr>
              <w:pStyle w:val="TableParagraph"/>
              <w:spacing w:line="357" w:lineRule="exact"/>
              <w:rPr>
                <w:rFonts w:ascii="Segoe UI" w:eastAsia="Segoe UI"/>
                <w:sz w:val="20"/>
              </w:rPr>
            </w:pPr>
            <w:r>
              <w:rPr>
                <w:rFonts w:ascii="Segoe UI" w:eastAsia="Segoe UI"/>
                <w:sz w:val="20"/>
              </w:rPr>
              <w:t>(</w:t>
            </w:r>
            <w:r>
              <w:rPr>
                <w:sz w:val="20"/>
              </w:rPr>
              <w:t>假設</w:t>
            </w:r>
            <w:r>
              <w:rPr>
                <w:rFonts w:ascii="Segoe UI" w:eastAsia="Segoe UI"/>
                <w:sz w:val="20"/>
              </w:rPr>
              <w:t>)</w:t>
            </w:r>
          </w:p>
        </w:tc>
        <w:tc>
          <w:tcPr>
            <w:tcW w:w="2781" w:type="dxa"/>
          </w:tcPr>
          <w:p>
            <w:pPr>
              <w:pStyle w:val="TableParagraph"/>
              <w:spacing w:line="225" w:lineRule="auto" w:before="5"/>
              <w:ind w:right="260"/>
              <w:rPr>
                <w:sz w:val="20"/>
              </w:rPr>
            </w:pPr>
            <w:r>
              <w:rPr>
                <w:sz w:val="20"/>
              </w:rPr>
              <w:t>未定期或在必要時（如更換工件材質）清理集塵袋內的</w:t>
            </w:r>
          </w:p>
          <w:p>
            <w:pPr>
              <w:pStyle w:val="TableParagraph"/>
              <w:spacing w:line="321" w:lineRule="exact"/>
              <w:rPr>
                <w:sz w:val="20"/>
              </w:rPr>
            </w:pPr>
            <w:r>
              <w:rPr>
                <w:sz w:val="20"/>
              </w:rPr>
              <w:t>粉末。</w:t>
            </w:r>
          </w:p>
        </w:tc>
        <w:tc>
          <w:tcPr>
            <w:tcW w:w="2530" w:type="dxa"/>
          </w:tcPr>
          <w:p>
            <w:pPr>
              <w:pStyle w:val="TableParagraph"/>
              <w:spacing w:line="225" w:lineRule="auto" w:before="5"/>
              <w:ind w:left="106" w:right="210"/>
              <w:rPr>
                <w:sz w:val="20"/>
              </w:rPr>
            </w:pPr>
            <w:r>
              <w:rPr>
                <w:sz w:val="20"/>
              </w:rPr>
              <w:t>導致可燃性鋁合金粉末在集塵袋內長期累積，達到</w:t>
            </w:r>
          </w:p>
          <w:p>
            <w:pPr>
              <w:pStyle w:val="TableParagraph"/>
              <w:spacing w:line="321" w:lineRule="exact"/>
              <w:ind w:left="106"/>
              <w:rPr>
                <w:sz w:val="20"/>
              </w:rPr>
            </w:pPr>
            <w:r>
              <w:rPr>
                <w:sz w:val="20"/>
              </w:rPr>
              <w:t>爆炸濃度。</w:t>
            </w:r>
          </w:p>
        </w:tc>
      </w:tr>
      <w:tr>
        <w:trPr>
          <w:trHeight w:val="1038" w:hRule="atLeast"/>
        </w:trPr>
        <w:tc>
          <w:tcPr>
            <w:tcW w:w="869" w:type="dxa"/>
          </w:tcPr>
          <w:p>
            <w:pPr>
              <w:pStyle w:val="TableParagraph"/>
              <w:ind w:left="0"/>
              <w:rPr>
                <w:rFonts w:ascii="Times New Roman"/>
                <w:sz w:val="20"/>
              </w:rPr>
            </w:pPr>
          </w:p>
        </w:tc>
        <w:tc>
          <w:tcPr>
            <w:tcW w:w="1542" w:type="dxa"/>
          </w:tcPr>
          <w:p>
            <w:pPr>
              <w:pStyle w:val="TableParagraph"/>
              <w:spacing w:line="225" w:lineRule="auto" w:before="5"/>
              <w:ind w:left="106" w:right="173" w:hanging="1"/>
              <w:rPr>
                <w:sz w:val="20"/>
              </w:rPr>
            </w:pPr>
            <w:r>
              <w:rPr>
                <w:rFonts w:ascii="Segoe UI" w:eastAsia="Segoe UI"/>
                <w:sz w:val="20"/>
              </w:rPr>
              <w:t>7. </w:t>
            </w:r>
            <w:r>
              <w:rPr>
                <w:sz w:val="20"/>
              </w:rPr>
              <w:t>安全教育訓練</w:t>
            </w:r>
          </w:p>
        </w:tc>
        <w:tc>
          <w:tcPr>
            <w:tcW w:w="1102" w:type="dxa"/>
          </w:tcPr>
          <w:p>
            <w:pPr>
              <w:pStyle w:val="TableParagraph"/>
              <w:spacing w:line="225" w:lineRule="auto" w:before="5"/>
              <w:ind w:right="220"/>
              <w:rPr>
                <w:rFonts w:ascii="Segoe UI" w:eastAsia="Segoe UI"/>
                <w:sz w:val="20"/>
              </w:rPr>
            </w:pPr>
            <w:r>
              <w:rPr>
                <w:sz w:val="20"/>
              </w:rPr>
              <w:t>不足 </w:t>
            </w:r>
            <w:r>
              <w:rPr>
                <w:rFonts w:ascii="Segoe UI" w:eastAsia="Segoe UI"/>
                <w:sz w:val="20"/>
              </w:rPr>
              <w:t>(</w:t>
            </w:r>
            <w:r>
              <w:rPr>
                <w:sz w:val="20"/>
              </w:rPr>
              <w:t>假設</w:t>
            </w:r>
            <w:r>
              <w:rPr>
                <w:rFonts w:ascii="Segoe UI" w:eastAsia="Segoe UI"/>
                <w:sz w:val="20"/>
              </w:rPr>
              <w:t>)</w:t>
            </w:r>
          </w:p>
        </w:tc>
        <w:tc>
          <w:tcPr>
            <w:tcW w:w="2781" w:type="dxa"/>
          </w:tcPr>
          <w:p>
            <w:pPr>
              <w:pStyle w:val="TableParagraph"/>
              <w:spacing w:line="225" w:lineRule="auto" w:before="5"/>
              <w:ind w:right="260"/>
              <w:rPr>
                <w:sz w:val="20"/>
              </w:rPr>
            </w:pPr>
            <w:r>
              <w:rPr>
                <w:sz w:val="20"/>
              </w:rPr>
              <w:t>未對勞工進行粉塵爆炸危害的相關訓練。</w:t>
            </w:r>
          </w:p>
        </w:tc>
        <w:tc>
          <w:tcPr>
            <w:tcW w:w="2530" w:type="dxa"/>
          </w:tcPr>
          <w:p>
            <w:pPr>
              <w:pStyle w:val="TableParagraph"/>
              <w:spacing w:line="225" w:lineRule="auto" w:before="5"/>
              <w:ind w:left="106" w:right="210"/>
              <w:rPr>
                <w:sz w:val="20"/>
              </w:rPr>
            </w:pPr>
            <w:r>
              <w:rPr>
                <w:sz w:val="20"/>
              </w:rPr>
              <w:t>勞工因知識不足，未能意識到混合研磨的嚴重危險</w:t>
            </w:r>
          </w:p>
          <w:p>
            <w:pPr>
              <w:pStyle w:val="TableParagraph"/>
              <w:spacing w:line="322" w:lineRule="exact"/>
              <w:ind w:left="106"/>
              <w:rPr>
                <w:sz w:val="20"/>
              </w:rPr>
            </w:pPr>
            <w:r>
              <w:rPr>
                <w:sz w:val="20"/>
              </w:rPr>
              <w:t>性。</w:t>
            </w:r>
          </w:p>
        </w:tc>
      </w:tr>
    </w:tbl>
    <w:p>
      <w:pPr>
        <w:pStyle w:val="BodyText"/>
        <w:spacing w:before="14"/>
        <w:rPr>
          <w:sz w:val="14"/>
        </w:rPr>
      </w:pPr>
      <w:r>
        <w:rPr/>
        <w:pict>
          <v:line style="position:absolute;mso-position-horizontal-relative:page;mso-position-vertical-relative:paragraph;z-index:-880;mso-wrap-distance-left:0;mso-wrap-distance-right:0" from="88.5pt,15.96pt" to="533.1pt,15.96pt" stroked="true" strokeweight=".72pt" strokecolor="#000000">
            <v:stroke dashstyle="solid"/>
            <w10:wrap type="topAndBottom"/>
          </v:line>
        </w:pict>
      </w:r>
    </w:p>
    <w:p>
      <w:pPr>
        <w:pStyle w:val="BodyText"/>
        <w:spacing w:before="9"/>
        <w:rPr>
          <w:sz w:val="11"/>
        </w:rPr>
      </w:pPr>
    </w:p>
    <w:p>
      <w:pPr>
        <w:pStyle w:val="Heading1"/>
        <w:numPr>
          <w:ilvl w:val="0"/>
          <w:numId w:val="2"/>
        </w:numPr>
        <w:tabs>
          <w:tab w:pos="859" w:val="left" w:leader="none"/>
          <w:tab w:pos="860" w:val="left" w:leader="none"/>
        </w:tabs>
        <w:spacing w:line="428" w:lineRule="exact" w:before="39" w:after="0"/>
        <w:ind w:left="860" w:right="0" w:hanging="360"/>
        <w:jc w:val="left"/>
      </w:pPr>
      <w:r>
        <w:rPr/>
        <w:t>變更分析</w:t>
      </w:r>
    </w:p>
    <w:p>
      <w:pPr>
        <w:pStyle w:val="BodyText"/>
        <w:spacing w:line="428" w:lineRule="exact"/>
        <w:ind w:left="140"/>
      </w:pPr>
      <w:r>
        <w:rPr/>
        <w:t>本分析比較「事故狀況」與「理想的無事故狀況」，以識別導致事故的關鍵差異。</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1825"/>
        <w:gridCol w:w="1914"/>
        <w:gridCol w:w="1862"/>
        <w:gridCol w:w="2162"/>
      </w:tblGrid>
      <w:tr>
        <w:trPr>
          <w:trHeight w:val="691" w:hRule="atLeast"/>
        </w:trPr>
        <w:tc>
          <w:tcPr>
            <w:tcW w:w="1058" w:type="dxa"/>
          </w:tcPr>
          <w:p>
            <w:pPr>
              <w:pStyle w:val="TableParagraph"/>
              <w:spacing w:line="344" w:lineRule="exact"/>
              <w:rPr>
                <w:sz w:val="20"/>
              </w:rPr>
            </w:pPr>
            <w:r>
              <w:rPr>
                <w:sz w:val="20"/>
              </w:rPr>
              <w:t>因素</w:t>
            </w:r>
          </w:p>
        </w:tc>
        <w:tc>
          <w:tcPr>
            <w:tcW w:w="1825" w:type="dxa"/>
          </w:tcPr>
          <w:p>
            <w:pPr>
              <w:pStyle w:val="TableParagraph"/>
              <w:spacing w:line="344" w:lineRule="exact"/>
              <w:ind w:left="108"/>
              <w:rPr>
                <w:sz w:val="20"/>
              </w:rPr>
            </w:pPr>
            <w:r>
              <w:rPr>
                <w:sz w:val="20"/>
              </w:rPr>
              <w:t>事故狀況</w:t>
            </w:r>
          </w:p>
        </w:tc>
        <w:tc>
          <w:tcPr>
            <w:tcW w:w="1914" w:type="dxa"/>
          </w:tcPr>
          <w:p>
            <w:pPr>
              <w:pStyle w:val="TableParagraph"/>
              <w:spacing w:line="333" w:lineRule="exact"/>
              <w:ind w:left="108"/>
              <w:rPr>
                <w:sz w:val="20"/>
              </w:rPr>
            </w:pPr>
            <w:r>
              <w:rPr>
                <w:spacing w:val="-1"/>
                <w:sz w:val="20"/>
              </w:rPr>
              <w:t>先前、理想或未發</w:t>
            </w:r>
          </w:p>
          <w:p>
            <w:pPr>
              <w:pStyle w:val="TableParagraph"/>
              <w:spacing w:line="339" w:lineRule="exact"/>
              <w:ind w:left="108"/>
              <w:rPr>
                <w:rFonts w:ascii="Segoe UI" w:eastAsia="Segoe UI"/>
                <w:sz w:val="20"/>
              </w:rPr>
            </w:pPr>
            <w:r>
              <w:rPr>
                <w:spacing w:val="8"/>
                <w:sz w:val="20"/>
              </w:rPr>
              <w:t>生事故狀況 </w:t>
            </w:r>
            <w:r>
              <w:rPr>
                <w:rFonts w:ascii="Segoe UI" w:eastAsia="Segoe UI"/>
                <w:sz w:val="20"/>
              </w:rPr>
              <w:t>(</w:t>
            </w:r>
            <w:r>
              <w:rPr>
                <w:sz w:val="20"/>
              </w:rPr>
              <w:t>假設</w:t>
            </w:r>
            <w:r>
              <w:rPr>
                <w:rFonts w:ascii="Segoe UI" w:eastAsia="Segoe UI"/>
                <w:sz w:val="20"/>
              </w:rPr>
              <w:t>)</w:t>
            </w:r>
          </w:p>
        </w:tc>
        <w:tc>
          <w:tcPr>
            <w:tcW w:w="1862" w:type="dxa"/>
          </w:tcPr>
          <w:p>
            <w:pPr>
              <w:pStyle w:val="TableParagraph"/>
              <w:spacing w:line="344" w:lineRule="exact"/>
              <w:ind w:left="108"/>
              <w:rPr>
                <w:rFonts w:ascii="Segoe UI" w:eastAsia="Segoe UI"/>
                <w:sz w:val="20"/>
              </w:rPr>
            </w:pPr>
            <w:r>
              <w:rPr>
                <w:sz w:val="20"/>
              </w:rPr>
              <w:t>差異 </w:t>
            </w:r>
            <w:r>
              <w:rPr>
                <w:rFonts w:ascii="Segoe UI" w:eastAsia="Segoe UI"/>
                <w:sz w:val="20"/>
              </w:rPr>
              <w:t>(</w:t>
            </w:r>
            <w:r>
              <w:rPr>
                <w:sz w:val="20"/>
              </w:rPr>
              <w:t>變更</w:t>
            </w:r>
            <w:r>
              <w:rPr>
                <w:rFonts w:ascii="Segoe UI" w:eastAsia="Segoe UI"/>
                <w:sz w:val="20"/>
              </w:rPr>
              <w:t>)</w:t>
            </w:r>
          </w:p>
        </w:tc>
        <w:tc>
          <w:tcPr>
            <w:tcW w:w="2162" w:type="dxa"/>
          </w:tcPr>
          <w:p>
            <w:pPr>
              <w:pStyle w:val="TableParagraph"/>
              <w:spacing w:line="333" w:lineRule="exact"/>
              <w:ind w:left="108"/>
              <w:rPr>
                <w:sz w:val="20"/>
              </w:rPr>
            </w:pPr>
            <w:r>
              <w:rPr>
                <w:sz w:val="20"/>
              </w:rPr>
              <w:t>效果評估 </w:t>
            </w:r>
            <w:r>
              <w:rPr>
                <w:rFonts w:ascii="Segoe UI" w:eastAsia="Segoe UI"/>
                <w:sz w:val="20"/>
              </w:rPr>
              <w:t>(</w:t>
            </w:r>
            <w:r>
              <w:rPr>
                <w:sz w:val="20"/>
              </w:rPr>
              <w:t>差異對事</w:t>
            </w:r>
          </w:p>
          <w:p>
            <w:pPr>
              <w:pStyle w:val="TableParagraph"/>
              <w:spacing w:line="339" w:lineRule="exact"/>
              <w:ind w:left="108"/>
              <w:rPr>
                <w:rFonts w:ascii="Segoe UI" w:eastAsia="Segoe UI"/>
                <w:sz w:val="20"/>
              </w:rPr>
            </w:pPr>
            <w:r>
              <w:rPr>
                <w:sz w:val="20"/>
              </w:rPr>
              <w:t>故的影響</w:t>
            </w:r>
            <w:r>
              <w:rPr>
                <w:rFonts w:ascii="Segoe UI" w:eastAsia="Segoe UI"/>
                <w:sz w:val="20"/>
              </w:rPr>
              <w:t>)</w:t>
            </w:r>
          </w:p>
        </w:tc>
      </w:tr>
      <w:tr>
        <w:trPr>
          <w:trHeight w:val="1383" w:hRule="atLeast"/>
        </w:trPr>
        <w:tc>
          <w:tcPr>
            <w:tcW w:w="1058" w:type="dxa"/>
          </w:tcPr>
          <w:p>
            <w:pPr>
              <w:pStyle w:val="TableParagraph"/>
              <w:spacing w:line="248" w:lineRule="exact"/>
              <w:rPr>
                <w:rFonts w:ascii="Segoe UI"/>
                <w:b/>
                <w:sz w:val="20"/>
              </w:rPr>
            </w:pPr>
            <w:r>
              <w:rPr>
                <w:rFonts w:ascii="Segoe UI"/>
                <w:b/>
                <w:sz w:val="20"/>
              </w:rPr>
              <w:t>WHAT</w:t>
            </w:r>
          </w:p>
          <w:p>
            <w:pPr>
              <w:pStyle w:val="TableParagraph"/>
              <w:spacing w:line="362" w:lineRule="exact"/>
              <w:rPr>
                <w:rFonts w:ascii="Segoe UI" w:eastAsia="Segoe UI"/>
                <w:b/>
                <w:sz w:val="20"/>
              </w:rPr>
            </w:pPr>
            <w:r>
              <w:rPr>
                <w:rFonts w:ascii="Segoe UI" w:eastAsia="Segoe UI"/>
                <w:b/>
                <w:sz w:val="20"/>
              </w:rPr>
              <w:t>(</w:t>
            </w:r>
            <w:r>
              <w:rPr>
                <w:b/>
                <w:sz w:val="20"/>
              </w:rPr>
              <w:t>什麼</w:t>
            </w:r>
            <w:r>
              <w:rPr>
                <w:rFonts w:ascii="Segoe UI" w:eastAsia="Segoe UI"/>
                <w:b/>
                <w:sz w:val="20"/>
              </w:rPr>
              <w:t>)</w:t>
            </w:r>
          </w:p>
        </w:tc>
        <w:tc>
          <w:tcPr>
            <w:tcW w:w="1825" w:type="dxa"/>
          </w:tcPr>
          <w:p>
            <w:pPr>
              <w:pStyle w:val="TableParagraph"/>
              <w:spacing w:line="225" w:lineRule="auto"/>
              <w:ind w:left="108" w:right="104"/>
              <w:rPr>
                <w:sz w:val="20"/>
              </w:rPr>
            </w:pPr>
            <w:r>
              <w:rPr>
                <w:spacing w:val="-3"/>
                <w:sz w:val="20"/>
              </w:rPr>
              <w:t>研磨鐵質工件，但</w:t>
            </w:r>
            <w:r>
              <w:rPr>
                <w:sz w:val="20"/>
              </w:rPr>
              <w:t>集塵機內殘留鋁 粉，最終導致爆</w:t>
            </w:r>
          </w:p>
          <w:p>
            <w:pPr>
              <w:pStyle w:val="TableParagraph"/>
              <w:spacing w:line="334" w:lineRule="exact"/>
              <w:ind w:left="108"/>
              <w:rPr>
                <w:sz w:val="20"/>
              </w:rPr>
            </w:pPr>
            <w:r>
              <w:rPr>
                <w:sz w:val="20"/>
              </w:rPr>
              <w:t>炸。</w:t>
            </w:r>
          </w:p>
        </w:tc>
        <w:tc>
          <w:tcPr>
            <w:tcW w:w="1914" w:type="dxa"/>
          </w:tcPr>
          <w:p>
            <w:pPr>
              <w:pStyle w:val="TableParagraph"/>
              <w:spacing w:line="225" w:lineRule="auto"/>
              <w:ind w:left="108" w:right="192"/>
              <w:jc w:val="both"/>
              <w:rPr>
                <w:sz w:val="20"/>
              </w:rPr>
            </w:pPr>
            <w:r>
              <w:rPr>
                <w:sz w:val="20"/>
              </w:rPr>
              <w:t>研磨鐵質工件前， 已將集塵機徹底清理乾淨，或使用專</w:t>
            </w:r>
          </w:p>
          <w:p>
            <w:pPr>
              <w:pStyle w:val="TableParagraph"/>
              <w:spacing w:line="334" w:lineRule="exact"/>
              <w:ind w:left="108"/>
              <w:jc w:val="both"/>
              <w:rPr>
                <w:sz w:val="20"/>
              </w:rPr>
            </w:pPr>
            <w:r>
              <w:rPr>
                <w:sz w:val="20"/>
              </w:rPr>
              <w:t>用集塵機。</w:t>
            </w:r>
          </w:p>
        </w:tc>
        <w:tc>
          <w:tcPr>
            <w:tcW w:w="1862" w:type="dxa"/>
          </w:tcPr>
          <w:p>
            <w:pPr>
              <w:pStyle w:val="TableParagraph"/>
              <w:spacing w:line="225" w:lineRule="auto"/>
              <w:ind w:left="108" w:right="140"/>
              <w:rPr>
                <w:sz w:val="20"/>
              </w:rPr>
            </w:pPr>
            <w:r>
              <w:rPr>
                <w:sz w:val="20"/>
              </w:rPr>
              <w:t>集塵系統的「內部狀態」由乾淨</w:t>
            </w:r>
            <w:r>
              <w:rPr>
                <w:rFonts w:ascii="Segoe UI" w:eastAsia="Segoe UI"/>
                <w:sz w:val="20"/>
              </w:rPr>
              <w:t>/</w:t>
            </w:r>
            <w:r>
              <w:rPr>
                <w:sz w:val="20"/>
              </w:rPr>
              <w:t>安全變為受污染</w:t>
            </w:r>
            <w:r>
              <w:rPr>
                <w:rFonts w:ascii="Segoe UI" w:eastAsia="Segoe UI"/>
                <w:sz w:val="20"/>
              </w:rPr>
              <w:t>/</w:t>
            </w:r>
            <w:r>
              <w:rPr>
                <w:sz w:val="20"/>
              </w:rPr>
              <w:t>危</w:t>
            </w:r>
          </w:p>
          <w:p>
            <w:pPr>
              <w:pStyle w:val="TableParagraph"/>
              <w:spacing w:line="334" w:lineRule="exact"/>
              <w:ind w:left="108"/>
              <w:rPr>
                <w:sz w:val="20"/>
              </w:rPr>
            </w:pPr>
            <w:r>
              <w:rPr>
                <w:sz w:val="20"/>
              </w:rPr>
              <w:t>險。</w:t>
            </w:r>
          </w:p>
        </w:tc>
        <w:tc>
          <w:tcPr>
            <w:tcW w:w="2162" w:type="dxa"/>
          </w:tcPr>
          <w:p>
            <w:pPr>
              <w:pStyle w:val="TableParagraph"/>
              <w:spacing w:line="225" w:lineRule="auto"/>
              <w:ind w:left="108" w:right="240"/>
              <w:jc w:val="both"/>
              <w:rPr>
                <w:sz w:val="20"/>
              </w:rPr>
            </w:pPr>
            <w:r>
              <w:rPr>
                <w:sz w:val="20"/>
              </w:rPr>
              <w:t>創造了燃料（鋁粉） 與點火源（鐵火花） 共存的致命條件。</w:t>
            </w:r>
          </w:p>
        </w:tc>
      </w:tr>
      <w:tr>
        <w:trPr>
          <w:trHeight w:val="691" w:hRule="atLeast"/>
        </w:trPr>
        <w:tc>
          <w:tcPr>
            <w:tcW w:w="1058" w:type="dxa"/>
          </w:tcPr>
          <w:p>
            <w:pPr>
              <w:pStyle w:val="TableParagraph"/>
              <w:spacing w:line="248" w:lineRule="exact"/>
              <w:rPr>
                <w:rFonts w:ascii="Segoe UI"/>
                <w:b/>
                <w:sz w:val="20"/>
              </w:rPr>
            </w:pPr>
            <w:r>
              <w:rPr>
                <w:rFonts w:ascii="Segoe UI"/>
                <w:b/>
                <w:sz w:val="20"/>
              </w:rPr>
              <w:t>WHEN</w:t>
            </w:r>
          </w:p>
          <w:p>
            <w:pPr>
              <w:pStyle w:val="TableParagraph"/>
              <w:spacing w:line="362" w:lineRule="exact"/>
              <w:rPr>
                <w:rFonts w:ascii="Segoe UI" w:eastAsia="Segoe UI"/>
                <w:b/>
                <w:sz w:val="20"/>
              </w:rPr>
            </w:pPr>
            <w:r>
              <w:rPr>
                <w:rFonts w:ascii="Segoe UI" w:eastAsia="Segoe UI"/>
                <w:b/>
                <w:sz w:val="20"/>
              </w:rPr>
              <w:t>(</w:t>
            </w:r>
            <w:r>
              <w:rPr>
                <w:b/>
                <w:sz w:val="20"/>
              </w:rPr>
              <w:t>何時</w:t>
            </w:r>
            <w:r>
              <w:rPr>
                <w:rFonts w:ascii="Segoe UI" w:eastAsia="Segoe UI"/>
                <w:b/>
                <w:sz w:val="20"/>
              </w:rPr>
              <w:t>)</w:t>
            </w:r>
          </w:p>
        </w:tc>
        <w:tc>
          <w:tcPr>
            <w:tcW w:w="1825" w:type="dxa"/>
          </w:tcPr>
          <w:p>
            <w:pPr>
              <w:pStyle w:val="TableParagraph"/>
              <w:spacing w:line="334" w:lineRule="exact"/>
              <w:ind w:left="108"/>
              <w:rPr>
                <w:sz w:val="20"/>
              </w:rPr>
            </w:pPr>
            <w:r>
              <w:rPr>
                <w:sz w:val="20"/>
              </w:rPr>
              <w:t>正常工作時間（上</w:t>
            </w:r>
          </w:p>
          <w:p>
            <w:pPr>
              <w:pStyle w:val="TableParagraph"/>
              <w:spacing w:line="338" w:lineRule="exact"/>
              <w:ind w:left="108"/>
              <w:rPr>
                <w:sz w:val="20"/>
              </w:rPr>
            </w:pPr>
            <w:r>
              <w:rPr>
                <w:sz w:val="20"/>
              </w:rPr>
              <w:t>午 </w:t>
            </w:r>
            <w:r>
              <w:rPr>
                <w:rFonts w:ascii="Segoe UI" w:eastAsia="Segoe UI"/>
                <w:sz w:val="20"/>
              </w:rPr>
              <w:t>9 </w:t>
            </w:r>
            <w:r>
              <w:rPr>
                <w:sz w:val="20"/>
              </w:rPr>
              <w:t>時）。</w:t>
            </w:r>
          </w:p>
        </w:tc>
        <w:tc>
          <w:tcPr>
            <w:tcW w:w="1914" w:type="dxa"/>
          </w:tcPr>
          <w:p>
            <w:pPr>
              <w:pStyle w:val="TableParagraph"/>
              <w:spacing w:line="254" w:lineRule="exact"/>
              <w:ind w:left="108"/>
              <w:rPr>
                <w:rFonts w:ascii="Segoe UI"/>
                <w:sz w:val="20"/>
              </w:rPr>
            </w:pPr>
            <w:r>
              <w:rPr>
                <w:rFonts w:ascii="Segoe UI"/>
                <w:w w:val="100"/>
                <w:sz w:val="20"/>
              </w:rPr>
              <w:t>/</w:t>
            </w:r>
          </w:p>
        </w:tc>
        <w:tc>
          <w:tcPr>
            <w:tcW w:w="1862" w:type="dxa"/>
          </w:tcPr>
          <w:p>
            <w:pPr>
              <w:pStyle w:val="TableParagraph"/>
              <w:spacing w:line="334" w:lineRule="exact"/>
              <w:ind w:left="108"/>
              <w:rPr>
                <w:sz w:val="20"/>
              </w:rPr>
            </w:pPr>
            <w:r>
              <w:rPr>
                <w:sz w:val="20"/>
              </w:rPr>
              <w:t>時間因素無顯著變</w:t>
            </w:r>
          </w:p>
          <w:p>
            <w:pPr>
              <w:pStyle w:val="TableParagraph"/>
              <w:spacing w:line="338" w:lineRule="exact"/>
              <w:ind w:left="108"/>
              <w:rPr>
                <w:sz w:val="20"/>
              </w:rPr>
            </w:pPr>
            <w:r>
              <w:rPr>
                <w:sz w:val="20"/>
              </w:rPr>
              <w:t>更。</w:t>
            </w:r>
          </w:p>
        </w:tc>
        <w:tc>
          <w:tcPr>
            <w:tcW w:w="2162" w:type="dxa"/>
          </w:tcPr>
          <w:p>
            <w:pPr>
              <w:pStyle w:val="TableParagraph"/>
              <w:spacing w:line="254" w:lineRule="exact"/>
              <w:ind w:left="108"/>
              <w:rPr>
                <w:rFonts w:ascii="Segoe UI"/>
                <w:sz w:val="20"/>
              </w:rPr>
            </w:pPr>
            <w:r>
              <w:rPr>
                <w:rFonts w:ascii="Segoe UI"/>
                <w:w w:val="100"/>
                <w:sz w:val="20"/>
              </w:rPr>
              <w:t>/</w:t>
            </w:r>
          </w:p>
        </w:tc>
      </w:tr>
      <w:tr>
        <w:trPr>
          <w:trHeight w:val="1383" w:hRule="atLeast"/>
        </w:trPr>
        <w:tc>
          <w:tcPr>
            <w:tcW w:w="1058" w:type="dxa"/>
          </w:tcPr>
          <w:p>
            <w:pPr>
              <w:pStyle w:val="TableParagraph"/>
              <w:spacing w:line="248" w:lineRule="exact"/>
              <w:rPr>
                <w:rFonts w:ascii="Segoe UI"/>
                <w:b/>
                <w:sz w:val="20"/>
              </w:rPr>
            </w:pPr>
            <w:r>
              <w:rPr>
                <w:rFonts w:ascii="Segoe UI"/>
                <w:b/>
                <w:sz w:val="20"/>
              </w:rPr>
              <w:t>WHERE</w:t>
            </w:r>
          </w:p>
          <w:p>
            <w:pPr>
              <w:pStyle w:val="TableParagraph"/>
              <w:spacing w:line="362" w:lineRule="exact"/>
              <w:rPr>
                <w:rFonts w:ascii="Segoe UI" w:eastAsia="Segoe UI"/>
                <w:b/>
                <w:sz w:val="20"/>
              </w:rPr>
            </w:pPr>
            <w:r>
              <w:rPr>
                <w:rFonts w:ascii="Segoe UI" w:eastAsia="Segoe UI"/>
                <w:b/>
                <w:sz w:val="20"/>
              </w:rPr>
              <w:t>(</w:t>
            </w:r>
            <w:r>
              <w:rPr>
                <w:b/>
                <w:sz w:val="20"/>
              </w:rPr>
              <w:t>何地</w:t>
            </w:r>
            <w:r>
              <w:rPr>
                <w:rFonts w:ascii="Segoe UI" w:eastAsia="Segoe UI"/>
                <w:b/>
                <w:sz w:val="20"/>
              </w:rPr>
              <w:t>)</w:t>
            </w:r>
          </w:p>
        </w:tc>
        <w:tc>
          <w:tcPr>
            <w:tcW w:w="1825" w:type="dxa"/>
          </w:tcPr>
          <w:p>
            <w:pPr>
              <w:pStyle w:val="TableParagraph"/>
              <w:spacing w:line="225" w:lineRule="auto"/>
              <w:ind w:left="108" w:right="104"/>
              <w:jc w:val="both"/>
              <w:rPr>
                <w:sz w:val="20"/>
              </w:rPr>
            </w:pPr>
            <w:r>
              <w:rPr>
                <w:sz w:val="20"/>
              </w:rPr>
              <w:t>於研磨區，爆炸發生在移動式袋式集塵機內部。</w:t>
            </w:r>
          </w:p>
        </w:tc>
        <w:tc>
          <w:tcPr>
            <w:tcW w:w="1914" w:type="dxa"/>
          </w:tcPr>
          <w:p>
            <w:pPr>
              <w:pStyle w:val="TableParagraph"/>
              <w:spacing w:line="225" w:lineRule="auto"/>
              <w:ind w:left="108" w:right="192"/>
              <w:rPr>
                <w:sz w:val="20"/>
              </w:rPr>
            </w:pPr>
            <w:r>
              <w:rPr>
                <w:sz w:val="20"/>
              </w:rPr>
              <w:t>於研磨區，集塵機內部安全。</w:t>
            </w:r>
          </w:p>
        </w:tc>
        <w:tc>
          <w:tcPr>
            <w:tcW w:w="1862" w:type="dxa"/>
          </w:tcPr>
          <w:p>
            <w:pPr>
              <w:pStyle w:val="TableParagraph"/>
              <w:spacing w:line="225" w:lineRule="auto"/>
              <w:ind w:left="108" w:right="140"/>
              <w:rPr>
                <w:sz w:val="20"/>
              </w:rPr>
            </w:pPr>
            <w:r>
              <w:rPr>
                <w:sz w:val="20"/>
              </w:rPr>
              <w:t>危害地點由「外部作業區」轉移至</w:t>
            </w:r>
          </w:p>
          <w:p>
            <w:pPr>
              <w:pStyle w:val="TableParagraph"/>
              <w:spacing w:line="342" w:lineRule="exact"/>
              <w:ind w:left="108"/>
              <w:rPr>
                <w:sz w:val="20"/>
              </w:rPr>
            </w:pPr>
            <w:r>
              <w:rPr>
                <w:sz w:val="20"/>
              </w:rPr>
              <w:t>「內部密閉設</w:t>
            </w:r>
          </w:p>
          <w:p>
            <w:pPr>
              <w:pStyle w:val="TableParagraph"/>
              <w:spacing w:line="338" w:lineRule="exact"/>
              <w:ind w:left="108"/>
              <w:rPr>
                <w:sz w:val="20"/>
              </w:rPr>
            </w:pPr>
            <w:r>
              <w:rPr>
                <w:sz w:val="20"/>
              </w:rPr>
              <w:t>備」。</w:t>
            </w:r>
          </w:p>
        </w:tc>
        <w:tc>
          <w:tcPr>
            <w:tcW w:w="2162" w:type="dxa"/>
          </w:tcPr>
          <w:p>
            <w:pPr>
              <w:pStyle w:val="TableParagraph"/>
              <w:spacing w:line="225" w:lineRule="auto"/>
              <w:ind w:left="108" w:right="240"/>
              <w:jc w:val="both"/>
              <w:rPr>
                <w:sz w:val="20"/>
              </w:rPr>
            </w:pPr>
            <w:r>
              <w:rPr>
                <w:sz w:val="20"/>
              </w:rPr>
              <w:t>在密閉空間內爆炸， 威力更集中，破壞性更強。</w:t>
            </w:r>
          </w:p>
        </w:tc>
      </w:tr>
      <w:tr>
        <w:trPr>
          <w:trHeight w:val="1384" w:hRule="atLeast"/>
        </w:trPr>
        <w:tc>
          <w:tcPr>
            <w:tcW w:w="1058" w:type="dxa"/>
          </w:tcPr>
          <w:p>
            <w:pPr>
              <w:pStyle w:val="TableParagraph"/>
              <w:spacing w:line="334" w:lineRule="exact"/>
              <w:rPr>
                <w:b/>
                <w:sz w:val="20"/>
              </w:rPr>
            </w:pPr>
            <w:r>
              <w:rPr>
                <w:rFonts w:ascii="Segoe UI" w:eastAsia="Segoe UI"/>
                <w:b/>
                <w:sz w:val="20"/>
              </w:rPr>
              <w:t>WHO (</w:t>
            </w:r>
            <w:r>
              <w:rPr>
                <w:b/>
                <w:sz w:val="20"/>
              </w:rPr>
              <w:t>何</w:t>
            </w:r>
          </w:p>
          <w:p>
            <w:pPr>
              <w:pStyle w:val="TableParagraph"/>
              <w:spacing w:line="357" w:lineRule="exact"/>
              <w:rPr>
                <w:rFonts w:ascii="Segoe UI" w:eastAsia="Segoe UI"/>
                <w:b/>
                <w:sz w:val="20"/>
              </w:rPr>
            </w:pPr>
            <w:r>
              <w:rPr>
                <w:b/>
                <w:sz w:val="20"/>
              </w:rPr>
              <w:t>人</w:t>
            </w:r>
            <w:r>
              <w:rPr>
                <w:rFonts w:ascii="Segoe UI" w:eastAsia="Segoe UI"/>
                <w:b/>
                <w:sz w:val="20"/>
              </w:rPr>
              <w:t>)</w:t>
            </w:r>
          </w:p>
        </w:tc>
        <w:tc>
          <w:tcPr>
            <w:tcW w:w="1825" w:type="dxa"/>
          </w:tcPr>
          <w:p>
            <w:pPr>
              <w:pStyle w:val="TableParagraph"/>
              <w:spacing w:line="225" w:lineRule="auto"/>
              <w:ind w:left="108" w:right="104"/>
              <w:rPr>
                <w:sz w:val="20"/>
              </w:rPr>
            </w:pPr>
            <w:r>
              <w:rPr>
                <w:sz w:val="20"/>
              </w:rPr>
              <w:t>缺乏粉塵爆炸危害認知的勞工。</w:t>
            </w:r>
          </w:p>
        </w:tc>
        <w:tc>
          <w:tcPr>
            <w:tcW w:w="1914" w:type="dxa"/>
          </w:tcPr>
          <w:p>
            <w:pPr>
              <w:pStyle w:val="TableParagraph"/>
              <w:spacing w:line="225" w:lineRule="auto"/>
              <w:ind w:left="108" w:right="192"/>
              <w:jc w:val="both"/>
              <w:rPr>
                <w:sz w:val="20"/>
              </w:rPr>
            </w:pPr>
            <w:r>
              <w:rPr>
                <w:sz w:val="20"/>
              </w:rPr>
              <w:t>接受過完整訓練， 了解混合研磨危害的勞工。</w:t>
            </w:r>
          </w:p>
        </w:tc>
        <w:tc>
          <w:tcPr>
            <w:tcW w:w="1862" w:type="dxa"/>
          </w:tcPr>
          <w:p>
            <w:pPr>
              <w:pStyle w:val="TableParagraph"/>
              <w:spacing w:line="225" w:lineRule="auto"/>
              <w:ind w:left="108" w:right="140"/>
              <w:jc w:val="both"/>
              <w:rPr>
                <w:sz w:val="20"/>
              </w:rPr>
            </w:pPr>
            <w:r>
              <w:rPr>
                <w:sz w:val="20"/>
              </w:rPr>
              <w:t>作業人員的「危害認知」由具備變為不足。</w:t>
            </w:r>
          </w:p>
        </w:tc>
        <w:tc>
          <w:tcPr>
            <w:tcW w:w="2162" w:type="dxa"/>
          </w:tcPr>
          <w:p>
            <w:pPr>
              <w:pStyle w:val="TableParagraph"/>
              <w:spacing w:line="225" w:lineRule="auto"/>
              <w:ind w:left="108" w:right="240"/>
              <w:jc w:val="both"/>
              <w:rPr>
                <w:sz w:val="20"/>
              </w:rPr>
            </w:pPr>
            <w:r>
              <w:rPr>
                <w:sz w:val="20"/>
              </w:rPr>
              <w:t>勞工未能採取必要的預防措施（如作業前檢查、清理集塵</w:t>
            </w:r>
          </w:p>
          <w:p>
            <w:pPr>
              <w:pStyle w:val="TableParagraph"/>
              <w:spacing w:line="334" w:lineRule="exact"/>
              <w:ind w:left="108"/>
              <w:jc w:val="both"/>
              <w:rPr>
                <w:sz w:val="20"/>
              </w:rPr>
            </w:pPr>
            <w:r>
              <w:rPr>
                <w:sz w:val="20"/>
              </w:rPr>
              <w:t>機）。</w:t>
            </w:r>
          </w:p>
        </w:tc>
      </w:tr>
    </w:tbl>
    <w:p>
      <w:pPr>
        <w:spacing w:after="0" w:line="334" w:lineRule="exact"/>
        <w:jc w:val="both"/>
        <w:rPr>
          <w:sz w:val="20"/>
        </w:rPr>
        <w:sectPr>
          <w:pgSz w:w="11910" w:h="16840"/>
          <w:pgMar w:top="1420" w:bottom="280" w:left="1660" w:right="114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1825"/>
        <w:gridCol w:w="1914"/>
        <w:gridCol w:w="1862"/>
        <w:gridCol w:w="2162"/>
      </w:tblGrid>
      <w:tr>
        <w:trPr>
          <w:trHeight w:val="1037" w:hRule="atLeast"/>
        </w:trPr>
        <w:tc>
          <w:tcPr>
            <w:tcW w:w="1058" w:type="dxa"/>
          </w:tcPr>
          <w:p>
            <w:pPr>
              <w:pStyle w:val="TableParagraph"/>
              <w:spacing w:line="346" w:lineRule="exact"/>
              <w:rPr>
                <w:b/>
                <w:sz w:val="20"/>
              </w:rPr>
            </w:pPr>
            <w:r>
              <w:rPr>
                <w:rFonts w:ascii="Segoe UI" w:eastAsia="Segoe UI"/>
                <w:b/>
                <w:sz w:val="20"/>
              </w:rPr>
              <w:t>HOW (</w:t>
            </w:r>
            <w:r>
              <w:rPr>
                <w:b/>
                <w:sz w:val="20"/>
              </w:rPr>
              <w:t>如</w:t>
            </w:r>
          </w:p>
          <w:p>
            <w:pPr>
              <w:pStyle w:val="TableParagraph"/>
              <w:spacing w:line="357" w:lineRule="exact"/>
              <w:rPr>
                <w:rFonts w:ascii="Segoe UI" w:eastAsia="Segoe UI"/>
                <w:b/>
                <w:sz w:val="20"/>
              </w:rPr>
            </w:pPr>
            <w:r>
              <w:rPr>
                <w:b/>
                <w:sz w:val="20"/>
              </w:rPr>
              <w:t>何</w:t>
            </w:r>
            <w:r>
              <w:rPr>
                <w:rFonts w:ascii="Segoe UI" w:eastAsia="Segoe UI"/>
                <w:b/>
                <w:sz w:val="20"/>
              </w:rPr>
              <w:t>)</w:t>
            </w:r>
          </w:p>
        </w:tc>
        <w:tc>
          <w:tcPr>
            <w:tcW w:w="1825" w:type="dxa"/>
          </w:tcPr>
          <w:p>
            <w:pPr>
              <w:pStyle w:val="TableParagraph"/>
              <w:spacing w:line="225" w:lineRule="auto" w:before="4"/>
              <w:ind w:left="108" w:right="104"/>
              <w:rPr>
                <w:sz w:val="20"/>
              </w:rPr>
            </w:pPr>
            <w:r>
              <w:rPr>
                <w:spacing w:val="-3"/>
                <w:sz w:val="20"/>
              </w:rPr>
              <w:t>使用同一台未清理的集塵機，處理會</w:t>
            </w:r>
          </w:p>
          <w:p>
            <w:pPr>
              <w:pStyle w:val="TableParagraph"/>
              <w:spacing w:line="322" w:lineRule="exact"/>
              <w:ind w:left="108"/>
              <w:rPr>
                <w:sz w:val="20"/>
              </w:rPr>
            </w:pPr>
            <w:r>
              <w:rPr>
                <w:spacing w:val="-1"/>
                <w:sz w:val="20"/>
              </w:rPr>
              <w:t>產生火花的鐵件。</w:t>
            </w:r>
          </w:p>
        </w:tc>
        <w:tc>
          <w:tcPr>
            <w:tcW w:w="1914" w:type="dxa"/>
          </w:tcPr>
          <w:p>
            <w:pPr>
              <w:pStyle w:val="TableParagraph"/>
              <w:spacing w:line="225" w:lineRule="auto" w:before="4"/>
              <w:ind w:left="108" w:right="192"/>
              <w:rPr>
                <w:sz w:val="20"/>
              </w:rPr>
            </w:pPr>
            <w:r>
              <w:rPr>
                <w:spacing w:val="-2"/>
                <w:sz w:val="20"/>
              </w:rPr>
              <w:t>不同材質使用不同</w:t>
            </w:r>
            <w:r>
              <w:rPr>
                <w:spacing w:val="-3"/>
                <w:sz w:val="20"/>
              </w:rPr>
              <w:t>集塵機，或在更換</w:t>
            </w:r>
          </w:p>
          <w:p>
            <w:pPr>
              <w:pStyle w:val="TableParagraph"/>
              <w:spacing w:line="322" w:lineRule="exact"/>
              <w:ind w:left="108"/>
              <w:rPr>
                <w:sz w:val="20"/>
              </w:rPr>
            </w:pPr>
            <w:r>
              <w:rPr>
                <w:spacing w:val="-1"/>
                <w:sz w:val="20"/>
              </w:rPr>
              <w:t>材質前徹底清理。</w:t>
            </w:r>
          </w:p>
        </w:tc>
        <w:tc>
          <w:tcPr>
            <w:tcW w:w="1862" w:type="dxa"/>
          </w:tcPr>
          <w:p>
            <w:pPr>
              <w:pStyle w:val="TableParagraph"/>
              <w:spacing w:line="225" w:lineRule="auto" w:before="4"/>
              <w:ind w:left="108" w:right="140"/>
              <w:rPr>
                <w:sz w:val="20"/>
              </w:rPr>
            </w:pPr>
            <w:r>
              <w:rPr>
                <w:sz w:val="20"/>
              </w:rPr>
              <w:t>「作業程序」發生了致命性改變（混</w:t>
            </w:r>
          </w:p>
          <w:p>
            <w:pPr>
              <w:pStyle w:val="TableParagraph"/>
              <w:spacing w:line="322" w:lineRule="exact"/>
              <w:ind w:left="108"/>
              <w:rPr>
                <w:sz w:val="20"/>
              </w:rPr>
            </w:pPr>
            <w:r>
              <w:rPr>
                <w:sz w:val="20"/>
              </w:rPr>
              <w:t>合使用）。</w:t>
            </w:r>
          </w:p>
        </w:tc>
        <w:tc>
          <w:tcPr>
            <w:tcW w:w="2162" w:type="dxa"/>
          </w:tcPr>
          <w:p>
            <w:pPr>
              <w:pStyle w:val="TableParagraph"/>
              <w:spacing w:line="225" w:lineRule="auto" w:before="4"/>
              <w:ind w:left="108" w:right="240"/>
              <w:rPr>
                <w:sz w:val="20"/>
              </w:rPr>
            </w:pPr>
            <w:r>
              <w:rPr>
                <w:sz w:val="20"/>
              </w:rPr>
              <w:t>將點火源直接引入了充滿爆炸性粉塵的環</w:t>
            </w:r>
          </w:p>
          <w:p>
            <w:pPr>
              <w:pStyle w:val="TableParagraph"/>
              <w:spacing w:line="322" w:lineRule="exact"/>
              <w:ind w:left="108"/>
              <w:rPr>
                <w:sz w:val="20"/>
              </w:rPr>
            </w:pPr>
            <w:r>
              <w:rPr>
                <w:sz w:val="20"/>
              </w:rPr>
              <w:t>境中。</w:t>
            </w:r>
          </w:p>
        </w:tc>
      </w:tr>
      <w:tr>
        <w:trPr>
          <w:trHeight w:val="1384" w:hRule="atLeast"/>
        </w:trPr>
        <w:tc>
          <w:tcPr>
            <w:tcW w:w="1058" w:type="dxa"/>
          </w:tcPr>
          <w:p>
            <w:pPr>
              <w:pStyle w:val="TableParagraph"/>
              <w:spacing w:line="260" w:lineRule="exact"/>
              <w:rPr>
                <w:rFonts w:ascii="Segoe UI"/>
                <w:b/>
                <w:sz w:val="20"/>
              </w:rPr>
            </w:pPr>
            <w:r>
              <w:rPr>
                <w:rFonts w:ascii="Segoe UI"/>
                <w:b/>
                <w:sz w:val="20"/>
              </w:rPr>
              <w:t>OTHER</w:t>
            </w:r>
          </w:p>
          <w:p>
            <w:pPr>
              <w:pStyle w:val="TableParagraph"/>
              <w:spacing w:line="362" w:lineRule="exact"/>
              <w:rPr>
                <w:rFonts w:ascii="Segoe UI" w:eastAsia="Segoe UI"/>
                <w:b/>
                <w:sz w:val="20"/>
              </w:rPr>
            </w:pPr>
            <w:r>
              <w:rPr>
                <w:rFonts w:ascii="Segoe UI" w:eastAsia="Segoe UI"/>
                <w:b/>
                <w:sz w:val="20"/>
              </w:rPr>
              <w:t>(</w:t>
            </w:r>
            <w:r>
              <w:rPr>
                <w:b/>
                <w:sz w:val="20"/>
              </w:rPr>
              <w:t>其他</w:t>
            </w:r>
            <w:r>
              <w:rPr>
                <w:rFonts w:ascii="Segoe UI" w:eastAsia="Segoe UI"/>
                <w:b/>
                <w:sz w:val="20"/>
              </w:rPr>
              <w:t>)</w:t>
            </w:r>
          </w:p>
        </w:tc>
        <w:tc>
          <w:tcPr>
            <w:tcW w:w="1825" w:type="dxa"/>
          </w:tcPr>
          <w:p>
            <w:pPr>
              <w:pStyle w:val="TableParagraph"/>
              <w:spacing w:line="225" w:lineRule="auto" w:before="4"/>
              <w:ind w:left="108" w:right="104"/>
              <w:rPr>
                <w:sz w:val="20"/>
              </w:rPr>
            </w:pPr>
            <w:r>
              <w:rPr>
                <w:sz w:val="20"/>
              </w:rPr>
              <w:t>無粉塵爆炸風險管理計畫。</w:t>
            </w:r>
          </w:p>
        </w:tc>
        <w:tc>
          <w:tcPr>
            <w:tcW w:w="1914" w:type="dxa"/>
          </w:tcPr>
          <w:p>
            <w:pPr>
              <w:pStyle w:val="TableParagraph"/>
              <w:spacing w:line="225" w:lineRule="auto" w:before="4"/>
              <w:ind w:left="108" w:right="192"/>
              <w:jc w:val="both"/>
              <w:rPr>
                <w:sz w:val="20"/>
              </w:rPr>
            </w:pPr>
            <w:r>
              <w:rPr>
                <w:sz w:val="20"/>
              </w:rPr>
              <w:t>有完整的粉塵爆炸風險評估與管理程序。</w:t>
            </w:r>
          </w:p>
        </w:tc>
        <w:tc>
          <w:tcPr>
            <w:tcW w:w="1862" w:type="dxa"/>
          </w:tcPr>
          <w:p>
            <w:pPr>
              <w:pStyle w:val="TableParagraph"/>
              <w:spacing w:line="346" w:lineRule="exact"/>
              <w:ind w:left="108"/>
              <w:rPr>
                <w:sz w:val="20"/>
              </w:rPr>
            </w:pPr>
            <w:r>
              <w:rPr>
                <w:sz w:val="20"/>
              </w:rPr>
              <w:t>安全管理措施由</w:t>
            </w:r>
          </w:p>
          <w:p>
            <w:pPr>
              <w:pStyle w:val="TableParagraph"/>
              <w:spacing w:line="225" w:lineRule="auto" w:before="5"/>
              <w:ind w:left="108" w:right="140"/>
              <w:rPr>
                <w:sz w:val="20"/>
              </w:rPr>
            </w:pPr>
            <w:r>
              <w:rPr>
                <w:sz w:val="20"/>
              </w:rPr>
              <w:t>「存在且有效」變為「完全缺失」。</w:t>
            </w:r>
          </w:p>
        </w:tc>
        <w:tc>
          <w:tcPr>
            <w:tcW w:w="2162" w:type="dxa"/>
          </w:tcPr>
          <w:p>
            <w:pPr>
              <w:pStyle w:val="TableParagraph"/>
              <w:spacing w:line="225" w:lineRule="auto" w:before="4"/>
              <w:ind w:left="108" w:right="240"/>
              <w:jc w:val="both"/>
              <w:rPr>
                <w:sz w:val="20"/>
              </w:rPr>
            </w:pPr>
            <w:r>
              <w:rPr>
                <w:sz w:val="20"/>
              </w:rPr>
              <w:t>這是所有不安全行為與狀況得以發生的根本原因，是管理系統</w:t>
            </w:r>
          </w:p>
          <w:p>
            <w:pPr>
              <w:pStyle w:val="TableParagraph"/>
              <w:spacing w:line="323" w:lineRule="exact"/>
              <w:ind w:left="108"/>
              <w:jc w:val="both"/>
              <w:rPr>
                <w:sz w:val="20"/>
              </w:rPr>
            </w:pPr>
            <w:r>
              <w:rPr>
                <w:sz w:val="20"/>
              </w:rPr>
              <w:t>的失效。</w:t>
            </w:r>
          </w:p>
        </w:tc>
      </w:tr>
    </w:tbl>
    <w:p>
      <w:pPr>
        <w:pStyle w:val="BodyText"/>
        <w:spacing w:before="14"/>
        <w:rPr>
          <w:sz w:val="14"/>
        </w:rPr>
      </w:pPr>
      <w:r>
        <w:rPr/>
        <w:pict>
          <v:line style="position:absolute;mso-position-horizontal-relative:page;mso-position-vertical-relative:paragraph;z-index:-856;mso-wrap-distance-left:0;mso-wrap-distance-right:0" from="88.5pt,15.96pt" to="533.1pt,15.96pt" stroked="true" strokeweight=".72pt" strokecolor="#000000">
            <v:stroke dashstyle="solid"/>
            <w10:wrap type="topAndBottom"/>
          </v:line>
        </w:pict>
      </w:r>
    </w:p>
    <w:p>
      <w:pPr>
        <w:pStyle w:val="BodyText"/>
        <w:spacing w:before="9"/>
        <w:rPr>
          <w:sz w:val="11"/>
        </w:rPr>
      </w:pPr>
    </w:p>
    <w:p>
      <w:pPr>
        <w:pStyle w:val="Heading1"/>
        <w:numPr>
          <w:ilvl w:val="0"/>
          <w:numId w:val="2"/>
        </w:numPr>
        <w:tabs>
          <w:tab w:pos="859" w:val="left" w:leader="none"/>
          <w:tab w:pos="860" w:val="left" w:leader="none"/>
        </w:tabs>
        <w:spacing w:line="428" w:lineRule="exact" w:before="39" w:after="0"/>
        <w:ind w:left="860" w:right="0" w:hanging="360"/>
        <w:jc w:val="left"/>
      </w:pPr>
      <w:r>
        <w:rPr/>
        <w:t>人為失誤分析</w:t>
      </w:r>
    </w:p>
    <w:p>
      <w:pPr>
        <w:pStyle w:val="BodyText"/>
        <w:spacing w:line="428" w:lineRule="exact"/>
        <w:ind w:left="140"/>
      </w:pPr>
      <w:r>
        <w:rPr/>
        <w:t>本分析探討影響人員行為的深層次原因，而非僅歸咎於個人。</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4385"/>
        <w:gridCol w:w="3658"/>
      </w:tblGrid>
      <w:tr>
        <w:trPr>
          <w:trHeight w:val="692" w:hRule="atLeast"/>
        </w:trPr>
        <w:tc>
          <w:tcPr>
            <w:tcW w:w="780" w:type="dxa"/>
          </w:tcPr>
          <w:p>
            <w:pPr>
              <w:pStyle w:val="TableParagraph"/>
              <w:spacing w:line="333" w:lineRule="exact"/>
              <w:rPr>
                <w:sz w:val="20"/>
              </w:rPr>
            </w:pPr>
            <w:r>
              <w:rPr>
                <w:sz w:val="20"/>
              </w:rPr>
              <w:t>失誤</w:t>
            </w:r>
          </w:p>
          <w:p>
            <w:pPr>
              <w:pStyle w:val="TableParagraph"/>
              <w:spacing w:line="339" w:lineRule="exact"/>
              <w:rPr>
                <w:sz w:val="20"/>
              </w:rPr>
            </w:pPr>
            <w:r>
              <w:rPr>
                <w:sz w:val="20"/>
              </w:rPr>
              <w:t>類型</w:t>
            </w:r>
          </w:p>
        </w:tc>
        <w:tc>
          <w:tcPr>
            <w:tcW w:w="4385" w:type="dxa"/>
          </w:tcPr>
          <w:p>
            <w:pPr>
              <w:pStyle w:val="TableParagraph"/>
              <w:spacing w:line="344" w:lineRule="exact"/>
              <w:rPr>
                <w:sz w:val="20"/>
              </w:rPr>
            </w:pPr>
            <w:r>
              <w:rPr>
                <w:sz w:val="20"/>
              </w:rPr>
              <w:t>主要不安全行為</w:t>
            </w:r>
            <w:r>
              <w:rPr>
                <w:rFonts w:ascii="Segoe UI" w:eastAsia="Segoe UI"/>
                <w:sz w:val="20"/>
              </w:rPr>
              <w:t>/</w:t>
            </w:r>
            <w:r>
              <w:rPr>
                <w:sz w:val="20"/>
              </w:rPr>
              <w:t>失誤</w:t>
            </w:r>
          </w:p>
        </w:tc>
        <w:tc>
          <w:tcPr>
            <w:tcW w:w="3658" w:type="dxa"/>
          </w:tcPr>
          <w:p>
            <w:pPr>
              <w:pStyle w:val="TableParagraph"/>
              <w:spacing w:line="344" w:lineRule="exact"/>
              <w:rPr>
                <w:sz w:val="20"/>
              </w:rPr>
            </w:pPr>
            <w:r>
              <w:rPr>
                <w:sz w:val="20"/>
              </w:rPr>
              <w:t>根本原因（組織與系統層面）</w:t>
            </w:r>
          </w:p>
        </w:tc>
      </w:tr>
      <w:tr>
        <w:trPr>
          <w:trHeight w:val="1728" w:hRule="atLeast"/>
        </w:trPr>
        <w:tc>
          <w:tcPr>
            <w:tcW w:w="780" w:type="dxa"/>
          </w:tcPr>
          <w:p>
            <w:pPr>
              <w:pStyle w:val="TableParagraph"/>
              <w:spacing w:line="225" w:lineRule="auto"/>
              <w:ind w:right="259"/>
              <w:jc w:val="both"/>
              <w:rPr>
                <w:b/>
                <w:sz w:val="20"/>
              </w:rPr>
            </w:pPr>
            <w:r>
              <w:rPr>
                <w:b/>
                <w:sz w:val="20"/>
              </w:rPr>
              <w:t>知識性錯誤</w:t>
            </w:r>
          </w:p>
        </w:tc>
        <w:tc>
          <w:tcPr>
            <w:tcW w:w="4385" w:type="dxa"/>
          </w:tcPr>
          <w:p>
            <w:pPr>
              <w:pStyle w:val="TableParagraph"/>
              <w:spacing w:line="225" w:lineRule="auto"/>
              <w:ind w:right="264"/>
              <w:rPr>
                <w:sz w:val="20"/>
              </w:rPr>
            </w:pPr>
            <w:r>
              <w:rPr>
                <w:sz w:val="20"/>
              </w:rPr>
              <w:t>作業人員不了解鋁合金粉塵具有爆炸性，也不知道研磨鐵件的火花會引燃鋁粉。</w:t>
            </w:r>
          </w:p>
        </w:tc>
        <w:tc>
          <w:tcPr>
            <w:tcW w:w="3658" w:type="dxa"/>
          </w:tcPr>
          <w:p>
            <w:pPr>
              <w:pStyle w:val="TableParagraph"/>
              <w:spacing w:line="333" w:lineRule="exact"/>
              <w:rPr>
                <w:b/>
                <w:sz w:val="20"/>
              </w:rPr>
            </w:pPr>
            <w:r>
              <w:rPr>
                <w:b/>
                <w:sz w:val="20"/>
              </w:rPr>
              <w:t>訓練與文化：</w:t>
            </w:r>
          </w:p>
          <w:p>
            <w:pPr>
              <w:pStyle w:val="TableParagraph"/>
              <w:spacing w:line="225" w:lineRule="auto" w:before="4"/>
              <w:ind w:right="137"/>
              <w:rPr>
                <w:sz w:val="20"/>
              </w:rPr>
            </w:pPr>
            <w:r>
              <w:rPr>
                <w:sz w:val="20"/>
              </w:rPr>
              <w:t>危害告知與安全教育訓練不足，未對員工進行粉塵爆炸相關危害的訓練。</w:t>
            </w:r>
          </w:p>
          <w:p>
            <w:pPr>
              <w:pStyle w:val="TableParagraph"/>
              <w:spacing w:line="342" w:lineRule="exact"/>
              <w:rPr>
                <w:sz w:val="20"/>
              </w:rPr>
            </w:pPr>
            <w:r>
              <w:rPr>
                <w:sz w:val="20"/>
              </w:rPr>
              <w:t>安全文化薄弱，可能只注重產能而忽略</w:t>
            </w:r>
          </w:p>
          <w:p>
            <w:pPr>
              <w:pStyle w:val="TableParagraph"/>
              <w:spacing w:line="338" w:lineRule="exact"/>
              <w:rPr>
                <w:sz w:val="20"/>
              </w:rPr>
            </w:pPr>
            <w:r>
              <w:rPr>
                <w:sz w:val="20"/>
              </w:rPr>
              <w:t>潛在的製程風險。</w:t>
            </w:r>
          </w:p>
        </w:tc>
      </w:tr>
      <w:tr>
        <w:trPr>
          <w:trHeight w:val="2768" w:hRule="atLeast"/>
        </w:trPr>
        <w:tc>
          <w:tcPr>
            <w:tcW w:w="780" w:type="dxa"/>
          </w:tcPr>
          <w:p>
            <w:pPr>
              <w:pStyle w:val="TableParagraph"/>
              <w:spacing w:line="225" w:lineRule="auto"/>
              <w:ind w:right="259"/>
              <w:jc w:val="both"/>
              <w:rPr>
                <w:b/>
                <w:sz w:val="20"/>
              </w:rPr>
            </w:pPr>
            <w:r>
              <w:rPr>
                <w:b/>
                <w:sz w:val="20"/>
              </w:rPr>
              <w:t>規則性錯誤</w:t>
            </w:r>
          </w:p>
        </w:tc>
        <w:tc>
          <w:tcPr>
            <w:tcW w:w="4385" w:type="dxa"/>
          </w:tcPr>
          <w:p>
            <w:pPr>
              <w:pStyle w:val="TableParagraph"/>
              <w:spacing w:line="225" w:lineRule="auto"/>
              <w:ind w:right="185" w:hanging="1"/>
              <w:jc w:val="both"/>
              <w:rPr>
                <w:sz w:val="20"/>
              </w:rPr>
            </w:pPr>
            <w:r>
              <w:rPr>
                <w:sz w:val="20"/>
              </w:rPr>
              <w:t>在沒有明確作業規範下，將用於不同金</w:t>
            </w:r>
            <w:r>
              <w:rPr>
                <w:rFonts w:ascii="Segoe UI" w:eastAsia="Segoe UI"/>
                <w:sz w:val="20"/>
              </w:rPr>
              <w:t>-</w:t>
            </w:r>
            <w:r>
              <w:rPr>
                <w:sz w:val="20"/>
              </w:rPr>
              <w:t>屬研磨的程序混用，或遵循了不適用於此情境的通用規則。</w:t>
            </w:r>
          </w:p>
        </w:tc>
        <w:tc>
          <w:tcPr>
            <w:tcW w:w="3658" w:type="dxa"/>
          </w:tcPr>
          <w:p>
            <w:pPr>
              <w:pStyle w:val="TableParagraph"/>
              <w:spacing w:line="334" w:lineRule="exact"/>
              <w:rPr>
                <w:b/>
                <w:sz w:val="20"/>
              </w:rPr>
            </w:pPr>
            <w:r>
              <w:rPr>
                <w:b/>
                <w:sz w:val="20"/>
              </w:rPr>
              <w:t>安全管理制度：</w:t>
            </w:r>
          </w:p>
          <w:p>
            <w:pPr>
              <w:pStyle w:val="TableParagraph"/>
              <w:spacing w:line="225" w:lineRule="auto" w:before="4"/>
              <w:ind w:right="137"/>
              <w:rPr>
                <w:sz w:val="20"/>
              </w:rPr>
            </w:pPr>
            <w:r>
              <w:rPr>
                <w:sz w:val="20"/>
              </w:rPr>
              <w:t>缺乏處理可燃性粉塵的專門安全作業標準（</w:t>
            </w:r>
            <w:r>
              <w:rPr>
                <w:rFonts w:ascii="Segoe UI" w:eastAsia="Segoe UI"/>
                <w:sz w:val="20"/>
              </w:rPr>
              <w:t>SOP</w:t>
            </w:r>
            <w:r>
              <w:rPr>
                <w:sz w:val="20"/>
              </w:rPr>
              <w:t>）。</w:t>
            </w:r>
          </w:p>
          <w:p>
            <w:pPr>
              <w:pStyle w:val="TableParagraph"/>
              <w:spacing w:line="225" w:lineRule="auto"/>
              <w:ind w:right="137"/>
              <w:rPr>
                <w:sz w:val="20"/>
              </w:rPr>
            </w:pPr>
            <w:r>
              <w:rPr>
                <w:sz w:val="20"/>
              </w:rPr>
              <w:t>未建立更換研磨材料前必須清理集塵設備的強制性規定。</w:t>
            </w:r>
          </w:p>
          <w:p>
            <w:pPr>
              <w:pStyle w:val="TableParagraph"/>
              <w:spacing w:line="342" w:lineRule="exact"/>
              <w:rPr>
                <w:b/>
                <w:sz w:val="20"/>
              </w:rPr>
            </w:pPr>
            <w:r>
              <w:rPr>
                <w:b/>
                <w:sz w:val="20"/>
              </w:rPr>
              <w:t>監督與資源：</w:t>
            </w:r>
          </w:p>
          <w:p>
            <w:pPr>
              <w:pStyle w:val="TableParagraph"/>
              <w:spacing w:line="346" w:lineRule="exact"/>
              <w:rPr>
                <w:sz w:val="20"/>
              </w:rPr>
            </w:pPr>
            <w:r>
              <w:rPr>
                <w:sz w:val="20"/>
              </w:rPr>
              <w:t>管理階層未提供專用的集塵設備或充足</w:t>
            </w:r>
          </w:p>
          <w:p>
            <w:pPr>
              <w:pStyle w:val="TableParagraph"/>
              <w:spacing w:line="339" w:lineRule="exact"/>
              <w:rPr>
                <w:sz w:val="20"/>
              </w:rPr>
            </w:pPr>
            <w:r>
              <w:rPr>
                <w:sz w:val="20"/>
              </w:rPr>
              <w:t>的清理工具與時間。</w:t>
            </w:r>
          </w:p>
        </w:tc>
      </w:tr>
    </w:tbl>
    <w:p>
      <w:pPr>
        <w:pStyle w:val="BodyText"/>
        <w:spacing w:before="2"/>
        <w:rPr>
          <w:sz w:val="14"/>
        </w:rPr>
      </w:pPr>
      <w:r>
        <w:rPr/>
        <w:pict>
          <v:line style="position:absolute;mso-position-horizontal-relative:page;mso-position-vertical-relative:paragraph;z-index:-832;mso-wrap-distance-left:0;mso-wrap-distance-right:0" from="88.5pt,15.348814pt" to="533.1pt,15.348814pt" stroked="true" strokeweight=".72pt" strokecolor="#000000">
            <v:stroke dashstyle="solid"/>
            <w10:wrap type="topAndBottom"/>
          </v:line>
        </w:pict>
      </w:r>
    </w:p>
    <w:p>
      <w:pPr>
        <w:pStyle w:val="Heading1"/>
        <w:numPr>
          <w:ilvl w:val="0"/>
          <w:numId w:val="2"/>
        </w:numPr>
        <w:tabs>
          <w:tab w:pos="859" w:val="left" w:leader="none"/>
          <w:tab w:pos="860" w:val="left" w:leader="none"/>
        </w:tabs>
        <w:spacing w:line="428" w:lineRule="exact" w:before="251" w:after="0"/>
        <w:ind w:left="860" w:right="0" w:hanging="360"/>
        <w:jc w:val="left"/>
      </w:pPr>
      <w:r>
        <w:rPr/>
        <w:t>根本原因分析與改善措施</w:t>
      </w:r>
    </w:p>
    <w:p>
      <w:pPr>
        <w:spacing w:line="415" w:lineRule="exact" w:before="0"/>
        <w:ind w:left="140" w:right="0" w:firstLine="0"/>
        <w:jc w:val="left"/>
        <w:rPr>
          <w:b/>
          <w:sz w:val="24"/>
        </w:rPr>
      </w:pPr>
      <w:r>
        <w:rPr>
          <w:rFonts w:ascii="Calibri" w:eastAsia="Calibri"/>
          <w:b/>
          <w:sz w:val="24"/>
        </w:rPr>
        <w:t>(</w:t>
      </w:r>
      <w:r>
        <w:rPr>
          <w:b/>
          <w:sz w:val="24"/>
        </w:rPr>
        <w:t>一</w:t>
      </w:r>
      <w:r>
        <w:rPr>
          <w:rFonts w:ascii="Calibri" w:eastAsia="Calibri"/>
          <w:b/>
          <w:sz w:val="24"/>
        </w:rPr>
        <w:t>) </w:t>
      </w:r>
      <w:r>
        <w:rPr>
          <w:b/>
          <w:sz w:val="24"/>
        </w:rPr>
        <w:t>立即原因</w:t>
      </w:r>
    </w:p>
    <w:p>
      <w:pPr>
        <w:pStyle w:val="ListParagraph"/>
        <w:numPr>
          <w:ilvl w:val="0"/>
          <w:numId w:val="1"/>
        </w:numPr>
        <w:tabs>
          <w:tab w:pos="859" w:val="left" w:leader="none"/>
          <w:tab w:pos="860" w:val="left" w:leader="none"/>
        </w:tabs>
        <w:spacing w:line="415" w:lineRule="exact" w:before="0" w:after="0"/>
        <w:ind w:left="860" w:right="0" w:hanging="360"/>
        <w:jc w:val="left"/>
        <w:rPr>
          <w:b/>
          <w:sz w:val="24"/>
        </w:rPr>
      </w:pPr>
      <w:r>
        <w:rPr>
          <w:b/>
          <w:sz w:val="24"/>
        </w:rPr>
        <w:t>不安全的狀況：</w:t>
      </w:r>
    </w:p>
    <w:p>
      <w:pPr>
        <w:pStyle w:val="ListParagraph"/>
        <w:numPr>
          <w:ilvl w:val="1"/>
          <w:numId w:val="1"/>
        </w:numPr>
        <w:tabs>
          <w:tab w:pos="1579" w:val="left" w:leader="none"/>
          <w:tab w:pos="1580" w:val="left" w:leader="none"/>
        </w:tabs>
        <w:spacing w:line="225" w:lineRule="auto" w:before="6" w:after="0"/>
        <w:ind w:left="1580" w:right="324" w:hanging="360"/>
        <w:jc w:val="left"/>
        <w:rPr>
          <w:sz w:val="24"/>
        </w:rPr>
      </w:pPr>
      <w:r>
        <w:rPr>
          <w:spacing w:val="-1"/>
          <w:sz w:val="24"/>
        </w:rPr>
        <w:t>移動式袋式集塵機內部，積存了達到爆炸濃度範圍的可燃性鋁合金粉</w:t>
      </w:r>
      <w:r>
        <w:rPr>
          <w:sz w:val="24"/>
        </w:rPr>
        <w:t>末。</w:t>
      </w:r>
    </w:p>
    <w:p>
      <w:pPr>
        <w:pStyle w:val="Heading1"/>
        <w:numPr>
          <w:ilvl w:val="0"/>
          <w:numId w:val="1"/>
        </w:numPr>
        <w:tabs>
          <w:tab w:pos="859" w:val="left" w:leader="none"/>
          <w:tab w:pos="860" w:val="left" w:leader="none"/>
        </w:tabs>
        <w:spacing w:line="410" w:lineRule="exact" w:before="0" w:after="0"/>
        <w:ind w:left="860" w:right="0" w:hanging="360"/>
        <w:jc w:val="left"/>
      </w:pPr>
      <w:r>
        <w:rPr/>
        <w:t>不安全的行為</w:t>
      </w:r>
      <w:r>
        <w:rPr>
          <w:rFonts w:ascii="Calibri" w:hAnsi="Calibri" w:eastAsia="Calibri"/>
        </w:rPr>
        <w:t>/</w:t>
      </w:r>
      <w:r>
        <w:rPr/>
        <w:t>點火源：</w:t>
      </w:r>
    </w:p>
    <w:p>
      <w:pPr>
        <w:pStyle w:val="ListParagraph"/>
        <w:numPr>
          <w:ilvl w:val="1"/>
          <w:numId w:val="1"/>
        </w:numPr>
        <w:tabs>
          <w:tab w:pos="1579" w:val="left" w:leader="none"/>
          <w:tab w:pos="1580" w:val="left" w:leader="none"/>
        </w:tabs>
        <w:spacing w:line="225" w:lineRule="auto" w:before="6" w:after="0"/>
        <w:ind w:left="1580" w:right="324" w:hanging="360"/>
        <w:jc w:val="left"/>
        <w:rPr>
          <w:sz w:val="24"/>
        </w:rPr>
      </w:pPr>
      <w:r>
        <w:rPr>
          <w:spacing w:val="-1"/>
          <w:sz w:val="24"/>
        </w:rPr>
        <w:t>作業人員進行鐵質工件研磨時產生了高溫火花，並被吸入充滿鋁粉的</w:t>
      </w:r>
      <w:r>
        <w:rPr>
          <w:sz w:val="24"/>
        </w:rPr>
        <w:t>集塵機內。</w:t>
      </w:r>
    </w:p>
    <w:p>
      <w:pPr>
        <w:pStyle w:val="Heading1"/>
        <w:spacing w:line="409" w:lineRule="exact"/>
        <w:ind w:left="140" w:firstLine="0"/>
      </w:pPr>
      <w:r>
        <w:rPr>
          <w:rFonts w:ascii="Calibri" w:eastAsia="Calibri"/>
        </w:rPr>
        <w:t>(</w:t>
      </w:r>
      <w:r>
        <w:rPr/>
        <w:t>二</w:t>
      </w:r>
      <w:r>
        <w:rPr>
          <w:rFonts w:ascii="Calibri" w:eastAsia="Calibri"/>
        </w:rPr>
        <w:t>) </w:t>
      </w:r>
      <w:r>
        <w:rPr/>
        <w:t>根本原因</w:t>
      </w:r>
    </w:p>
    <w:p>
      <w:pPr>
        <w:pStyle w:val="ListParagraph"/>
        <w:numPr>
          <w:ilvl w:val="0"/>
          <w:numId w:val="4"/>
        </w:numPr>
        <w:tabs>
          <w:tab w:pos="860" w:val="left" w:leader="none"/>
        </w:tabs>
        <w:spacing w:line="428" w:lineRule="exact" w:before="0" w:after="0"/>
        <w:ind w:left="860" w:right="0" w:hanging="360"/>
        <w:jc w:val="left"/>
        <w:rPr>
          <w:b/>
          <w:sz w:val="24"/>
        </w:rPr>
      </w:pPr>
      <w:r>
        <w:rPr>
          <w:b/>
          <w:sz w:val="24"/>
        </w:rPr>
        <w:t>安全管理制度的系統性缺失：</w:t>
      </w:r>
    </w:p>
    <w:p>
      <w:pPr>
        <w:spacing w:after="0" w:line="428" w:lineRule="exact"/>
        <w:jc w:val="left"/>
        <w:rPr>
          <w:sz w:val="24"/>
        </w:rPr>
        <w:sectPr>
          <w:pgSz w:w="11910" w:h="16840"/>
          <w:pgMar w:top="1420" w:bottom="280" w:left="1660" w:right="1140"/>
        </w:sectPr>
      </w:pPr>
    </w:p>
    <w:p>
      <w:pPr>
        <w:pStyle w:val="ListParagraph"/>
        <w:numPr>
          <w:ilvl w:val="1"/>
          <w:numId w:val="4"/>
        </w:numPr>
        <w:tabs>
          <w:tab w:pos="1579" w:val="left" w:leader="none"/>
          <w:tab w:pos="1580" w:val="left" w:leader="none"/>
        </w:tabs>
        <w:spacing w:line="225" w:lineRule="auto" w:before="47" w:after="0"/>
        <w:ind w:left="1580" w:right="204" w:hanging="360"/>
        <w:jc w:val="left"/>
        <w:rPr>
          <w:sz w:val="24"/>
        </w:rPr>
      </w:pPr>
      <w:r>
        <w:rPr>
          <w:b/>
          <w:sz w:val="24"/>
        </w:rPr>
        <w:t>未建立粉塵爆炸風險管理機制： </w:t>
      </w:r>
      <w:r>
        <w:rPr>
          <w:spacing w:val="-2"/>
          <w:sz w:val="24"/>
        </w:rPr>
        <w:t>公司完全未意識到或評估作業中鋁合</w:t>
      </w:r>
      <w:r>
        <w:rPr>
          <w:sz w:val="24"/>
        </w:rPr>
        <w:t>金粉塵的爆炸性危害，是所有管理失當的源頭。</w:t>
      </w:r>
    </w:p>
    <w:p>
      <w:pPr>
        <w:pStyle w:val="ListParagraph"/>
        <w:numPr>
          <w:ilvl w:val="1"/>
          <w:numId w:val="4"/>
        </w:numPr>
        <w:tabs>
          <w:tab w:pos="1580" w:val="left" w:leader="none"/>
        </w:tabs>
        <w:spacing w:line="225" w:lineRule="auto" w:before="1" w:after="0"/>
        <w:ind w:left="1580" w:right="350" w:hanging="360"/>
        <w:jc w:val="both"/>
        <w:rPr>
          <w:sz w:val="24"/>
        </w:rPr>
      </w:pPr>
      <w:r>
        <w:rPr>
          <w:b/>
          <w:sz w:val="24"/>
        </w:rPr>
        <w:t>缺乏關鍵的安全作業程序： </w:t>
      </w:r>
      <w:r>
        <w:rPr>
          <w:sz w:val="24"/>
        </w:rPr>
        <w:t>未制訂處理不同金屬（特別是可燃性金屬）</w:t>
      </w:r>
      <w:r>
        <w:rPr>
          <w:spacing w:val="-1"/>
          <w:sz w:val="24"/>
        </w:rPr>
        <w:t>研磨作業的 </w:t>
      </w:r>
      <w:r>
        <w:rPr>
          <w:rFonts w:ascii="Calibri" w:hAnsi="Calibri" w:eastAsia="Calibri"/>
          <w:sz w:val="24"/>
        </w:rPr>
        <w:t>SOP</w:t>
      </w:r>
      <w:r>
        <w:rPr>
          <w:spacing w:val="-1"/>
          <w:sz w:val="24"/>
        </w:rPr>
        <w:t>，尤其是未規範在更換研磨材質時，必須徹底清</w:t>
      </w:r>
      <w:r>
        <w:rPr>
          <w:sz w:val="24"/>
        </w:rPr>
        <w:t>理集塵系統。</w:t>
      </w:r>
    </w:p>
    <w:p>
      <w:pPr>
        <w:pStyle w:val="Heading1"/>
        <w:numPr>
          <w:ilvl w:val="0"/>
          <w:numId w:val="4"/>
        </w:numPr>
        <w:tabs>
          <w:tab w:pos="860" w:val="left" w:leader="none"/>
        </w:tabs>
        <w:spacing w:line="409" w:lineRule="exact" w:before="0" w:after="0"/>
        <w:ind w:left="860" w:right="0" w:hanging="360"/>
        <w:jc w:val="left"/>
      </w:pPr>
      <w:r>
        <w:rPr/>
        <w:t>教育訓練與危害告知的空白：</w:t>
      </w:r>
    </w:p>
    <w:p>
      <w:pPr>
        <w:pStyle w:val="ListParagraph"/>
        <w:numPr>
          <w:ilvl w:val="1"/>
          <w:numId w:val="4"/>
        </w:numPr>
        <w:tabs>
          <w:tab w:pos="1579" w:val="left" w:leader="none"/>
          <w:tab w:pos="1580" w:val="left" w:leader="none"/>
        </w:tabs>
        <w:spacing w:line="225" w:lineRule="auto" w:before="6" w:after="0"/>
        <w:ind w:left="1580" w:right="324" w:hanging="360"/>
        <w:jc w:val="left"/>
        <w:rPr>
          <w:sz w:val="24"/>
        </w:rPr>
      </w:pPr>
      <w:r>
        <w:rPr>
          <w:spacing w:val="-1"/>
          <w:sz w:val="24"/>
        </w:rPr>
        <w:t>從管理階層到現場勞工，對於「粉塵爆炸」此一嚴重危害普遍缺乏認</w:t>
      </w:r>
      <w:r>
        <w:rPr>
          <w:sz w:val="24"/>
        </w:rPr>
        <w:t>知與了解，導致無人意識到混合研磨的致命危險。</w:t>
      </w:r>
    </w:p>
    <w:p>
      <w:pPr>
        <w:pStyle w:val="Heading1"/>
        <w:numPr>
          <w:ilvl w:val="0"/>
          <w:numId w:val="4"/>
        </w:numPr>
        <w:tabs>
          <w:tab w:pos="860" w:val="left" w:leader="none"/>
        </w:tabs>
        <w:spacing w:line="410" w:lineRule="exact" w:before="0" w:after="0"/>
        <w:ind w:left="860" w:right="0" w:hanging="360"/>
        <w:jc w:val="left"/>
      </w:pPr>
      <w:r>
        <w:rPr/>
        <w:t>工程控制與設備管理的不足：</w:t>
      </w:r>
    </w:p>
    <w:p>
      <w:pPr>
        <w:pStyle w:val="ListParagraph"/>
        <w:numPr>
          <w:ilvl w:val="1"/>
          <w:numId w:val="4"/>
        </w:numPr>
        <w:tabs>
          <w:tab w:pos="1579" w:val="left" w:leader="none"/>
          <w:tab w:pos="1580" w:val="left" w:leader="none"/>
        </w:tabs>
        <w:spacing w:line="225" w:lineRule="auto" w:before="6" w:after="0"/>
        <w:ind w:left="1580" w:right="204" w:hanging="360"/>
        <w:jc w:val="left"/>
        <w:rPr>
          <w:sz w:val="24"/>
        </w:rPr>
      </w:pPr>
      <w:r>
        <w:rPr>
          <w:b/>
          <w:sz w:val="24"/>
        </w:rPr>
        <w:t>設備選用不當： </w:t>
      </w:r>
      <w:r>
        <w:rPr>
          <w:spacing w:val="-1"/>
          <w:sz w:val="24"/>
        </w:rPr>
        <w:t>使用了無防爆設計、無火花抑制功能的一般型集塵機</w:t>
      </w:r>
      <w:r>
        <w:rPr>
          <w:sz w:val="24"/>
        </w:rPr>
        <w:t>來處理高風險的可燃性金屬粉塵。</w:t>
      </w:r>
    </w:p>
    <w:p>
      <w:pPr>
        <w:pStyle w:val="ListParagraph"/>
        <w:numPr>
          <w:ilvl w:val="1"/>
          <w:numId w:val="4"/>
        </w:numPr>
        <w:tabs>
          <w:tab w:pos="1579" w:val="left" w:leader="none"/>
          <w:tab w:pos="1580" w:val="left" w:leader="none"/>
        </w:tabs>
        <w:spacing w:line="225" w:lineRule="auto" w:before="1" w:after="0"/>
        <w:ind w:left="1580" w:right="204" w:hanging="360"/>
        <w:jc w:val="left"/>
        <w:rPr>
          <w:sz w:val="24"/>
        </w:rPr>
      </w:pPr>
      <w:r>
        <w:rPr>
          <w:b/>
          <w:sz w:val="24"/>
        </w:rPr>
        <w:t>未從源頭隔離： </w:t>
      </w:r>
      <w:r>
        <w:rPr>
          <w:spacing w:val="-1"/>
          <w:sz w:val="24"/>
        </w:rPr>
        <w:t>未採用源頭工程控制方法，如為不同性質的金屬設置</w:t>
      </w:r>
      <w:r>
        <w:rPr>
          <w:sz w:val="24"/>
        </w:rPr>
        <w:t>專用的、獨立的集塵系統，以避免交叉污染。</w:t>
      </w:r>
    </w:p>
    <w:p>
      <w:pPr>
        <w:pStyle w:val="Heading1"/>
        <w:spacing w:line="409" w:lineRule="exact"/>
        <w:ind w:left="140" w:firstLine="0"/>
      </w:pPr>
      <w:r>
        <w:rPr>
          <w:rFonts w:ascii="Calibri" w:eastAsia="Calibri"/>
        </w:rPr>
        <w:t>(</w:t>
      </w:r>
      <w:r>
        <w:rPr/>
        <w:t>三</w:t>
      </w:r>
      <w:r>
        <w:rPr>
          <w:rFonts w:ascii="Calibri" w:eastAsia="Calibri"/>
        </w:rPr>
        <w:t>) </w:t>
      </w:r>
      <w:r>
        <w:rPr/>
        <w:t>矯正改善措施建議</w:t>
      </w:r>
    </w:p>
    <w:p>
      <w:pPr>
        <w:pStyle w:val="ListParagraph"/>
        <w:numPr>
          <w:ilvl w:val="0"/>
          <w:numId w:val="2"/>
        </w:numPr>
        <w:tabs>
          <w:tab w:pos="859" w:val="left" w:leader="none"/>
          <w:tab w:pos="860" w:val="left" w:leader="none"/>
        </w:tabs>
        <w:spacing w:line="415" w:lineRule="exact" w:before="0" w:after="0"/>
        <w:ind w:left="860" w:right="0" w:hanging="360"/>
        <w:jc w:val="left"/>
        <w:rPr>
          <w:b/>
          <w:sz w:val="24"/>
        </w:rPr>
      </w:pPr>
      <w:r>
        <w:rPr>
          <w:b/>
          <w:sz w:val="24"/>
        </w:rPr>
        <w:t>制度層面：</w:t>
      </w:r>
    </w:p>
    <w:p>
      <w:pPr>
        <w:pStyle w:val="ListParagraph"/>
        <w:numPr>
          <w:ilvl w:val="0"/>
          <w:numId w:val="5"/>
        </w:numPr>
        <w:tabs>
          <w:tab w:pos="1580" w:val="left" w:leader="none"/>
        </w:tabs>
        <w:spacing w:line="225" w:lineRule="auto" w:before="6" w:after="0"/>
        <w:ind w:left="1580" w:right="204" w:hanging="360"/>
        <w:jc w:val="left"/>
        <w:rPr>
          <w:sz w:val="24"/>
        </w:rPr>
      </w:pPr>
      <w:r>
        <w:rPr>
          <w:b/>
          <w:sz w:val="24"/>
        </w:rPr>
        <w:t>建立粉塵危害管理計畫： </w:t>
      </w:r>
      <w:r>
        <w:rPr>
          <w:spacing w:val="-1"/>
          <w:sz w:val="24"/>
        </w:rPr>
        <w:t>立即進行全面的粉塵爆炸風險評估，並建立</w:t>
      </w:r>
      <w:r>
        <w:rPr>
          <w:sz w:val="24"/>
        </w:rPr>
        <w:t>包含設備管理、作業程序、教育訓練、應變計畫的完整管理制度。</w:t>
      </w:r>
    </w:p>
    <w:p>
      <w:pPr>
        <w:pStyle w:val="ListParagraph"/>
        <w:numPr>
          <w:ilvl w:val="0"/>
          <w:numId w:val="5"/>
        </w:numPr>
        <w:tabs>
          <w:tab w:pos="1580" w:val="left" w:leader="none"/>
        </w:tabs>
        <w:spacing w:line="225" w:lineRule="auto" w:before="1" w:after="0"/>
        <w:ind w:left="1580" w:right="221" w:hanging="360"/>
        <w:jc w:val="both"/>
        <w:rPr>
          <w:sz w:val="24"/>
        </w:rPr>
      </w:pPr>
      <w:r>
        <w:rPr>
          <w:b/>
          <w:spacing w:val="-1"/>
          <w:sz w:val="24"/>
        </w:rPr>
        <w:t>制訂並落實 </w:t>
      </w:r>
      <w:r>
        <w:rPr>
          <w:rFonts w:ascii="Calibri" w:eastAsia="Calibri"/>
          <w:b/>
          <w:sz w:val="24"/>
        </w:rPr>
        <w:t>SOP</w:t>
      </w:r>
      <w:r>
        <w:rPr>
          <w:b/>
          <w:sz w:val="24"/>
        </w:rPr>
        <w:t>：  </w:t>
      </w:r>
      <w:r>
        <w:rPr>
          <w:spacing w:val="-1"/>
          <w:sz w:val="24"/>
        </w:rPr>
        <w:t>嚴格制訂「研磨作業安全標準」，明確規定：禁止</w:t>
      </w:r>
      <w:r>
        <w:rPr>
          <w:sz w:val="24"/>
        </w:rPr>
        <w:t>共用集塵系統；若無法避免，則在更換研磨材質前，必須停機、斷電並將集塵系統徹底清理乾淨，經主管確認後方可作業。</w:t>
      </w:r>
    </w:p>
    <w:p>
      <w:pPr>
        <w:pStyle w:val="Heading1"/>
        <w:numPr>
          <w:ilvl w:val="0"/>
          <w:numId w:val="2"/>
        </w:numPr>
        <w:tabs>
          <w:tab w:pos="859" w:val="left" w:leader="none"/>
          <w:tab w:pos="860" w:val="left" w:leader="none"/>
        </w:tabs>
        <w:spacing w:line="410" w:lineRule="exact" w:before="0" w:after="0"/>
        <w:ind w:left="860" w:right="0" w:hanging="360"/>
        <w:jc w:val="left"/>
      </w:pPr>
      <w:r>
        <w:rPr/>
        <w:t>設備層面：</w:t>
      </w:r>
    </w:p>
    <w:p>
      <w:pPr>
        <w:pStyle w:val="ListParagraph"/>
        <w:numPr>
          <w:ilvl w:val="0"/>
          <w:numId w:val="6"/>
        </w:numPr>
        <w:tabs>
          <w:tab w:pos="1580" w:val="left" w:leader="none"/>
        </w:tabs>
        <w:spacing w:line="225" w:lineRule="auto" w:before="6" w:after="0"/>
        <w:ind w:left="1580" w:right="204" w:hanging="360"/>
        <w:jc w:val="left"/>
        <w:rPr>
          <w:sz w:val="24"/>
        </w:rPr>
      </w:pPr>
      <w:r>
        <w:rPr>
          <w:b/>
          <w:sz w:val="24"/>
        </w:rPr>
        <w:t>採行源頭工程控制： </w:t>
      </w:r>
      <w:r>
        <w:rPr>
          <w:sz w:val="24"/>
        </w:rPr>
        <w:t>應為會產生火花的金屬（如鋼、鐵）</w:t>
      </w:r>
      <w:r>
        <w:rPr>
          <w:spacing w:val="-4"/>
          <w:sz w:val="24"/>
        </w:rPr>
        <w:t>與可燃性金</w:t>
      </w:r>
      <w:r>
        <w:rPr>
          <w:sz w:val="24"/>
        </w:rPr>
        <w:t>屬（如鋁、鎂）設置各自獨立專用的集塵系統，此為最有效的預防方法。</w:t>
      </w:r>
    </w:p>
    <w:p>
      <w:pPr>
        <w:pStyle w:val="ListParagraph"/>
        <w:numPr>
          <w:ilvl w:val="0"/>
          <w:numId w:val="6"/>
        </w:numPr>
        <w:tabs>
          <w:tab w:pos="1580" w:val="left" w:leader="none"/>
        </w:tabs>
        <w:spacing w:line="225" w:lineRule="auto" w:before="0" w:after="0"/>
        <w:ind w:left="1580" w:right="204" w:hanging="360"/>
        <w:jc w:val="left"/>
        <w:rPr>
          <w:sz w:val="24"/>
        </w:rPr>
      </w:pPr>
      <w:r>
        <w:rPr>
          <w:b/>
          <w:sz w:val="24"/>
        </w:rPr>
        <w:t>升級安全設備： </w:t>
      </w:r>
      <w:r>
        <w:rPr>
          <w:spacing w:val="-1"/>
          <w:sz w:val="24"/>
        </w:rPr>
        <w:t>若無法設置專用系統，現有集塵機應立即更換為符合</w:t>
      </w:r>
      <w:r>
        <w:rPr>
          <w:sz w:val="24"/>
        </w:rPr>
        <w:t>安全標準的防爆型集塵機，並加裝火花偵測與消除裝置。</w:t>
      </w:r>
    </w:p>
    <w:p>
      <w:pPr>
        <w:pStyle w:val="Heading1"/>
        <w:numPr>
          <w:ilvl w:val="0"/>
          <w:numId w:val="2"/>
        </w:numPr>
        <w:tabs>
          <w:tab w:pos="859" w:val="left" w:leader="none"/>
          <w:tab w:pos="860" w:val="left" w:leader="none"/>
        </w:tabs>
        <w:spacing w:line="410" w:lineRule="exact" w:before="0" w:after="0"/>
        <w:ind w:left="860" w:right="0" w:hanging="360"/>
        <w:jc w:val="left"/>
      </w:pPr>
      <w:r>
        <w:rPr/>
        <w:t>人員層面：</w:t>
      </w:r>
    </w:p>
    <w:p>
      <w:pPr>
        <w:pStyle w:val="ListParagraph"/>
        <w:numPr>
          <w:ilvl w:val="0"/>
          <w:numId w:val="7"/>
        </w:numPr>
        <w:tabs>
          <w:tab w:pos="1580" w:val="left" w:leader="none"/>
        </w:tabs>
        <w:spacing w:line="225" w:lineRule="auto" w:before="6" w:after="0"/>
        <w:ind w:left="1580" w:right="204" w:hanging="360"/>
        <w:jc w:val="left"/>
        <w:rPr>
          <w:sz w:val="24"/>
        </w:rPr>
      </w:pPr>
      <w:r>
        <w:rPr>
          <w:b/>
          <w:sz w:val="24"/>
        </w:rPr>
        <w:t>強化專業教育訓練： </w:t>
      </w:r>
      <w:r>
        <w:rPr>
          <w:spacing w:val="-1"/>
          <w:sz w:val="24"/>
        </w:rPr>
        <w:t>對所有相關的管理人員及作業勞工，實施「粉塵</w:t>
      </w:r>
      <w:r>
        <w:rPr>
          <w:sz w:val="24"/>
        </w:rPr>
        <w:t>爆炸危害預防」專項訓練，內容須包含本次事故案例，確保全員具備危害認知。</w:t>
      </w:r>
    </w:p>
    <w:p>
      <w:pPr>
        <w:pStyle w:val="ListParagraph"/>
        <w:numPr>
          <w:ilvl w:val="0"/>
          <w:numId w:val="7"/>
        </w:numPr>
        <w:tabs>
          <w:tab w:pos="1580" w:val="left" w:leader="none"/>
        </w:tabs>
        <w:spacing w:line="225" w:lineRule="auto" w:before="1" w:after="0"/>
        <w:ind w:left="1580" w:right="204" w:hanging="360"/>
        <w:jc w:val="left"/>
        <w:rPr>
          <w:sz w:val="24"/>
        </w:rPr>
      </w:pPr>
      <w:r>
        <w:rPr>
          <w:b/>
          <w:sz w:val="24"/>
        </w:rPr>
        <w:t>加強監督與檢查： </w:t>
      </w:r>
      <w:r>
        <w:rPr>
          <w:spacing w:val="-1"/>
          <w:sz w:val="24"/>
        </w:rPr>
        <w:t>要求主管在作業前必須檢查集塵設備的清潔狀況與</w:t>
      </w:r>
      <w:r>
        <w:rPr>
          <w:sz w:val="24"/>
        </w:rPr>
        <w:t>適用性，並將其列為日常安全稽核的重點項目。</w:t>
      </w:r>
    </w:p>
    <w:sectPr>
      <w:pgSz w:w="11910" w:h="16840"/>
      <w:pgMar w:top="1380" w:bottom="280" w:left="16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軟正黑體">
    <w:altName w:val="微軟正黑體"/>
    <w:charset w:val="88"/>
    <w:family w:val="swiss"/>
    <w:pitch w:val="variable"/>
  </w:font>
  <w:font w:name="Segoe UI">
    <w:altName w:val="Segoe UI"/>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580" w:hanging="360"/>
        <w:jc w:val="left"/>
      </w:pPr>
      <w:rPr>
        <w:rFonts w:hint="default" w:ascii="Calibri" w:hAnsi="Calibri" w:eastAsia="Calibri" w:cs="Calibri"/>
        <w:spacing w:val="-17"/>
        <w:w w:val="100"/>
        <w:sz w:val="24"/>
        <w:szCs w:val="24"/>
      </w:rPr>
    </w:lvl>
    <w:lvl w:ilvl="1">
      <w:start w:val="0"/>
      <w:numFmt w:val="bullet"/>
      <w:lvlText w:val="•"/>
      <w:lvlJc w:val="left"/>
      <w:pPr>
        <w:ind w:left="2332" w:hanging="360"/>
      </w:pPr>
      <w:rPr>
        <w:rFonts w:hint="default"/>
      </w:rPr>
    </w:lvl>
    <w:lvl w:ilvl="2">
      <w:start w:val="0"/>
      <w:numFmt w:val="bullet"/>
      <w:lvlText w:val="•"/>
      <w:lvlJc w:val="left"/>
      <w:pPr>
        <w:ind w:left="3085" w:hanging="360"/>
      </w:pPr>
      <w:rPr>
        <w:rFonts w:hint="default"/>
      </w:rPr>
    </w:lvl>
    <w:lvl w:ilvl="3">
      <w:start w:val="0"/>
      <w:numFmt w:val="bullet"/>
      <w:lvlText w:val="•"/>
      <w:lvlJc w:val="left"/>
      <w:pPr>
        <w:ind w:left="3837" w:hanging="360"/>
      </w:pPr>
      <w:rPr>
        <w:rFonts w:hint="default"/>
      </w:rPr>
    </w:lvl>
    <w:lvl w:ilvl="4">
      <w:start w:val="0"/>
      <w:numFmt w:val="bullet"/>
      <w:lvlText w:val="•"/>
      <w:lvlJc w:val="left"/>
      <w:pPr>
        <w:ind w:left="4590" w:hanging="360"/>
      </w:pPr>
      <w:rPr>
        <w:rFonts w:hint="default"/>
      </w:rPr>
    </w:lvl>
    <w:lvl w:ilvl="5">
      <w:start w:val="0"/>
      <w:numFmt w:val="bullet"/>
      <w:lvlText w:val="•"/>
      <w:lvlJc w:val="left"/>
      <w:pPr>
        <w:ind w:left="5343" w:hanging="360"/>
      </w:pPr>
      <w:rPr>
        <w:rFonts w:hint="default"/>
      </w:rPr>
    </w:lvl>
    <w:lvl w:ilvl="6">
      <w:start w:val="0"/>
      <w:numFmt w:val="bullet"/>
      <w:lvlText w:val="•"/>
      <w:lvlJc w:val="left"/>
      <w:pPr>
        <w:ind w:left="6095" w:hanging="360"/>
      </w:pPr>
      <w:rPr>
        <w:rFonts w:hint="default"/>
      </w:rPr>
    </w:lvl>
    <w:lvl w:ilvl="7">
      <w:start w:val="0"/>
      <w:numFmt w:val="bullet"/>
      <w:lvlText w:val="•"/>
      <w:lvlJc w:val="left"/>
      <w:pPr>
        <w:ind w:left="6848" w:hanging="360"/>
      </w:pPr>
      <w:rPr>
        <w:rFonts w:hint="default"/>
      </w:rPr>
    </w:lvl>
    <w:lvl w:ilvl="8">
      <w:start w:val="0"/>
      <w:numFmt w:val="bullet"/>
      <w:lvlText w:val="•"/>
      <w:lvlJc w:val="left"/>
      <w:pPr>
        <w:ind w:left="7601" w:hanging="360"/>
      </w:pPr>
      <w:rPr>
        <w:rFonts w:hint="default"/>
      </w:rPr>
    </w:lvl>
  </w:abstractNum>
  <w:abstractNum w:abstractNumId="5">
    <w:multiLevelType w:val="hybridMultilevel"/>
    <w:lvl w:ilvl="0">
      <w:start w:val="1"/>
      <w:numFmt w:val="decimal"/>
      <w:lvlText w:val="%1."/>
      <w:lvlJc w:val="left"/>
      <w:pPr>
        <w:ind w:left="1580" w:hanging="360"/>
        <w:jc w:val="left"/>
      </w:pPr>
      <w:rPr>
        <w:rFonts w:hint="default" w:ascii="Calibri" w:hAnsi="Calibri" w:eastAsia="Calibri" w:cs="Calibri"/>
        <w:spacing w:val="-17"/>
        <w:w w:val="100"/>
        <w:sz w:val="24"/>
        <w:szCs w:val="24"/>
      </w:rPr>
    </w:lvl>
    <w:lvl w:ilvl="1">
      <w:start w:val="0"/>
      <w:numFmt w:val="bullet"/>
      <w:lvlText w:val="•"/>
      <w:lvlJc w:val="left"/>
      <w:pPr>
        <w:ind w:left="2332" w:hanging="360"/>
      </w:pPr>
      <w:rPr>
        <w:rFonts w:hint="default"/>
      </w:rPr>
    </w:lvl>
    <w:lvl w:ilvl="2">
      <w:start w:val="0"/>
      <w:numFmt w:val="bullet"/>
      <w:lvlText w:val="•"/>
      <w:lvlJc w:val="left"/>
      <w:pPr>
        <w:ind w:left="3085" w:hanging="360"/>
      </w:pPr>
      <w:rPr>
        <w:rFonts w:hint="default"/>
      </w:rPr>
    </w:lvl>
    <w:lvl w:ilvl="3">
      <w:start w:val="0"/>
      <w:numFmt w:val="bullet"/>
      <w:lvlText w:val="•"/>
      <w:lvlJc w:val="left"/>
      <w:pPr>
        <w:ind w:left="3837" w:hanging="360"/>
      </w:pPr>
      <w:rPr>
        <w:rFonts w:hint="default"/>
      </w:rPr>
    </w:lvl>
    <w:lvl w:ilvl="4">
      <w:start w:val="0"/>
      <w:numFmt w:val="bullet"/>
      <w:lvlText w:val="•"/>
      <w:lvlJc w:val="left"/>
      <w:pPr>
        <w:ind w:left="4590" w:hanging="360"/>
      </w:pPr>
      <w:rPr>
        <w:rFonts w:hint="default"/>
      </w:rPr>
    </w:lvl>
    <w:lvl w:ilvl="5">
      <w:start w:val="0"/>
      <w:numFmt w:val="bullet"/>
      <w:lvlText w:val="•"/>
      <w:lvlJc w:val="left"/>
      <w:pPr>
        <w:ind w:left="5343" w:hanging="360"/>
      </w:pPr>
      <w:rPr>
        <w:rFonts w:hint="default"/>
      </w:rPr>
    </w:lvl>
    <w:lvl w:ilvl="6">
      <w:start w:val="0"/>
      <w:numFmt w:val="bullet"/>
      <w:lvlText w:val="•"/>
      <w:lvlJc w:val="left"/>
      <w:pPr>
        <w:ind w:left="6095" w:hanging="360"/>
      </w:pPr>
      <w:rPr>
        <w:rFonts w:hint="default"/>
      </w:rPr>
    </w:lvl>
    <w:lvl w:ilvl="7">
      <w:start w:val="0"/>
      <w:numFmt w:val="bullet"/>
      <w:lvlText w:val="•"/>
      <w:lvlJc w:val="left"/>
      <w:pPr>
        <w:ind w:left="6848" w:hanging="360"/>
      </w:pPr>
      <w:rPr>
        <w:rFonts w:hint="default"/>
      </w:rPr>
    </w:lvl>
    <w:lvl w:ilvl="8">
      <w:start w:val="0"/>
      <w:numFmt w:val="bullet"/>
      <w:lvlText w:val="•"/>
      <w:lvlJc w:val="left"/>
      <w:pPr>
        <w:ind w:left="7601" w:hanging="360"/>
      </w:pPr>
      <w:rPr>
        <w:rFonts w:hint="default"/>
      </w:rPr>
    </w:lvl>
  </w:abstractNum>
  <w:abstractNum w:abstractNumId="4">
    <w:multiLevelType w:val="hybridMultilevel"/>
    <w:lvl w:ilvl="0">
      <w:start w:val="1"/>
      <w:numFmt w:val="decimal"/>
      <w:lvlText w:val="%1."/>
      <w:lvlJc w:val="left"/>
      <w:pPr>
        <w:ind w:left="1580" w:hanging="360"/>
        <w:jc w:val="left"/>
      </w:pPr>
      <w:rPr>
        <w:rFonts w:hint="default" w:ascii="Calibri" w:hAnsi="Calibri" w:eastAsia="Calibri" w:cs="Calibri"/>
        <w:spacing w:val="-17"/>
        <w:w w:val="100"/>
        <w:sz w:val="24"/>
        <w:szCs w:val="24"/>
      </w:rPr>
    </w:lvl>
    <w:lvl w:ilvl="1">
      <w:start w:val="0"/>
      <w:numFmt w:val="bullet"/>
      <w:lvlText w:val="•"/>
      <w:lvlJc w:val="left"/>
      <w:pPr>
        <w:ind w:left="2332" w:hanging="360"/>
      </w:pPr>
      <w:rPr>
        <w:rFonts w:hint="default"/>
      </w:rPr>
    </w:lvl>
    <w:lvl w:ilvl="2">
      <w:start w:val="0"/>
      <w:numFmt w:val="bullet"/>
      <w:lvlText w:val="•"/>
      <w:lvlJc w:val="left"/>
      <w:pPr>
        <w:ind w:left="3085" w:hanging="360"/>
      </w:pPr>
      <w:rPr>
        <w:rFonts w:hint="default"/>
      </w:rPr>
    </w:lvl>
    <w:lvl w:ilvl="3">
      <w:start w:val="0"/>
      <w:numFmt w:val="bullet"/>
      <w:lvlText w:val="•"/>
      <w:lvlJc w:val="left"/>
      <w:pPr>
        <w:ind w:left="3837" w:hanging="360"/>
      </w:pPr>
      <w:rPr>
        <w:rFonts w:hint="default"/>
      </w:rPr>
    </w:lvl>
    <w:lvl w:ilvl="4">
      <w:start w:val="0"/>
      <w:numFmt w:val="bullet"/>
      <w:lvlText w:val="•"/>
      <w:lvlJc w:val="left"/>
      <w:pPr>
        <w:ind w:left="4590" w:hanging="360"/>
      </w:pPr>
      <w:rPr>
        <w:rFonts w:hint="default"/>
      </w:rPr>
    </w:lvl>
    <w:lvl w:ilvl="5">
      <w:start w:val="0"/>
      <w:numFmt w:val="bullet"/>
      <w:lvlText w:val="•"/>
      <w:lvlJc w:val="left"/>
      <w:pPr>
        <w:ind w:left="5343" w:hanging="360"/>
      </w:pPr>
      <w:rPr>
        <w:rFonts w:hint="default"/>
      </w:rPr>
    </w:lvl>
    <w:lvl w:ilvl="6">
      <w:start w:val="0"/>
      <w:numFmt w:val="bullet"/>
      <w:lvlText w:val="•"/>
      <w:lvlJc w:val="left"/>
      <w:pPr>
        <w:ind w:left="6095" w:hanging="360"/>
      </w:pPr>
      <w:rPr>
        <w:rFonts w:hint="default"/>
      </w:rPr>
    </w:lvl>
    <w:lvl w:ilvl="7">
      <w:start w:val="0"/>
      <w:numFmt w:val="bullet"/>
      <w:lvlText w:val="•"/>
      <w:lvlJc w:val="left"/>
      <w:pPr>
        <w:ind w:left="6848" w:hanging="360"/>
      </w:pPr>
      <w:rPr>
        <w:rFonts w:hint="default"/>
      </w:rPr>
    </w:lvl>
    <w:lvl w:ilvl="8">
      <w:start w:val="0"/>
      <w:numFmt w:val="bullet"/>
      <w:lvlText w:val="•"/>
      <w:lvlJc w:val="left"/>
      <w:pPr>
        <w:ind w:left="7601" w:hanging="360"/>
      </w:pPr>
      <w:rPr>
        <w:rFonts w:hint="default"/>
      </w:rPr>
    </w:lvl>
  </w:abstractNum>
  <w:abstractNum w:abstractNumId="3">
    <w:multiLevelType w:val="hybridMultilevel"/>
    <w:lvl w:ilvl="0">
      <w:start w:val="1"/>
      <w:numFmt w:val="decimal"/>
      <w:lvlText w:val="%1."/>
      <w:lvlJc w:val="left"/>
      <w:pPr>
        <w:ind w:left="860" w:hanging="360"/>
        <w:jc w:val="left"/>
      </w:pPr>
      <w:rPr>
        <w:rFonts w:hint="default" w:ascii="Calibri" w:hAnsi="Calibri" w:eastAsia="Calibri" w:cs="Calibri"/>
        <w:spacing w:val="-1"/>
        <w:w w:val="100"/>
        <w:sz w:val="24"/>
        <w:szCs w:val="24"/>
      </w:rPr>
    </w:lvl>
    <w:lvl w:ilvl="1">
      <w:start w:val="0"/>
      <w:numFmt w:val="bullet"/>
      <w:lvlText w:val="o"/>
      <w:lvlJc w:val="left"/>
      <w:pPr>
        <w:ind w:left="1580" w:hanging="360"/>
      </w:pPr>
      <w:rPr>
        <w:rFonts w:hint="default" w:ascii="Courier New" w:hAnsi="Courier New" w:eastAsia="Courier New" w:cs="Courier New"/>
        <w:w w:val="100"/>
        <w:sz w:val="20"/>
        <w:szCs w:val="20"/>
      </w:rPr>
    </w:lvl>
    <w:lvl w:ilvl="2">
      <w:start w:val="0"/>
      <w:numFmt w:val="bullet"/>
      <w:lvlText w:val="•"/>
      <w:lvlJc w:val="left"/>
      <w:pPr>
        <w:ind w:left="2416" w:hanging="360"/>
      </w:pPr>
      <w:rPr>
        <w:rFonts w:hint="default"/>
      </w:rPr>
    </w:lvl>
    <w:lvl w:ilvl="3">
      <w:start w:val="0"/>
      <w:numFmt w:val="bullet"/>
      <w:lvlText w:val="•"/>
      <w:lvlJc w:val="left"/>
      <w:pPr>
        <w:ind w:left="3252"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25" w:hanging="360"/>
      </w:pPr>
      <w:rPr>
        <w:rFonts w:hint="default"/>
      </w:rPr>
    </w:lvl>
    <w:lvl w:ilvl="6">
      <w:start w:val="0"/>
      <w:numFmt w:val="bullet"/>
      <w:lvlText w:val="•"/>
      <w:lvlJc w:val="left"/>
      <w:pPr>
        <w:ind w:left="5761" w:hanging="360"/>
      </w:pPr>
      <w:rPr>
        <w:rFonts w:hint="default"/>
      </w:rPr>
    </w:lvl>
    <w:lvl w:ilvl="7">
      <w:start w:val="0"/>
      <w:numFmt w:val="bullet"/>
      <w:lvlText w:val="•"/>
      <w:lvlJc w:val="left"/>
      <w:pPr>
        <w:ind w:left="6597" w:hanging="360"/>
      </w:pPr>
      <w:rPr>
        <w:rFonts w:hint="default"/>
      </w:rPr>
    </w:lvl>
    <w:lvl w:ilvl="8">
      <w:start w:val="0"/>
      <w:numFmt w:val="bullet"/>
      <w:lvlText w:val="•"/>
      <w:lvlJc w:val="left"/>
      <w:pPr>
        <w:ind w:left="7433" w:hanging="360"/>
      </w:pPr>
      <w:rPr>
        <w:rFonts w:hint="default"/>
      </w:rPr>
    </w:lvl>
  </w:abstractNum>
  <w:abstractNum w:abstractNumId="2">
    <w:multiLevelType w:val="hybridMultilevel"/>
    <w:lvl w:ilvl="0">
      <w:start w:val="1"/>
      <w:numFmt w:val="decimal"/>
      <w:lvlText w:val="%1."/>
      <w:lvlJc w:val="left"/>
      <w:pPr>
        <w:ind w:left="107" w:hanging="252"/>
        <w:jc w:val="left"/>
      </w:pPr>
      <w:rPr>
        <w:rFonts w:hint="default" w:ascii="Segoe UI" w:hAnsi="Segoe UI" w:eastAsia="Segoe UI" w:cs="Segoe UI"/>
        <w:spacing w:val="-1"/>
        <w:w w:val="100"/>
        <w:sz w:val="20"/>
        <w:szCs w:val="20"/>
      </w:rPr>
    </w:lvl>
    <w:lvl w:ilvl="1">
      <w:start w:val="0"/>
      <w:numFmt w:val="bullet"/>
      <w:lvlText w:val="•"/>
      <w:lvlJc w:val="left"/>
      <w:pPr>
        <w:ind w:left="258" w:hanging="252"/>
      </w:pPr>
      <w:rPr>
        <w:rFonts w:hint="default"/>
      </w:rPr>
    </w:lvl>
    <w:lvl w:ilvl="2">
      <w:start w:val="0"/>
      <w:numFmt w:val="bullet"/>
      <w:lvlText w:val="•"/>
      <w:lvlJc w:val="left"/>
      <w:pPr>
        <w:ind w:left="416" w:hanging="252"/>
      </w:pPr>
      <w:rPr>
        <w:rFonts w:hint="default"/>
      </w:rPr>
    </w:lvl>
    <w:lvl w:ilvl="3">
      <w:start w:val="0"/>
      <w:numFmt w:val="bullet"/>
      <w:lvlText w:val="•"/>
      <w:lvlJc w:val="left"/>
      <w:pPr>
        <w:ind w:left="574" w:hanging="252"/>
      </w:pPr>
      <w:rPr>
        <w:rFonts w:hint="default"/>
      </w:rPr>
    </w:lvl>
    <w:lvl w:ilvl="4">
      <w:start w:val="0"/>
      <w:numFmt w:val="bullet"/>
      <w:lvlText w:val="•"/>
      <w:lvlJc w:val="left"/>
      <w:pPr>
        <w:ind w:left="732" w:hanging="252"/>
      </w:pPr>
      <w:rPr>
        <w:rFonts w:hint="default"/>
      </w:rPr>
    </w:lvl>
    <w:lvl w:ilvl="5">
      <w:start w:val="0"/>
      <w:numFmt w:val="bullet"/>
      <w:lvlText w:val="•"/>
      <w:lvlJc w:val="left"/>
      <w:pPr>
        <w:ind w:left="890" w:hanging="252"/>
      </w:pPr>
      <w:rPr>
        <w:rFonts w:hint="default"/>
      </w:rPr>
    </w:lvl>
    <w:lvl w:ilvl="6">
      <w:start w:val="0"/>
      <w:numFmt w:val="bullet"/>
      <w:lvlText w:val="•"/>
      <w:lvlJc w:val="left"/>
      <w:pPr>
        <w:ind w:left="1048" w:hanging="252"/>
      </w:pPr>
      <w:rPr>
        <w:rFonts w:hint="default"/>
      </w:rPr>
    </w:lvl>
    <w:lvl w:ilvl="7">
      <w:start w:val="0"/>
      <w:numFmt w:val="bullet"/>
      <w:lvlText w:val="•"/>
      <w:lvlJc w:val="left"/>
      <w:pPr>
        <w:ind w:left="1206" w:hanging="252"/>
      </w:pPr>
      <w:rPr>
        <w:rFonts w:hint="default"/>
      </w:rPr>
    </w:lvl>
    <w:lvl w:ilvl="8">
      <w:start w:val="0"/>
      <w:numFmt w:val="bullet"/>
      <w:lvlText w:val="•"/>
      <w:lvlJc w:val="left"/>
      <w:pPr>
        <w:ind w:left="1364" w:hanging="252"/>
      </w:pPr>
      <w:rPr>
        <w:rFonts w:hint="default"/>
      </w:rPr>
    </w:lvl>
  </w:abstractNum>
  <w:abstractNum w:abstractNumId="1">
    <w:multiLevelType w:val="hybridMultilevel"/>
    <w:lvl w:ilvl="0">
      <w:start w:val="0"/>
      <w:numFmt w:val="bullet"/>
      <w:lvlText w:val=""/>
      <w:lvlJc w:val="left"/>
      <w:pPr>
        <w:ind w:left="860" w:hanging="360"/>
      </w:pPr>
      <w:rPr>
        <w:rFonts w:hint="default" w:ascii="Wingdings" w:hAnsi="Wingdings" w:eastAsia="Wingdings" w:cs="Wingdings"/>
        <w:w w:val="100"/>
        <w:sz w:val="20"/>
        <w:szCs w:val="20"/>
      </w:rPr>
    </w:lvl>
    <w:lvl w:ilvl="1">
      <w:start w:val="0"/>
      <w:numFmt w:val="bullet"/>
      <w:lvlText w:val="•"/>
      <w:lvlJc w:val="left"/>
      <w:pPr>
        <w:ind w:left="1684" w:hanging="360"/>
      </w:pPr>
      <w:rPr>
        <w:rFonts w:hint="default"/>
      </w:rPr>
    </w:lvl>
    <w:lvl w:ilvl="2">
      <w:start w:val="0"/>
      <w:numFmt w:val="bullet"/>
      <w:lvlText w:val="•"/>
      <w:lvlJc w:val="left"/>
      <w:pPr>
        <w:ind w:left="2509" w:hanging="360"/>
      </w:pPr>
      <w:rPr>
        <w:rFonts w:hint="default"/>
      </w:rPr>
    </w:lvl>
    <w:lvl w:ilvl="3">
      <w:start w:val="0"/>
      <w:numFmt w:val="bullet"/>
      <w:lvlText w:val="•"/>
      <w:lvlJc w:val="left"/>
      <w:pPr>
        <w:ind w:left="3333" w:hanging="360"/>
      </w:pPr>
      <w:rPr>
        <w:rFonts w:hint="default"/>
      </w:rPr>
    </w:lvl>
    <w:lvl w:ilvl="4">
      <w:start w:val="0"/>
      <w:numFmt w:val="bullet"/>
      <w:lvlText w:val="•"/>
      <w:lvlJc w:val="left"/>
      <w:pPr>
        <w:ind w:left="4158" w:hanging="360"/>
      </w:pPr>
      <w:rPr>
        <w:rFonts w:hint="default"/>
      </w:rPr>
    </w:lvl>
    <w:lvl w:ilvl="5">
      <w:start w:val="0"/>
      <w:numFmt w:val="bullet"/>
      <w:lvlText w:val="•"/>
      <w:lvlJc w:val="left"/>
      <w:pPr>
        <w:ind w:left="4983"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632" w:hanging="360"/>
      </w:pPr>
      <w:rPr>
        <w:rFonts w:hint="default"/>
      </w:rPr>
    </w:lvl>
    <w:lvl w:ilvl="8">
      <w:start w:val="0"/>
      <w:numFmt w:val="bullet"/>
      <w:lvlText w:val="•"/>
      <w:lvlJc w:val="left"/>
      <w:pPr>
        <w:ind w:left="7457" w:hanging="360"/>
      </w:pPr>
      <w:rPr>
        <w:rFonts w:hint="default"/>
      </w:rPr>
    </w:lvl>
  </w:abstractNum>
  <w:abstractNum w:abstractNumId="0">
    <w:multiLevelType w:val="hybridMultilevel"/>
    <w:lvl w:ilvl="0">
      <w:start w:val="0"/>
      <w:numFmt w:val="bullet"/>
      <w:lvlText w:val=""/>
      <w:lvlJc w:val="left"/>
      <w:pPr>
        <w:ind w:left="860" w:hanging="360"/>
      </w:pPr>
      <w:rPr>
        <w:rFonts w:hint="default" w:ascii="Symbol" w:hAnsi="Symbol" w:eastAsia="Symbol" w:cs="Symbol"/>
        <w:w w:val="100"/>
        <w:sz w:val="20"/>
        <w:szCs w:val="20"/>
      </w:rPr>
    </w:lvl>
    <w:lvl w:ilvl="1">
      <w:start w:val="0"/>
      <w:numFmt w:val="bullet"/>
      <w:lvlText w:val="o"/>
      <w:lvlJc w:val="left"/>
      <w:pPr>
        <w:ind w:left="1580" w:hanging="360"/>
      </w:pPr>
      <w:rPr>
        <w:rFonts w:hint="default" w:ascii="Courier New" w:hAnsi="Courier New" w:eastAsia="Courier New" w:cs="Courier New"/>
        <w:w w:val="100"/>
        <w:sz w:val="20"/>
        <w:szCs w:val="20"/>
      </w:rPr>
    </w:lvl>
    <w:lvl w:ilvl="2">
      <w:start w:val="0"/>
      <w:numFmt w:val="bullet"/>
      <w:lvlText w:val="•"/>
      <w:lvlJc w:val="left"/>
      <w:pPr>
        <w:ind w:left="2416" w:hanging="360"/>
      </w:pPr>
      <w:rPr>
        <w:rFonts w:hint="default"/>
      </w:rPr>
    </w:lvl>
    <w:lvl w:ilvl="3">
      <w:start w:val="0"/>
      <w:numFmt w:val="bullet"/>
      <w:lvlText w:val="•"/>
      <w:lvlJc w:val="left"/>
      <w:pPr>
        <w:ind w:left="3252"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25" w:hanging="360"/>
      </w:pPr>
      <w:rPr>
        <w:rFonts w:hint="default"/>
      </w:rPr>
    </w:lvl>
    <w:lvl w:ilvl="6">
      <w:start w:val="0"/>
      <w:numFmt w:val="bullet"/>
      <w:lvlText w:val="•"/>
      <w:lvlJc w:val="left"/>
      <w:pPr>
        <w:ind w:left="5761" w:hanging="360"/>
      </w:pPr>
      <w:rPr>
        <w:rFonts w:hint="default"/>
      </w:rPr>
    </w:lvl>
    <w:lvl w:ilvl="7">
      <w:start w:val="0"/>
      <w:numFmt w:val="bullet"/>
      <w:lvlText w:val="•"/>
      <w:lvlJc w:val="left"/>
      <w:pPr>
        <w:ind w:left="6597" w:hanging="360"/>
      </w:pPr>
      <w:rPr>
        <w:rFonts w:hint="default"/>
      </w:rPr>
    </w:lvl>
    <w:lvl w:ilvl="8">
      <w:start w:val="0"/>
      <w:numFmt w:val="bullet"/>
      <w:lvlText w:val="•"/>
      <w:lvlJc w:val="left"/>
      <w:pPr>
        <w:ind w:left="7433"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軟正黑體" w:hAnsi="微軟正黑體" w:eastAsia="微軟正黑體" w:cs="微軟正黑體"/>
    </w:rPr>
  </w:style>
  <w:style w:styleId="BodyText" w:type="paragraph">
    <w:name w:val="Body Text"/>
    <w:basedOn w:val="Normal"/>
    <w:uiPriority w:val="1"/>
    <w:qFormat/>
    <w:pPr/>
    <w:rPr>
      <w:rFonts w:ascii="微軟正黑體" w:hAnsi="微軟正黑體" w:eastAsia="微軟正黑體" w:cs="微軟正黑體"/>
      <w:sz w:val="24"/>
      <w:szCs w:val="24"/>
    </w:rPr>
  </w:style>
  <w:style w:styleId="Heading1" w:type="paragraph">
    <w:name w:val="Heading 1"/>
    <w:basedOn w:val="Normal"/>
    <w:uiPriority w:val="1"/>
    <w:qFormat/>
    <w:pPr>
      <w:spacing w:line="428" w:lineRule="exact"/>
      <w:ind w:left="860" w:hanging="360"/>
      <w:outlineLvl w:val="1"/>
    </w:pPr>
    <w:rPr>
      <w:rFonts w:ascii="微軟正黑體" w:hAnsi="微軟正黑體" w:eastAsia="微軟正黑體" w:cs="微軟正黑體"/>
      <w:b/>
      <w:bCs/>
      <w:sz w:val="24"/>
      <w:szCs w:val="24"/>
    </w:rPr>
  </w:style>
  <w:style w:styleId="ListParagraph" w:type="paragraph">
    <w:name w:val="List Paragraph"/>
    <w:basedOn w:val="Normal"/>
    <w:uiPriority w:val="1"/>
    <w:qFormat/>
    <w:pPr>
      <w:ind w:left="860" w:hanging="360"/>
    </w:pPr>
    <w:rPr>
      <w:rFonts w:ascii="微軟正黑體" w:hAnsi="微軟正黑體" w:eastAsia="微軟正黑體" w:cs="微軟正黑體"/>
    </w:rPr>
  </w:style>
  <w:style w:styleId="TableParagraph" w:type="paragraph">
    <w:name w:val="Table Paragraph"/>
    <w:basedOn w:val="Normal"/>
    <w:uiPriority w:val="1"/>
    <w:qFormat/>
    <w:pPr>
      <w:ind w:left="107"/>
    </w:pPr>
    <w:rPr>
      <w:rFonts w:ascii="微軟正黑體" w:hAnsi="微軟正黑體" w:eastAsia="微軟正黑體" w:cs="微軟正黑體"/>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Ho</dc:creator>
  <dcterms:created xsi:type="dcterms:W3CDTF">2025-07-25T00:37:26Z</dcterms:created>
  <dcterms:modified xsi:type="dcterms:W3CDTF">2025-07-25T00:37:26Z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2025-07-14T00:00:00Z</vt:filetime>
  </property>
  <property fmtid="{D5CDD505-2E9C-101B-9397-08002B2CF9AE}" pid="3" name="Creator">
    <vt:lpwstr>Acrobat PDFMaker 19 Word 版</vt:lpwstr>
  </property>
  <property fmtid="{D5CDD505-2E9C-101B-9397-08002B2CF9AE}" pid="4" name="LastSaved">
    <vt:filetime>2025-07-25T00:00:00Z</vt:filetime>
  </property>
</Properties>
</file>