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0" w:lineRule="auto" w:before="28"/>
        <w:ind w:left="3614"/>
      </w:pPr>
      <w:r>
        <w:rPr/>
        <w:t>局限案例 </w:t>
      </w:r>
      <w:r>
        <w:rPr>
          <w:rFonts w:ascii="Calibri" w:eastAsia="Calibri"/>
        </w:rPr>
        <w:t>2_</w:t>
      </w:r>
      <w:r>
        <w:rPr/>
        <w:t>分析參考</w:t>
      </w:r>
    </w:p>
    <w:p>
      <w:pPr>
        <w:spacing w:line="428" w:lineRule="exact" w:before="267"/>
        <w:ind w:left="118" w:right="0" w:firstLine="0"/>
        <w:jc w:val="left"/>
        <w:rPr>
          <w:b/>
          <w:sz w:val="24"/>
        </w:rPr>
      </w:pPr>
      <w:r>
        <w:rPr>
          <w:b/>
          <w:sz w:val="24"/>
        </w:rPr>
        <w:t>飲料製造業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從事發酵槽清理作業發生缺氧災害調查分析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25" w:lineRule="auto" w:before="6" w:after="0"/>
        <w:ind w:left="838" w:right="134" w:hanging="360"/>
        <w:jc w:val="left"/>
        <w:rPr>
          <w:sz w:val="24"/>
        </w:rPr>
      </w:pPr>
      <w:r>
        <w:rPr>
          <w:b/>
          <w:sz w:val="24"/>
        </w:rPr>
        <w:t>重要提醒：  </w:t>
      </w:r>
      <w:r>
        <w:rPr>
          <w:sz w:val="24"/>
        </w:rPr>
        <w:t>本分析報告是基於所提供案例的有限資訊，並結合事故調查的專業方法論進行。部分內容為根據邏輯與經驗所做的合理假設，並會明確標示為</w:t>
      </w:r>
      <w:r>
        <w:rPr>
          <w:rFonts w:ascii="Calibri" w:hAnsi="Calibri" w:eastAsia="Calibri"/>
          <w:sz w:val="24"/>
        </w:rPr>
        <w:t>**(</w:t>
      </w:r>
      <w:r>
        <w:rPr>
          <w:spacing w:val="-17"/>
          <w:sz w:val="24"/>
        </w:rPr>
        <w:t>假</w:t>
      </w:r>
      <w:r>
        <w:rPr>
          <w:sz w:val="24"/>
        </w:rPr>
        <w:t>設</w:t>
      </w:r>
      <w:r>
        <w:rPr>
          <w:rFonts w:ascii="Calibri" w:hAnsi="Calibri" w:eastAsia="Calibri"/>
          <w:sz w:val="24"/>
        </w:rPr>
        <w:t>)**</w:t>
      </w:r>
      <w:r>
        <w:rPr>
          <w:spacing w:val="-1"/>
          <w:sz w:val="24"/>
        </w:rPr>
        <w:t>。一場實際、完整的事故調查，需要更詳盡的現場勘查、人員訪談與物證檢</w:t>
      </w:r>
      <w:r>
        <w:rPr>
          <w:sz w:val="24"/>
        </w:rPr>
        <w:t>驗來支持所有結論。</w:t>
      </w:r>
    </w:p>
    <w:p>
      <w:pPr>
        <w:pStyle w:val="BodyText"/>
        <w:spacing w:before="5"/>
        <w:ind w:left="0" w:firstLine="0"/>
        <w:rPr>
          <w:sz w:val="6"/>
        </w:rPr>
      </w:pPr>
      <w:r>
        <w:rPr/>
        <w:pict>
          <v:group style="position:absolute;margin-left:70.900002pt;margin-top:7.761729pt;width:460.7pt;height:1.55pt;mso-position-horizontal-relative:page;mso-position-vertical-relative:paragraph;z-index:-1024;mso-wrap-distance-left:0;mso-wrap-distance-right:0" coordorigin="1418,155" coordsize="9214,31">
            <v:line style="position:absolute" from="1418,171" to="10632,171" stroked="true" strokeweight="1.5pt" strokecolor="#9f9f9f">
              <v:stroke dashstyle="solid"/>
            </v:line>
            <v:rect style="position:absolute;left:1418;top:155;width:5;height:5" filled="true" fillcolor="#9f9f9f" stroked="false">
              <v:fill type="solid"/>
            </v:rect>
            <v:rect style="position:absolute;left:1418;top:155;width:5;height:5" filled="true" fillcolor="#9f9f9f" stroked="false">
              <v:fill type="solid"/>
            </v:rect>
            <v:line style="position:absolute" from="1423,158" to="10627,158" stroked="true" strokeweight=".239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418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418;top:180;width:5;height:5" filled="true" fillcolor="#9f9f9f" stroked="false">
              <v:fill type="solid"/>
            </v:rect>
            <v:rect style="position:absolute;left:1418;top:180;width:5;height:5" filled="true" fillcolor="#e2e2e2" stroked="false">
              <v:fill type="solid"/>
            </v:rect>
            <v:line style="position:absolute" from="1423,183" to="10627,183" stroked="true" strokeweight=".239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2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行業分類：  飲料製造業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災害類型：  缺氧、中毒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媒介物： 缺氧空氣及一氧化碳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罹災情形： 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人、受傷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105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事故地點： 廠內發酵槽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25" w:lineRule="auto" w:before="6" w:after="0"/>
        <w:ind w:left="838" w:right="207" w:hanging="360"/>
        <w:jc w:val="left"/>
        <w:rPr>
          <w:sz w:val="24"/>
        </w:rPr>
      </w:pPr>
      <w:r>
        <w:rPr>
          <w:sz w:val="24"/>
        </w:rPr>
        <w:t>事故摘要： 勞工甲員在已封閉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個月的發酵槽內從事殘渣清理作業時，因吸入</w:t>
      </w:r>
      <w:r>
        <w:rPr>
          <w:spacing w:val="-1"/>
          <w:sz w:val="24"/>
        </w:rPr>
        <w:t>缺氧及含有一氧化碳的空氣而昏迷。監視人員乙員呼叫丙員前來，丙員在防護不足的情況下進入救援，亦隨即昏迷。經消防隊救出後，甲員不治死亡，丙員經救</w:t>
      </w:r>
      <w:r>
        <w:rPr>
          <w:sz w:val="24"/>
        </w:rPr>
        <w:t>治後住院觀察。</w:t>
      </w:r>
    </w:p>
    <w:p>
      <w:pPr>
        <w:pStyle w:val="BodyText"/>
        <w:spacing w:before="4"/>
        <w:ind w:left="0" w:firstLine="0"/>
        <w:rPr>
          <w:sz w:val="6"/>
        </w:rPr>
      </w:pPr>
      <w:r>
        <w:rPr/>
        <w:pict>
          <v:group style="position:absolute;margin-left:70.900002pt;margin-top:7.696638pt;width:460.7pt;height:1.55pt;mso-position-horizontal-relative:page;mso-position-vertical-relative:paragraph;z-index:-1000;mso-wrap-distance-left:0;mso-wrap-distance-right:0" coordorigin="1418,154" coordsize="9214,31">
            <v:line style="position:absolute" from="1418,169" to="10632,169" stroked="true" strokeweight="1.5pt" strokecolor="#9f9f9f">
              <v:stroke dashstyle="solid"/>
            </v:line>
            <v:rect style="position:absolute;left:1418;top:154;width:5;height:5" filled="true" fillcolor="#9f9f9f" stroked="false">
              <v:fill type="solid"/>
            </v:rect>
            <v:rect style="position:absolute;left:1418;top:154;width:5;height:5" filled="true" fillcolor="#9f9f9f" stroked="false">
              <v:fill type="solid"/>
            </v:rect>
            <v:line style="position:absolute" from="1423,157" to="10627,157" stroked="true" strokeweight=".24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418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418;top:179;width:5;height:5" filled="true" fillcolor="#9f9f9f" stroked="false">
              <v:fill type="solid"/>
            </v:rect>
            <v:rect style="position:absolute;left:1418;top:179;width:5;height:5" filled="true" fillcolor="#e2e2e2" stroked="false">
              <v:fill type="solid"/>
            </v:rect>
            <v:line style="position:absolute" from="1423,182" to="10627,182" stroked="true" strokeweight=".24pt" strokecolor="#e2e2e2">
              <v:stroke dashstyle="solid"/>
            </v:line>
            <v:rect style="position:absolute;left:10627;top:179;width:5;height:5" filled="true" fillcolor="#e2e2e2" stroked="false">
              <v:fill type="solid"/>
            </v:rect>
            <v:rect style="position:absolute;left:10627;top:17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7"/>
        <w:ind w:left="0" w:firstLine="0"/>
        <w:rPr>
          <w:sz w:val="8"/>
        </w:rPr>
      </w:pPr>
    </w:p>
    <w:p>
      <w:pPr>
        <w:pStyle w:val="Heading1"/>
        <w:spacing w:line="574" w:lineRule="exact"/>
        <w:rPr>
          <w:rFonts w:ascii="Cambria" w:eastAsia="Cambria"/>
        </w:rPr>
      </w:pPr>
      <w:bookmarkStart w:name="一.  事件成因分析圖 (ECFC)" w:id="1"/>
      <w:bookmarkEnd w:id="1"/>
      <w:r>
        <w:rPr>
          <w:b w:val="0"/>
        </w:rPr>
      </w:r>
      <w:r>
        <w:rPr/>
        <w:t>一</w:t>
      </w:r>
      <w:r>
        <w:rPr>
          <w:rFonts w:ascii="Cambria" w:eastAsia="Cambria"/>
        </w:rPr>
        <w:t>. </w:t>
      </w:r>
      <w:r>
        <w:rPr/>
        <w:t>事件成因分析圖  </w:t>
      </w:r>
      <w:r>
        <w:rPr>
          <w:rFonts w:ascii="Cambria" w:eastAsia="Cambria"/>
        </w:rPr>
        <w:t>(ECFC)</w:t>
      </w:r>
    </w:p>
    <w:p>
      <w:pPr>
        <w:pStyle w:val="BodyText"/>
        <w:spacing w:line="427" w:lineRule="exact"/>
        <w:ind w:left="478" w:firstLine="0"/>
      </w:pPr>
      <w:r>
        <w:rPr/>
        <w:t>此圖將事故發生的事件及相關條件按時間順序呈現，以視覺化方式釐清因果關係。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6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911850</wp:posOffset>
            </wp:positionH>
            <wp:positionV relativeFrom="paragraph">
              <wp:posOffset>152233</wp:posOffset>
            </wp:positionV>
            <wp:extent cx="5760686" cy="1398270"/>
            <wp:effectExtent l="0" t="0" r="0" b="0"/>
            <wp:wrapTopAndBottom/>
            <wp:docPr id="1" name="image1.jpeg" descr="一張含有 文字, 圖表, 行, 螢幕擷取畫面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86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900002pt;margin-top:150.049149pt;width:460.7pt;height:1.5pt;mso-position-horizontal-relative:page;mso-position-vertical-relative:paragraph;z-index:-952;mso-wrap-distance-left:0;mso-wrap-distance-right:0" coordorigin="1418,3001" coordsize="9214,30">
            <v:line style="position:absolute" from="1418,3016" to="10632,3016" stroked="true" strokeweight="1.5pt" strokecolor="#9f9f9f">
              <v:stroke dashstyle="solid"/>
            </v:line>
            <v:rect style="position:absolute;left:1418;top:3000;width:5;height:5" filled="true" fillcolor="#9f9f9f" stroked="false">
              <v:fill type="solid"/>
            </v:rect>
            <v:rect style="position:absolute;left:1418;top:3000;width:5;height:5" filled="true" fillcolor="#9f9f9f" stroked="false">
              <v:fill type="solid"/>
            </v:rect>
            <v:line style="position:absolute" from="1423,3003" to="10627,3003" stroked="true" strokeweight=".24pt" strokecolor="#9f9f9f">
              <v:stroke dashstyle="solid"/>
            </v:line>
            <v:rect style="position:absolute;left:10627;top:3000;width:5;height:5" filled="true" fillcolor="#e2e2e2" stroked="false">
              <v:fill type="solid"/>
            </v:rect>
            <v:rect style="position:absolute;left:10627;top:3000;width:5;height:5" filled="true" fillcolor="#9f9f9f" stroked="false">
              <v:fill type="solid"/>
            </v:rect>
            <v:rect style="position:absolute;left:1418;top:3005;width:5;height:21" filled="true" fillcolor="#9f9f9f" stroked="false">
              <v:fill type="solid"/>
            </v:rect>
            <v:rect style="position:absolute;left:10627;top:3005;width:5;height:21" filled="true" fillcolor="#e2e2e2" stroked="false">
              <v:fill type="solid"/>
            </v:rect>
            <v:rect style="position:absolute;left:1418;top:3026;width:5;height:5" filled="true" fillcolor="#9f9f9f" stroked="false">
              <v:fill type="solid"/>
            </v:rect>
            <v:rect style="position:absolute;left:1418;top:3026;width:5;height:5" filled="true" fillcolor="#e2e2e2" stroked="false">
              <v:fill type="solid"/>
            </v:rect>
            <v:line style="position:absolute" from="1423,3029" to="10627,3029" stroked="true" strokeweight=".24pt" strokecolor="#e2e2e2">
              <v:stroke dashstyle="solid"/>
            </v:line>
            <v:rect style="position:absolute;left:10627;top:3026;width:5;height:5" filled="true" fillcolor="#e2e2e2" stroked="false">
              <v:fill type="solid"/>
            </v:rect>
            <v:rect style="position:absolute;left:10627;top:302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2"/>
        <w:ind w:left="0" w:firstLine="0"/>
        <w:rPr>
          <w:sz w:val="26"/>
        </w:rPr>
      </w:pPr>
    </w:p>
    <w:p>
      <w:pPr>
        <w:pStyle w:val="BodyText"/>
        <w:spacing w:before="17"/>
        <w:ind w:left="0" w:firstLine="0"/>
        <w:rPr>
          <w:sz w:val="8"/>
        </w:rPr>
      </w:pPr>
    </w:p>
    <w:p>
      <w:pPr>
        <w:pStyle w:val="Heading1"/>
      </w:pPr>
      <w:bookmarkStart w:name="二.  時間序列表" w:id="2"/>
      <w:bookmarkEnd w:id="2"/>
      <w:r>
        <w:rPr>
          <w:b w:val="0"/>
        </w:rPr>
      </w:r>
      <w:r>
        <w:rPr/>
        <w:t>二</w:t>
      </w:r>
      <w:r>
        <w:rPr>
          <w:rFonts w:ascii="Cambria" w:eastAsia="Cambria"/>
        </w:rPr>
        <w:t>. </w:t>
      </w:r>
      <w:r>
        <w:rPr/>
        <w:t>時間序列表</w:t>
      </w:r>
    </w:p>
    <w:p>
      <w:pPr>
        <w:pStyle w:val="BodyText"/>
        <w:spacing w:line="426" w:lineRule="exact"/>
        <w:ind w:left="478" w:firstLine="0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6" w:lineRule="exact"/>
        <w:sectPr>
          <w:type w:val="continuous"/>
          <w:pgSz w:w="11910" w:h="16840"/>
          <w:pgMar w:top="1380" w:bottom="280" w:left="130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412"/>
        <w:gridCol w:w="641"/>
        <w:gridCol w:w="935"/>
        <w:gridCol w:w="2118"/>
        <w:gridCol w:w="2206"/>
      </w:tblGrid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225" w:lineRule="auto" w:before="4"/>
              <w:ind w:left="107" w:right="173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41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4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35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327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auto" w:before="4"/>
              <w:ind w:right="165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事故前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444"/>
              <w:rPr>
                <w:sz w:val="20"/>
              </w:rPr>
            </w:pPr>
            <w:r>
              <w:rPr>
                <w:sz w:val="20"/>
              </w:rPr>
              <w:t>發酵槽已 </w:t>
            </w: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個月未打開。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spacing w:line="356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C (</w:t>
            </w:r>
            <w:r>
              <w:rPr>
                <w:sz w:val="20"/>
              </w:rPr>
              <w:t>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198"/>
              <w:rPr>
                <w:sz w:val="20"/>
              </w:rPr>
            </w:pPr>
            <w:r>
              <w:rPr>
                <w:sz w:val="20"/>
              </w:rPr>
              <w:t>槽內因發酵殘渣分 </w:t>
            </w:r>
            <w:r>
              <w:rPr>
                <w:spacing w:val="-2"/>
                <w:sz w:val="20"/>
              </w:rPr>
              <w:t>解，造成缺氧及一氧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化碳</w:t>
            </w:r>
            <w:r>
              <w:rPr>
                <w:rFonts w:ascii="Segoe UI" w:eastAsia="Segoe UI"/>
                <w:sz w:val="20"/>
              </w:rPr>
              <w:t>(CO)</w:t>
            </w:r>
            <w:r>
              <w:rPr>
                <w:sz w:val="20"/>
              </w:rPr>
              <w:t>蓄積。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auto" w:before="4"/>
              <w:ind w:right="286"/>
              <w:rPr>
                <w:sz w:val="20"/>
              </w:rPr>
            </w:pPr>
            <w:r>
              <w:rPr>
                <w:sz w:val="20"/>
              </w:rPr>
              <w:t>缺乏對長時間密閉容器的危害認知。</w:t>
            </w:r>
          </w:p>
        </w:tc>
      </w:tr>
      <w:tr>
        <w:trPr>
          <w:trHeight w:val="691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事故前</w:t>
            </w:r>
          </w:p>
        </w:tc>
        <w:tc>
          <w:tcPr>
            <w:tcW w:w="2412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公司未建立局限空間作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業管理程序。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假設</w:t>
            </w:r>
          </w:p>
        </w:tc>
        <w:tc>
          <w:tcPr>
            <w:tcW w:w="935" w:type="dxa"/>
          </w:tcPr>
          <w:p>
            <w:pPr>
              <w:pStyle w:val="TableParagraph"/>
              <w:spacing w:line="356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C (</w:t>
            </w:r>
            <w:r>
              <w:rPr>
                <w:sz w:val="20"/>
              </w:rPr>
              <w:t>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18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未要求作業前申請許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可、實施風險評估。</w:t>
            </w:r>
          </w:p>
        </w:tc>
        <w:tc>
          <w:tcPr>
            <w:tcW w:w="2206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安全管理系統性缺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失。</w:t>
            </w:r>
          </w:p>
        </w:tc>
      </w:tr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105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年</w:t>
            </w:r>
          </w:p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</w:t>
            </w:r>
            <w:r>
              <w:rPr>
                <w:rFonts w:ascii="Segoe UI" w:eastAsia="Segoe UI"/>
                <w:spacing w:val="-4"/>
                <w:sz w:val="20"/>
              </w:rPr>
              <w:t> </w:t>
            </w:r>
            <w:r>
              <w:rPr>
                <w:sz w:val="20"/>
              </w:rPr>
              <w:t>月某</w:t>
            </w:r>
          </w:p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日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291"/>
              <w:rPr>
                <w:sz w:val="20"/>
              </w:rPr>
            </w:pPr>
            <w:r>
              <w:rPr>
                <w:sz w:val="20"/>
              </w:rPr>
              <w:t>甲員打開人孔蓋，準備進入清理。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198"/>
              <w:rPr>
                <w:sz w:val="20"/>
              </w:rPr>
            </w:pPr>
            <w:r>
              <w:rPr>
                <w:sz w:val="20"/>
              </w:rPr>
              <w:t>未依規定實施通風換氣與氣體濃度測定。</w:t>
            </w:r>
          </w:p>
        </w:tc>
        <w:tc>
          <w:tcPr>
            <w:tcW w:w="2206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缺乏標準作業程序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(SOP)</w:t>
            </w:r>
            <w:r>
              <w:rPr>
                <w:sz w:val="20"/>
              </w:rPr>
              <w:t>或未落實。</w:t>
            </w:r>
          </w:p>
        </w:tc>
      </w:tr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同日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292"/>
              <w:rPr>
                <w:sz w:val="20"/>
              </w:rPr>
            </w:pPr>
            <w:r>
              <w:rPr>
                <w:sz w:val="20"/>
              </w:rPr>
              <w:t>甲員配戴半罩式防毒面具及護目鏡，由乙員在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旁監視，進入槽內。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呼吸防護具選擇錯誤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應使用供氣式呼吸防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護具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auto" w:before="4"/>
              <w:ind w:right="286"/>
              <w:rPr>
                <w:sz w:val="20"/>
              </w:rPr>
            </w:pPr>
            <w:r>
              <w:rPr>
                <w:sz w:val="20"/>
              </w:rPr>
              <w:t>人員安全訓練不足， 無法辨識危害與選擇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正確防護具。</w:t>
            </w:r>
          </w:p>
        </w:tc>
      </w:tr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同日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492"/>
              <w:rPr>
                <w:sz w:val="20"/>
              </w:rPr>
            </w:pPr>
            <w:r>
              <w:rPr>
                <w:sz w:val="20"/>
              </w:rPr>
              <w:t>甲員於爬梯上失足墜落，撞擊攪拌棒後昏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迷。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198"/>
              <w:rPr>
                <w:sz w:val="20"/>
              </w:rPr>
            </w:pPr>
            <w:r>
              <w:rPr>
                <w:sz w:val="20"/>
              </w:rPr>
              <w:t>暴露於缺氧與一氧化碳環境導致體力不支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或暈眩。</w:t>
            </w:r>
          </w:p>
        </w:tc>
        <w:tc>
          <w:tcPr>
            <w:tcW w:w="2206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危害的直接衝擊。</w:t>
            </w:r>
          </w:p>
        </w:tc>
      </w:tr>
      <w:tr>
        <w:trPr>
          <w:trHeight w:val="692" w:hRule="atLeast"/>
        </w:trPr>
        <w:tc>
          <w:tcPr>
            <w:tcW w:w="893" w:type="dxa"/>
          </w:tcPr>
          <w:p>
            <w:pPr>
              <w:pStyle w:val="TableParagraph"/>
              <w:spacing w:line="357" w:lineRule="exact"/>
              <w:ind w:left="107"/>
              <w:rPr>
                <w:sz w:val="20"/>
              </w:rPr>
            </w:pPr>
            <w:r>
              <w:rPr>
                <w:sz w:val="20"/>
              </w:rPr>
              <w:t>同日</w:t>
            </w:r>
          </w:p>
        </w:tc>
        <w:tc>
          <w:tcPr>
            <w:tcW w:w="2412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乙員呼叫丙員協助搶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救。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現場無緊急應變計畫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與指定救援人員。</w:t>
            </w:r>
          </w:p>
        </w:tc>
        <w:tc>
          <w:tcPr>
            <w:tcW w:w="2206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未規劃救援程序與演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練。</w:t>
            </w:r>
          </w:p>
        </w:tc>
      </w:tr>
      <w:tr>
        <w:trPr>
          <w:trHeight w:val="1037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同日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292"/>
              <w:rPr>
                <w:sz w:val="20"/>
              </w:rPr>
            </w:pPr>
            <w:r>
              <w:rPr>
                <w:sz w:val="20"/>
              </w:rPr>
              <w:t>丙員僅以毛巾摀口鼻即進入發酵槽救援，隨後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也暈倒。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198"/>
              <w:rPr>
                <w:sz w:val="20"/>
              </w:rPr>
            </w:pPr>
            <w:r>
              <w:rPr>
                <w:sz w:val="20"/>
              </w:rPr>
              <w:t>救援者嚴重低估危 </w:t>
            </w:r>
            <w:r>
              <w:rPr>
                <w:spacing w:val="-2"/>
                <w:sz w:val="20"/>
              </w:rPr>
              <w:t>害，防護措施完全無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效。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auto" w:before="4"/>
              <w:ind w:right="286"/>
              <w:rPr>
                <w:sz w:val="20"/>
              </w:rPr>
            </w:pPr>
            <w:r>
              <w:rPr>
                <w:sz w:val="20"/>
              </w:rPr>
              <w:t>出於救人心切的本能反應，但缺乏危害認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知與救援訓練。</w:t>
            </w:r>
          </w:p>
        </w:tc>
      </w:tr>
      <w:tr>
        <w:trPr>
          <w:trHeight w:val="1038" w:hRule="atLeast"/>
        </w:trPr>
        <w:tc>
          <w:tcPr>
            <w:tcW w:w="893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事故後</w:t>
            </w:r>
          </w:p>
        </w:tc>
        <w:tc>
          <w:tcPr>
            <w:tcW w:w="2412" w:type="dxa"/>
          </w:tcPr>
          <w:p>
            <w:pPr>
              <w:pStyle w:val="TableParagraph"/>
              <w:spacing w:line="225" w:lineRule="auto" w:before="4"/>
              <w:ind w:right="292"/>
              <w:rPr>
                <w:sz w:val="20"/>
              </w:rPr>
            </w:pPr>
            <w:r>
              <w:rPr>
                <w:sz w:val="20"/>
              </w:rPr>
              <w:t>消防隊員將甲、丙二人救出送醫，甲員不治，</w:t>
            </w:r>
          </w:p>
          <w:p>
            <w:pPr>
              <w:pStyle w:val="TableParagraph"/>
              <w:spacing w:line="323" w:lineRule="exact"/>
              <w:rPr>
                <w:sz w:val="20"/>
              </w:rPr>
            </w:pPr>
            <w:r>
              <w:rPr>
                <w:sz w:val="20"/>
              </w:rPr>
              <w:t>丙員獲救。</w:t>
            </w:r>
          </w:p>
        </w:tc>
        <w:tc>
          <w:tcPr>
            <w:tcW w:w="64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118" w:type="dxa"/>
          </w:tcPr>
          <w:p>
            <w:pPr>
              <w:pStyle w:val="TableParagraph"/>
              <w:spacing w:line="225" w:lineRule="auto" w:before="4"/>
              <w:ind w:right="198"/>
              <w:rPr>
                <w:sz w:val="20"/>
              </w:rPr>
            </w:pPr>
            <w:r>
              <w:rPr>
                <w:sz w:val="20"/>
              </w:rPr>
              <w:t>錯過黃金救援時間， 且第二名人員也陷入</w:t>
            </w:r>
          </w:p>
          <w:p>
            <w:pPr>
              <w:pStyle w:val="TableParagraph"/>
              <w:spacing w:line="323" w:lineRule="exact"/>
              <w:rPr>
                <w:sz w:val="20"/>
              </w:rPr>
            </w:pPr>
            <w:r>
              <w:rPr>
                <w:sz w:val="20"/>
              </w:rPr>
              <w:t>危害。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auto" w:before="4"/>
              <w:ind w:right="286"/>
              <w:rPr>
                <w:sz w:val="20"/>
              </w:rPr>
            </w:pPr>
            <w:r>
              <w:rPr>
                <w:sz w:val="20"/>
              </w:rPr>
              <w:t>未能執行安全救援， 導致災害擴大。</w:t>
            </w:r>
          </w:p>
        </w:tc>
      </w:tr>
    </w:tbl>
    <w:p>
      <w:pPr>
        <w:pStyle w:val="BodyText"/>
        <w:spacing w:before="9"/>
        <w:ind w:left="0" w:firstLine="0"/>
        <w:rPr>
          <w:sz w:val="6"/>
        </w:rPr>
      </w:pPr>
      <w:r>
        <w:rPr/>
        <w:pict>
          <v:group style="position:absolute;margin-left:70.900002pt;margin-top:7.98pt;width:460.7pt;height:1.55pt;mso-position-horizontal-relative:page;mso-position-vertical-relative:paragraph;z-index:-928;mso-wrap-distance-left:0;mso-wrap-distance-right:0" coordorigin="1418,160" coordsize="9214,31">
            <v:line style="position:absolute" from="1418,175" to="10632,175" stroked="true" strokeweight="1.5pt" strokecolor="#9f9f9f">
              <v:stroke dashstyle="solid"/>
            </v:line>
            <v:rect style="position:absolute;left:1418;top:159;width:5;height:5" filled="true" fillcolor="#9f9f9f" stroked="false">
              <v:fill type="solid"/>
            </v:rect>
            <v:rect style="position:absolute;left:1418;top:159;width:5;height:5" filled="true" fillcolor="#9f9f9f" stroked="false">
              <v:fill type="solid"/>
            </v:rect>
            <v:line style="position:absolute" from="1423,162" to="10627,162" stroked="true" strokeweight=".24pt" strokecolor="#9f9f9f">
              <v:stroke dashstyle="solid"/>
            </v:line>
            <v:rect style="position:absolute;left:10627;top:159;width:5;height:5" filled="true" fillcolor="#e2e2e2" stroked="false">
              <v:fill type="solid"/>
            </v:rect>
            <v:rect style="position:absolute;left:10627;top:159;width:5;height:5" filled="true" fillcolor="#9f9f9f" stroked="false">
              <v:fill type="solid"/>
            </v:rect>
            <v:rect style="position:absolute;left:1418;top:164;width:5;height:21" filled="true" fillcolor="#9f9f9f" stroked="false">
              <v:fill type="solid"/>
            </v:rect>
            <v:rect style="position:absolute;left:10627;top:164;width:5;height:21" filled="true" fillcolor="#e2e2e2" stroked="false">
              <v:fill type="solid"/>
            </v:rect>
            <v:rect style="position:absolute;left:1418;top:184;width:5;height:5" filled="true" fillcolor="#9f9f9f" stroked="false">
              <v:fill type="solid"/>
            </v:rect>
            <v:rect style="position:absolute;left:1418;top:184;width:5;height:5" filled="true" fillcolor="#e2e2e2" stroked="false">
              <v:fill type="solid"/>
            </v:rect>
            <v:line style="position:absolute" from="1423,187" to="10627,187" stroked="true" strokeweight=".24pt" strokecolor="#e2e2e2">
              <v:stroke dashstyle="solid"/>
            </v:line>
            <v:rect style="position:absolute;left:10627;top:184;width:5;height:5" filled="true" fillcolor="#e2e2e2" stroked="false">
              <v:fill type="solid"/>
            </v:rect>
            <v:rect style="position:absolute;left:10627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5"/>
        <w:ind w:left="0" w:firstLine="0"/>
      </w:pPr>
    </w:p>
    <w:p>
      <w:pPr>
        <w:pStyle w:val="Heading1"/>
        <w:rPr>
          <w:rFonts w:ascii="Cambria" w:eastAsia="Cambria"/>
        </w:rPr>
      </w:pPr>
      <w:bookmarkStart w:name="三.  為何樹分析 (Why Tree)" w:id="3"/>
      <w:bookmarkEnd w:id="3"/>
      <w:r>
        <w:rPr>
          <w:b w:val="0"/>
        </w:rPr>
      </w:r>
      <w:r>
        <w:rPr/>
        <w:t>三</w:t>
      </w:r>
      <w:r>
        <w:rPr>
          <w:rFonts w:ascii="Cambria" w:eastAsia="Cambria"/>
        </w:rPr>
        <w:t>. </w:t>
      </w:r>
      <w:r>
        <w:rPr/>
        <w:t>為何樹分析 </w:t>
      </w:r>
      <w:r>
        <w:rPr>
          <w:rFonts w:ascii="Cambria" w:eastAsia="Cambria"/>
        </w:rPr>
        <w:t>(Why Tree)</w:t>
      </w:r>
    </w:p>
    <w:p>
      <w:pPr>
        <w:pStyle w:val="BodyText"/>
        <w:spacing w:line="426" w:lineRule="exact"/>
        <w:ind w:left="478" w:firstLine="0"/>
      </w:pPr>
      <w:r>
        <w:rPr/>
        <w:t>本分析從最終的傷害事件開始，透過不斷追問「為什麼」來探究事件的根本原因。</w:t>
      </w:r>
    </w:p>
    <w:p>
      <w:pPr>
        <w:spacing w:after="0" w:line="426" w:lineRule="exact"/>
        <w:sectPr>
          <w:pgSz w:w="11910" w:h="16840"/>
          <w:pgMar w:top="1420" w:bottom="280" w:left="1300" w:right="1160"/>
        </w:sectPr>
      </w:pPr>
    </w:p>
    <w:p>
      <w:pPr>
        <w:pStyle w:val="BodyText"/>
        <w:spacing w:line="31" w:lineRule="exact"/>
        <w:ind w:left="103" w:firstLine="0"/>
        <w:rPr>
          <w:sz w:val="3"/>
        </w:rPr>
      </w:pPr>
      <w:r>
        <w:rPr>
          <w:position w:val="0"/>
          <w:sz w:val="3"/>
        </w:rPr>
        <w:pict>
          <v:group style="width:460.7pt;height:1.55pt;mso-position-horizontal-relative:char;mso-position-vertical-relative:line" coordorigin="0,0" coordsize="9214,31">
            <v:line style="position:absolute" from="0,15" to="9214,15" stroked="true" strokeweight="1.5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2" to="9209,2" stroked="true" strokeweight=".24pt" strokecolor="#9f9f9f">
              <v:stroke dashstyle="solid"/>
            </v:line>
            <v:rect style="position:absolute;left:9209;top:0;width:5;height:5" filled="true" fillcolor="#e2e2e2" stroked="false">
              <v:fill type="solid"/>
            </v:rect>
            <v:rect style="position:absolute;left:9209;top:0;width:5;height:5" filled="true" fillcolor="#9f9f9f" stroked="false">
              <v:fill type="solid"/>
            </v:rect>
            <v:rect style="position:absolute;left:0;top:4;width:5;height:21" filled="true" fillcolor="#9f9f9f" stroked="false">
              <v:fill type="solid"/>
            </v:rect>
            <v:rect style="position:absolute;left:9209;top:4;width:5;height:21" filled="true" fillcolor="#e2e2e2" stroked="false">
              <v:fill type="solid"/>
            </v:rect>
            <v:rect style="position:absolute;left:0;top:25;width:5;height:5" filled="true" fillcolor="#9f9f9f" stroked="false">
              <v:fill type="solid"/>
            </v:rect>
            <v:rect style="position:absolute;left:0;top:25;width:5;height:5" filled="true" fillcolor="#e2e2e2" stroked="false">
              <v:fill type="solid"/>
            </v:rect>
            <v:line style="position:absolute" from="5,28" to="9209,28" stroked="true" strokeweight=".24pt" strokecolor="#e2e2e2">
              <v:stroke dashstyle="solid"/>
            </v:line>
            <v:rect style="position:absolute;left:9209;top:25;width:5;height:5" filled="true" fillcolor="#e2e2e2" stroked="false">
              <v:fill type="solid"/>
            </v:rect>
            <v:rect style="position:absolute;left:9209;top:25;width:5;height:5" filled="true" fillcolor="#e2e2e2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1216660</wp:posOffset>
            </wp:positionH>
            <wp:positionV relativeFrom="paragraph">
              <wp:posOffset>223910</wp:posOffset>
            </wp:positionV>
            <wp:extent cx="5072076" cy="3350418"/>
            <wp:effectExtent l="0" t="0" r="0" b="0"/>
            <wp:wrapTopAndBottom/>
            <wp:docPr id="3" name="image2.jpeg" descr="一張含有 文字, 螢幕擷取畫面, 圖表, 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076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0" w:firstLine="0"/>
        <w:rPr>
          <w:sz w:val="21"/>
        </w:rPr>
      </w:pPr>
    </w:p>
    <w:p>
      <w:pPr>
        <w:pStyle w:val="Heading1"/>
      </w:pPr>
      <w:bookmarkStart w:name="四.  屏障分析" w:id="4"/>
      <w:bookmarkEnd w:id="4"/>
      <w:r>
        <w:rPr>
          <w:b w:val="0"/>
        </w:rPr>
      </w:r>
      <w:r>
        <w:rPr/>
        <w:t>四</w:t>
      </w:r>
      <w:r>
        <w:rPr>
          <w:rFonts w:ascii="Cambria" w:eastAsia="Cambria"/>
        </w:rPr>
        <w:t>. </w:t>
      </w:r>
      <w:r>
        <w:rPr/>
        <w:t>屏障分析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3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缺氧、一氧化碳中毒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28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作業勞工甲員、救援勞工丙員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1320"/>
        <w:gridCol w:w="1092"/>
        <w:gridCol w:w="2641"/>
        <w:gridCol w:w="3288"/>
      </w:tblGrid>
      <w:tr>
        <w:trPr>
          <w:trHeight w:val="1038" w:hRule="atLeast"/>
        </w:trPr>
        <w:tc>
          <w:tcPr>
            <w:tcW w:w="863" w:type="dxa"/>
          </w:tcPr>
          <w:p>
            <w:pPr>
              <w:pStyle w:val="TableParagraph"/>
              <w:spacing w:line="225" w:lineRule="auto"/>
              <w:ind w:left="107" w:right="143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320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1092" w:type="dxa"/>
          </w:tcPr>
          <w:p>
            <w:pPr>
              <w:pStyle w:val="TableParagraph"/>
              <w:spacing w:line="334" w:lineRule="exact"/>
              <w:ind w:left="107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40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288" w:type="dxa"/>
          </w:tcPr>
          <w:p>
            <w:pPr>
              <w:pStyle w:val="TableParagraph"/>
              <w:spacing w:line="345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863" w:type="dxa"/>
          </w:tcPr>
          <w:p>
            <w:pPr>
              <w:pStyle w:val="TableParagraph"/>
              <w:spacing w:line="225" w:lineRule="auto"/>
              <w:ind w:left="107" w:right="143"/>
              <w:rPr>
                <w:sz w:val="20"/>
              </w:rPr>
            </w:pPr>
            <w:r>
              <w:rPr>
                <w:sz w:val="20"/>
              </w:rPr>
              <w:t>工程控制</w:t>
            </w:r>
          </w:p>
        </w:tc>
        <w:tc>
          <w:tcPr>
            <w:tcW w:w="1320" w:type="dxa"/>
          </w:tcPr>
          <w:p>
            <w:pPr>
              <w:pStyle w:val="TableParagraph"/>
              <w:spacing w:line="225" w:lineRule="auto"/>
              <w:ind w:right="14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機械通風設備</w:t>
            </w:r>
          </w:p>
        </w:tc>
        <w:tc>
          <w:tcPr>
            <w:tcW w:w="1092" w:type="dxa"/>
          </w:tcPr>
          <w:p>
            <w:pPr>
              <w:pStyle w:val="TableParagraph"/>
              <w:spacing w:line="332" w:lineRule="exact"/>
              <w:ind w:left="107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225" w:lineRule="auto"/>
              <w:ind w:right="321"/>
              <w:rPr>
                <w:sz w:val="20"/>
              </w:rPr>
            </w:pPr>
            <w:r>
              <w:rPr>
                <w:sz w:val="20"/>
              </w:rPr>
              <w:t>未規劃或提供強制通風設備。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/>
              <w:ind w:left="107" w:right="167"/>
              <w:rPr>
                <w:sz w:val="20"/>
              </w:rPr>
            </w:pPr>
            <w:r>
              <w:rPr>
                <w:sz w:val="20"/>
              </w:rPr>
              <w:t>未能將槽內有害空氣排出，也未能導入新鮮空氣，無法從根本上改善</w:t>
            </w:r>
          </w:p>
          <w:p>
            <w:pPr>
              <w:pStyle w:val="TableParagraph"/>
              <w:spacing w:line="335" w:lineRule="exact"/>
              <w:ind w:left="107"/>
              <w:rPr>
                <w:sz w:val="20"/>
              </w:rPr>
            </w:pPr>
            <w:r>
              <w:rPr>
                <w:sz w:val="20"/>
              </w:rPr>
              <w:t>作業環境。</w:t>
            </w:r>
          </w:p>
        </w:tc>
      </w:tr>
      <w:tr>
        <w:trPr>
          <w:trHeight w:val="690" w:hRule="atLeast"/>
        </w:trPr>
        <w:tc>
          <w:tcPr>
            <w:tcW w:w="8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氣體偵測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w w:val="100"/>
                <w:sz w:val="20"/>
              </w:rPr>
              <w:t>器</w:t>
            </w:r>
          </w:p>
        </w:tc>
        <w:tc>
          <w:tcPr>
            <w:tcW w:w="1092" w:type="dxa"/>
          </w:tcPr>
          <w:p>
            <w:pPr>
              <w:pStyle w:val="TableParagraph"/>
              <w:spacing w:line="332" w:lineRule="exact"/>
              <w:ind w:left="107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38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未提供或要求使用四合一氣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體偵測器。</w:t>
            </w:r>
          </w:p>
        </w:tc>
        <w:tc>
          <w:tcPr>
            <w:tcW w:w="3288" w:type="dxa"/>
          </w:tcPr>
          <w:p>
            <w:pPr>
              <w:pStyle w:val="TableParagraph"/>
              <w:spacing w:line="332" w:lineRule="exact"/>
              <w:ind w:left="107"/>
              <w:rPr>
                <w:sz w:val="20"/>
              </w:rPr>
            </w:pPr>
            <w:r>
              <w:rPr>
                <w:sz w:val="20"/>
              </w:rPr>
              <w:t>作業人員與監視者完全無法得知槽</w:t>
            </w:r>
          </w:p>
          <w:p>
            <w:pPr>
              <w:pStyle w:val="TableParagraph"/>
              <w:spacing w:line="339" w:lineRule="exact"/>
              <w:ind w:left="107"/>
              <w:rPr>
                <w:sz w:val="20"/>
              </w:rPr>
            </w:pPr>
            <w:r>
              <w:rPr>
                <w:sz w:val="20"/>
              </w:rPr>
              <w:t>內存在立即致命的危險。</w:t>
            </w:r>
          </w:p>
        </w:tc>
      </w:tr>
      <w:tr>
        <w:trPr>
          <w:trHeight w:val="1038" w:hRule="atLeast"/>
        </w:trPr>
        <w:tc>
          <w:tcPr>
            <w:tcW w:w="8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5" w:lineRule="auto"/>
              <w:ind w:right="14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供氣式呼吸防護具</w:t>
            </w:r>
          </w:p>
        </w:tc>
        <w:tc>
          <w:tcPr>
            <w:tcW w:w="1092" w:type="dxa"/>
          </w:tcPr>
          <w:p>
            <w:pPr>
              <w:pStyle w:val="TableParagraph"/>
              <w:spacing w:line="225" w:lineRule="auto"/>
              <w:ind w:left="107" w:right="293"/>
              <w:rPr>
                <w:sz w:val="20"/>
              </w:rPr>
            </w:pPr>
            <w:r>
              <w:rPr>
                <w:sz w:val="20"/>
              </w:rPr>
              <w:t>不存在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未使用</w:t>
            </w:r>
          </w:p>
        </w:tc>
        <w:tc>
          <w:tcPr>
            <w:tcW w:w="2641" w:type="dxa"/>
          </w:tcPr>
          <w:p>
            <w:pPr>
              <w:pStyle w:val="TableParagraph"/>
              <w:spacing w:line="225" w:lineRule="auto"/>
              <w:ind w:right="121"/>
              <w:rPr>
                <w:sz w:val="20"/>
              </w:rPr>
            </w:pPr>
            <w:r>
              <w:rPr>
                <w:sz w:val="20"/>
              </w:rPr>
              <w:t>未提供，或勞工因訓練不足而選用錯誤的防護具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半罩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式面具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/>
              <w:ind w:left="107" w:right="166"/>
              <w:rPr>
                <w:sz w:val="20"/>
              </w:rPr>
            </w:pPr>
            <w:r>
              <w:rPr>
                <w:sz w:val="20"/>
              </w:rPr>
              <w:t>甲員的半罩式面具在缺氧環境下完全無效，直接暴露於危害中。</w:t>
            </w:r>
          </w:p>
        </w:tc>
      </w:tr>
      <w:tr>
        <w:trPr>
          <w:trHeight w:val="1037" w:hRule="atLeast"/>
        </w:trPr>
        <w:tc>
          <w:tcPr>
            <w:tcW w:w="863" w:type="dxa"/>
          </w:tcPr>
          <w:p>
            <w:pPr>
              <w:pStyle w:val="TableParagraph"/>
              <w:spacing w:line="225" w:lineRule="auto"/>
              <w:ind w:left="107" w:right="143"/>
              <w:rPr>
                <w:sz w:val="20"/>
              </w:rPr>
            </w:pPr>
            <w:r>
              <w:rPr>
                <w:sz w:val="20"/>
              </w:rPr>
              <w:t>行政管理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程</w:t>
            </w:r>
          </w:p>
          <w:p>
            <w:pPr>
              <w:pStyle w:val="TableParagraph"/>
              <w:spacing w:line="335" w:lineRule="exact"/>
              <w:ind w:left="107"/>
              <w:rPr>
                <w:sz w:val="20"/>
              </w:rPr>
            </w:pPr>
            <w:r>
              <w:rPr>
                <w:sz w:val="20"/>
              </w:rPr>
              <w:t>序性</w:t>
            </w:r>
          </w:p>
        </w:tc>
        <w:tc>
          <w:tcPr>
            <w:tcW w:w="1320" w:type="dxa"/>
          </w:tcPr>
          <w:p>
            <w:pPr>
              <w:pStyle w:val="TableParagraph"/>
              <w:spacing w:line="225" w:lineRule="auto"/>
              <w:ind w:right="14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局限空間作業許可制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w w:val="100"/>
                <w:sz w:val="20"/>
              </w:rPr>
              <w:t>度</w:t>
            </w:r>
          </w:p>
        </w:tc>
        <w:tc>
          <w:tcPr>
            <w:tcW w:w="1092" w:type="dxa"/>
          </w:tcPr>
          <w:p>
            <w:pPr>
              <w:pStyle w:val="TableParagraph"/>
              <w:spacing w:line="225" w:lineRule="auto"/>
              <w:ind w:left="107" w:right="210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34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225" w:lineRule="auto"/>
              <w:ind w:right="121"/>
              <w:rPr>
                <w:sz w:val="20"/>
              </w:rPr>
            </w:pPr>
            <w:r>
              <w:rPr>
                <w:sz w:val="20"/>
              </w:rPr>
              <w:t>未建立相關管理程序，或雖有程序但未落實執行。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/>
              <w:ind w:left="107" w:right="166"/>
              <w:rPr>
                <w:sz w:val="20"/>
              </w:rPr>
            </w:pPr>
            <w:r>
              <w:rPr>
                <w:sz w:val="20"/>
              </w:rPr>
              <w:t>整個高風險作業在未經任何安全確認下便展開，失去了第一道管理防</w:t>
            </w:r>
          </w:p>
          <w:p>
            <w:pPr>
              <w:pStyle w:val="TableParagraph"/>
              <w:spacing w:line="334" w:lineRule="exact"/>
              <w:ind w:left="107"/>
              <w:rPr>
                <w:sz w:val="20"/>
              </w:rPr>
            </w:pPr>
            <w:r>
              <w:rPr>
                <w:sz w:val="20"/>
              </w:rPr>
              <w:t>線。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580" w:bottom="280" w:left="130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1320"/>
        <w:gridCol w:w="1092"/>
        <w:gridCol w:w="2641"/>
        <w:gridCol w:w="3288"/>
      </w:tblGrid>
      <w:tr>
        <w:trPr>
          <w:trHeight w:val="1037" w:hRule="atLeast"/>
        </w:trPr>
        <w:tc>
          <w:tcPr>
            <w:tcW w:w="8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5" w:lineRule="auto" w:before="4"/>
              <w:ind w:right="149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安全作業標 準 </w:t>
            </w:r>
            <w:r>
              <w:rPr>
                <w:rFonts w:ascii="Segoe UI" w:eastAsia="Segoe UI"/>
                <w:sz w:val="20"/>
              </w:rPr>
              <w:t>(SOP)</w:t>
            </w:r>
          </w:p>
        </w:tc>
        <w:tc>
          <w:tcPr>
            <w:tcW w:w="1092" w:type="dxa"/>
          </w:tcPr>
          <w:p>
            <w:pPr>
              <w:pStyle w:val="TableParagraph"/>
              <w:spacing w:line="225" w:lineRule="auto" w:before="4"/>
              <w:ind w:left="107" w:right="210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缺乏針對發酵槽清理的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，或</w:t>
            </w:r>
            <w:r>
              <w:rPr>
                <w:rFonts w:ascii="Segoe UI" w:eastAsia="Segoe UI"/>
                <w:sz w:val="20"/>
              </w:rPr>
              <w:t>SOP </w:t>
            </w:r>
            <w:r>
              <w:rPr>
                <w:sz w:val="20"/>
              </w:rPr>
              <w:t>未包含危害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氣體之確認步驟。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 w:before="4"/>
              <w:ind w:left="107" w:right="166"/>
              <w:rPr>
                <w:sz w:val="20"/>
              </w:rPr>
            </w:pPr>
            <w:r>
              <w:rPr>
                <w:sz w:val="20"/>
              </w:rPr>
              <w:t>勞工只能憑藉過往經驗作業，而忽略了長時間密閉後的狀態已完全不</w:t>
            </w:r>
          </w:p>
          <w:p>
            <w:pPr>
              <w:pStyle w:val="TableParagraph"/>
              <w:spacing w:line="322" w:lineRule="exact"/>
              <w:ind w:left="107"/>
              <w:rPr>
                <w:sz w:val="20"/>
              </w:rPr>
            </w:pPr>
            <w:r>
              <w:rPr>
                <w:sz w:val="20"/>
              </w:rPr>
              <w:t>同。</w:t>
            </w:r>
          </w:p>
        </w:tc>
      </w:tr>
      <w:tr>
        <w:trPr>
          <w:trHeight w:val="1037" w:hRule="atLeast"/>
        </w:trPr>
        <w:tc>
          <w:tcPr>
            <w:tcW w:w="8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5" w:lineRule="auto" w:before="4"/>
              <w:ind w:right="14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6. </w:t>
            </w:r>
            <w:r>
              <w:rPr>
                <w:sz w:val="20"/>
              </w:rPr>
              <w:t>安全教育訓練</w:t>
            </w:r>
          </w:p>
        </w:tc>
        <w:tc>
          <w:tcPr>
            <w:tcW w:w="1092" w:type="dxa"/>
          </w:tcPr>
          <w:p>
            <w:pPr>
              <w:pStyle w:val="TableParagraph"/>
              <w:spacing w:line="225" w:lineRule="auto" w:before="4"/>
              <w:ind w:left="107" w:right="2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不足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225" w:lineRule="auto" w:before="4"/>
              <w:ind w:right="121"/>
              <w:rPr>
                <w:sz w:val="20"/>
              </w:rPr>
            </w:pPr>
            <w:r>
              <w:rPr>
                <w:sz w:val="20"/>
              </w:rPr>
              <w:t>未對勞工進行局限空間危 </w:t>
            </w:r>
            <w:r>
              <w:rPr>
                <w:spacing w:val="-2"/>
                <w:sz w:val="20"/>
              </w:rPr>
              <w:t>害、防護具選擇、緊急應變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的訓練。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 w:before="4"/>
              <w:ind w:left="107" w:right="206"/>
              <w:rPr>
                <w:sz w:val="20"/>
              </w:rPr>
            </w:pPr>
            <w:r>
              <w:rPr>
                <w:sz w:val="20"/>
              </w:rPr>
              <w:t>勞工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甲、乙、丙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皆缺乏危害認 </w:t>
            </w:r>
            <w:r>
              <w:rPr>
                <w:spacing w:val="3"/>
                <w:sz w:val="20"/>
              </w:rPr>
              <w:t>知，做出錯誤判斷與行為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pacing w:val="-5"/>
                <w:sz w:val="20"/>
              </w:rPr>
              <w:t>進入、</w:t>
            </w:r>
          </w:p>
          <w:p>
            <w:pPr>
              <w:pStyle w:val="TableParagraph"/>
              <w:spacing w:line="322" w:lineRule="exact"/>
              <w:ind w:left="107"/>
              <w:rPr>
                <w:sz w:val="20"/>
              </w:rPr>
            </w:pPr>
            <w:r>
              <w:rPr>
                <w:sz w:val="20"/>
              </w:rPr>
              <w:t>錯用防護具、貿然救援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8" w:hRule="atLeast"/>
        </w:trPr>
        <w:tc>
          <w:tcPr>
            <w:tcW w:w="8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5" w:lineRule="auto" w:before="4"/>
              <w:ind w:right="14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7. </w:t>
            </w:r>
            <w:r>
              <w:rPr>
                <w:sz w:val="20"/>
              </w:rPr>
              <w:t>緊急應變與救援計畫</w:t>
            </w:r>
          </w:p>
        </w:tc>
        <w:tc>
          <w:tcPr>
            <w:tcW w:w="1092" w:type="dxa"/>
          </w:tcPr>
          <w:p>
            <w:pPr>
              <w:pStyle w:val="TableParagraph"/>
              <w:spacing w:line="345" w:lineRule="exact"/>
              <w:ind w:left="107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1" w:type="dxa"/>
          </w:tcPr>
          <w:p>
            <w:pPr>
              <w:pStyle w:val="TableParagraph"/>
              <w:spacing w:line="225" w:lineRule="auto" w:before="4"/>
              <w:ind w:right="121"/>
              <w:rPr>
                <w:sz w:val="20"/>
              </w:rPr>
            </w:pPr>
            <w:r>
              <w:rPr>
                <w:sz w:val="20"/>
              </w:rPr>
              <w:t>從未規劃或演練過局限空間的救援程序。</w:t>
            </w:r>
          </w:p>
        </w:tc>
        <w:tc>
          <w:tcPr>
            <w:tcW w:w="3288" w:type="dxa"/>
          </w:tcPr>
          <w:p>
            <w:pPr>
              <w:pStyle w:val="TableParagraph"/>
              <w:spacing w:line="225" w:lineRule="auto" w:before="4"/>
              <w:ind w:left="107" w:right="167"/>
              <w:rPr>
                <w:sz w:val="20"/>
              </w:rPr>
            </w:pPr>
            <w:r>
              <w:rPr>
                <w:sz w:val="20"/>
              </w:rPr>
              <w:t>導致發生意外時，現場人員只能憑本能進行危險的、不安全的救援，</w:t>
            </w:r>
          </w:p>
          <w:p>
            <w:pPr>
              <w:pStyle w:val="TableParagraph"/>
              <w:spacing w:line="323" w:lineRule="exact"/>
              <w:ind w:left="107"/>
              <w:rPr>
                <w:sz w:val="20"/>
              </w:rPr>
            </w:pPr>
            <w:r>
              <w:rPr>
                <w:sz w:val="20"/>
              </w:rPr>
              <w:t>造成災害擴大。</w:t>
            </w:r>
          </w:p>
        </w:tc>
      </w:tr>
    </w:tbl>
    <w:p>
      <w:pPr>
        <w:pStyle w:val="BodyText"/>
        <w:spacing w:before="9"/>
        <w:ind w:left="0" w:firstLine="0"/>
        <w:rPr>
          <w:sz w:val="6"/>
        </w:rPr>
      </w:pPr>
      <w:r>
        <w:rPr/>
        <w:pict>
          <v:group style="position:absolute;margin-left:70.900002pt;margin-top:7.97pt;width:460.7pt;height:1.55pt;mso-position-horizontal-relative:page;mso-position-vertical-relative:paragraph;z-index:-856;mso-wrap-distance-left:0;mso-wrap-distance-right:0" coordorigin="1418,159" coordsize="9214,31">
            <v:line style="position:absolute" from="1418,174" to="10632,174" stroked="true" strokeweight="1.5pt" strokecolor="#9f9f9f">
              <v:stroke dashstyle="solid"/>
            </v:line>
            <v:rect style="position:absolute;left:1418;top:159;width:5;height:5" filled="true" fillcolor="#9f9f9f" stroked="false">
              <v:fill type="solid"/>
            </v:rect>
            <v:rect style="position:absolute;left:1418;top:159;width:5;height:5" filled="true" fillcolor="#9f9f9f" stroked="false">
              <v:fill type="solid"/>
            </v:rect>
            <v:line style="position:absolute" from="1423,162" to="10627,162" stroked="true" strokeweight=".24pt" strokecolor="#9f9f9f">
              <v:stroke dashstyle="solid"/>
            </v:line>
            <v:rect style="position:absolute;left:10627;top:159;width:5;height:5" filled="true" fillcolor="#e2e2e2" stroked="false">
              <v:fill type="solid"/>
            </v:rect>
            <v:rect style="position:absolute;left:10627;top:159;width:5;height:5" filled="true" fillcolor="#9f9f9f" stroked="false">
              <v:fill type="solid"/>
            </v:rect>
            <v:rect style="position:absolute;left:1418;top:164;width:5;height:21" filled="true" fillcolor="#9f9f9f" stroked="false">
              <v:fill type="solid"/>
            </v:rect>
            <v:rect style="position:absolute;left:10627;top:164;width:5;height:21" filled="true" fillcolor="#e2e2e2" stroked="false">
              <v:fill type="solid"/>
            </v:rect>
            <v:rect style="position:absolute;left:1418;top:184;width:5;height:5" filled="true" fillcolor="#9f9f9f" stroked="false">
              <v:fill type="solid"/>
            </v:rect>
            <v:rect style="position:absolute;left:1418;top:184;width:5;height:5" filled="true" fillcolor="#e2e2e2" stroked="false">
              <v:fill type="solid"/>
            </v:rect>
            <v:line style="position:absolute" from="1423,187" to="10627,187" stroked="true" strokeweight=".24pt" strokecolor="#e2e2e2">
              <v:stroke dashstyle="solid"/>
            </v:line>
            <v:rect style="position:absolute;left:10627;top:184;width:5;height:5" filled="true" fillcolor="#e2e2e2" stroked="false">
              <v:fill type="solid"/>
            </v:rect>
            <v:rect style="position:absolute;left:10627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7"/>
        <w:ind w:left="0" w:firstLine="0"/>
        <w:rPr>
          <w:sz w:val="8"/>
        </w:rPr>
      </w:pPr>
    </w:p>
    <w:p>
      <w:pPr>
        <w:pStyle w:val="Heading1"/>
      </w:pPr>
      <w:bookmarkStart w:name="五.  變更分析" w:id="5"/>
      <w:bookmarkEnd w:id="5"/>
      <w:r>
        <w:rPr>
          <w:b w:val="0"/>
        </w:rPr>
      </w:r>
      <w:r>
        <w:rPr/>
        <w:t>五</w:t>
      </w:r>
      <w:r>
        <w:rPr>
          <w:rFonts w:ascii="Cambria" w:eastAsia="Cambria"/>
        </w:rPr>
        <w:t>. </w:t>
      </w:r>
      <w:r>
        <w:rPr/>
        <w:t>變更分析</w:t>
      </w:r>
    </w:p>
    <w:p>
      <w:pPr>
        <w:pStyle w:val="BodyText"/>
        <w:spacing w:line="426" w:lineRule="exact"/>
        <w:ind w:left="478" w:firstLine="0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2098"/>
        <w:gridCol w:w="1942"/>
        <w:gridCol w:w="1922"/>
        <w:gridCol w:w="2218"/>
      </w:tblGrid>
      <w:tr>
        <w:trPr>
          <w:trHeight w:val="690" w:hRule="atLeast"/>
        </w:trPr>
        <w:tc>
          <w:tcPr>
            <w:tcW w:w="1026" w:type="dxa"/>
          </w:tcPr>
          <w:p>
            <w:pPr>
              <w:pStyle w:val="TableParagraph"/>
              <w:spacing w:line="343" w:lineRule="exact"/>
              <w:ind w:left="107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2098" w:type="dxa"/>
          </w:tcPr>
          <w:p>
            <w:pPr>
              <w:pStyle w:val="TableParagraph"/>
              <w:spacing w:line="343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942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先前、理想或未發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sz w:val="20"/>
              </w:rPr>
            </w:pPr>
            <w:r>
              <w:rPr>
                <w:spacing w:val="8"/>
                <w:sz w:val="20"/>
              </w:rPr>
              <w:t>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22" w:type="dxa"/>
          </w:tcPr>
          <w:p>
            <w:pPr>
              <w:pStyle w:val="TableParagraph"/>
              <w:spacing w:line="343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18" w:type="dxa"/>
          </w:tcPr>
          <w:p>
            <w:pPr>
              <w:pStyle w:val="TableParagraph"/>
              <w:spacing w:line="332" w:lineRule="exact"/>
              <w:ind w:left="104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</w:t>
            </w:r>
          </w:p>
          <w:p>
            <w:pPr>
              <w:pStyle w:val="TableParagraph"/>
              <w:spacing w:line="339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8" w:hRule="atLeast"/>
        </w:trPr>
        <w:tc>
          <w:tcPr>
            <w:tcW w:w="1026" w:type="dxa"/>
          </w:tcPr>
          <w:p>
            <w:pPr>
              <w:pStyle w:val="TableParagraph"/>
              <w:spacing w:line="249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什麼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77"/>
              <w:rPr>
                <w:sz w:val="20"/>
              </w:rPr>
            </w:pPr>
            <w:r>
              <w:rPr>
                <w:sz w:val="20"/>
              </w:rPr>
              <w:t>在充滿有害氣體的環境下清理殘渣。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right="223"/>
              <w:rPr>
                <w:sz w:val="20"/>
              </w:rPr>
            </w:pPr>
            <w:r>
              <w:rPr>
                <w:sz w:val="20"/>
              </w:rPr>
              <w:t>在通風良好、氣體濃度安全的環境下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作業。</w:t>
            </w:r>
          </w:p>
        </w:tc>
        <w:tc>
          <w:tcPr>
            <w:tcW w:w="1922" w:type="dxa"/>
          </w:tcPr>
          <w:p>
            <w:pPr>
              <w:pStyle w:val="TableParagraph"/>
              <w:spacing w:line="225" w:lineRule="auto"/>
              <w:ind w:right="202"/>
              <w:rPr>
                <w:sz w:val="20"/>
              </w:rPr>
            </w:pPr>
            <w:r>
              <w:rPr>
                <w:sz w:val="20"/>
              </w:rPr>
              <w:t>作業環境的「內部狀態」由安全變為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立即致命。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這是導致事故發生的最直接物理原因。</w:t>
            </w:r>
          </w:p>
        </w:tc>
      </w:tr>
      <w:tr>
        <w:trPr>
          <w:trHeight w:val="1037" w:hRule="atLeast"/>
        </w:trPr>
        <w:tc>
          <w:tcPr>
            <w:tcW w:w="1026" w:type="dxa"/>
          </w:tcPr>
          <w:p>
            <w:pPr>
              <w:pStyle w:val="TableParagraph"/>
              <w:spacing w:line="247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何時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19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在發酵槽已封閉</w:t>
            </w:r>
            <w:r>
              <w:rPr>
                <w:rFonts w:ascii="Segoe UI" w:eastAsia="Segoe UI"/>
                <w:sz w:val="20"/>
              </w:rPr>
              <w:t>(6 </w:t>
            </w:r>
            <w:r>
              <w:rPr>
                <w:sz w:val="20"/>
              </w:rPr>
              <w:t>個月後作業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right="223"/>
              <w:rPr>
                <w:sz w:val="20"/>
              </w:rPr>
            </w:pPr>
            <w:r>
              <w:rPr>
                <w:sz w:val="20"/>
              </w:rPr>
              <w:t>在短時間密閉後或每次作業前都進行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確認。</w:t>
            </w:r>
          </w:p>
        </w:tc>
        <w:tc>
          <w:tcPr>
            <w:tcW w:w="1922" w:type="dxa"/>
          </w:tcPr>
          <w:p>
            <w:pPr>
              <w:pStyle w:val="TableParagraph"/>
              <w:spacing w:line="225" w:lineRule="auto"/>
              <w:ind w:left="107" w:right="202"/>
              <w:rPr>
                <w:sz w:val="20"/>
              </w:rPr>
            </w:pPr>
            <w:r>
              <w:rPr>
                <w:sz w:val="20"/>
              </w:rPr>
              <w:t>作業時間點的「條件」發生重大改</w:t>
            </w:r>
          </w:p>
          <w:p>
            <w:pPr>
              <w:pStyle w:val="TableParagraph"/>
              <w:spacing w:line="335" w:lineRule="exact"/>
              <w:ind w:left="107"/>
              <w:rPr>
                <w:sz w:val="20"/>
              </w:rPr>
            </w:pPr>
            <w:r>
              <w:rPr>
                <w:sz w:val="20"/>
              </w:rPr>
              <w:t>變。</w:t>
            </w:r>
          </w:p>
        </w:tc>
        <w:tc>
          <w:tcPr>
            <w:tcW w:w="2218" w:type="dxa"/>
          </w:tcPr>
          <w:p>
            <w:pPr>
              <w:pStyle w:val="TableParagraph"/>
              <w:spacing w:line="332" w:lineRule="exact"/>
              <w:ind w:left="105"/>
              <w:rPr>
                <w:sz w:val="20"/>
              </w:rPr>
            </w:pPr>
            <w:r>
              <w:rPr>
                <w:sz w:val="20"/>
              </w:rPr>
              <w:t>長時間密閉是導致缺氧</w:t>
            </w:r>
          </w:p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/CO </w:t>
            </w:r>
            <w:r>
              <w:rPr>
                <w:sz w:val="20"/>
              </w:rPr>
              <w:t>蓄積的關鍵前</w:t>
            </w:r>
          </w:p>
          <w:p>
            <w:pPr>
              <w:pStyle w:val="TableParagraph"/>
              <w:spacing w:line="339" w:lineRule="exact"/>
              <w:ind w:left="105"/>
              <w:rPr>
                <w:sz w:val="20"/>
              </w:rPr>
            </w:pPr>
            <w:r>
              <w:rPr>
                <w:sz w:val="20"/>
              </w:rPr>
              <w:t>提。</w:t>
            </w:r>
          </w:p>
        </w:tc>
      </w:tr>
      <w:tr>
        <w:trPr>
          <w:trHeight w:val="1037" w:hRule="atLeast"/>
        </w:trPr>
        <w:tc>
          <w:tcPr>
            <w:tcW w:w="1026" w:type="dxa"/>
          </w:tcPr>
          <w:p>
            <w:pPr>
              <w:pStyle w:val="TableParagraph"/>
              <w:spacing w:line="247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何地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77"/>
              <w:rPr>
                <w:sz w:val="20"/>
              </w:rPr>
            </w:pPr>
            <w:r>
              <w:rPr>
                <w:sz w:val="20"/>
              </w:rPr>
              <w:t>於發酵槽底部，一個無法自然通風的密閉</w:t>
            </w:r>
          </w:p>
          <w:p>
            <w:pPr>
              <w:pStyle w:val="TableParagraph"/>
              <w:spacing w:line="335" w:lineRule="exact"/>
              <w:ind w:left="107"/>
              <w:rPr>
                <w:sz w:val="20"/>
              </w:rPr>
            </w:pPr>
            <w:r>
              <w:rPr>
                <w:sz w:val="20"/>
              </w:rPr>
              <w:t>空間。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right="223"/>
              <w:rPr>
                <w:sz w:val="20"/>
              </w:rPr>
            </w:pPr>
            <w:r>
              <w:rPr>
                <w:sz w:val="20"/>
              </w:rPr>
              <w:t>於開放空間或已強制通風的空間作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1922" w:type="dxa"/>
          </w:tcPr>
          <w:p>
            <w:pPr>
              <w:pStyle w:val="TableParagraph"/>
              <w:spacing w:line="225" w:lineRule="auto"/>
              <w:ind w:right="202"/>
              <w:rPr>
                <w:sz w:val="20"/>
              </w:rPr>
            </w:pPr>
            <w:r>
              <w:rPr>
                <w:sz w:val="20"/>
              </w:rPr>
              <w:t>危害地點為「局限空間」，危害無法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逸散。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使危害氣體濃度累積至致命程度。</w:t>
            </w:r>
          </w:p>
        </w:tc>
      </w:tr>
      <w:tr>
        <w:trPr>
          <w:trHeight w:val="1383" w:hRule="atLeast"/>
        </w:trPr>
        <w:tc>
          <w:tcPr>
            <w:tcW w:w="1026" w:type="dxa"/>
          </w:tcPr>
          <w:p>
            <w:pPr>
              <w:pStyle w:val="TableParagraph"/>
              <w:spacing w:line="332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WHO (</w:t>
            </w:r>
            <w:r>
              <w:rPr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人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77"/>
              <w:rPr>
                <w:sz w:val="20"/>
              </w:rPr>
            </w:pPr>
            <w:r>
              <w:rPr>
                <w:sz w:val="20"/>
              </w:rPr>
              <w:t>缺乏局限空間危害認知及訓練的勞工</w:t>
            </w:r>
          </w:p>
          <w:p>
            <w:pPr>
              <w:pStyle w:val="TableParagraph"/>
              <w:spacing w:line="353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甲、丙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left="105" w:right="223"/>
              <w:jc w:val="both"/>
              <w:rPr>
                <w:sz w:val="20"/>
              </w:rPr>
            </w:pPr>
            <w:r>
              <w:rPr>
                <w:sz w:val="20"/>
              </w:rPr>
              <w:t>接受過完整訓練， 了解危害並能正確應變的合格作業人</w:t>
            </w:r>
          </w:p>
          <w:p>
            <w:pPr>
              <w:pStyle w:val="TableParagraph"/>
              <w:spacing w:line="33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員。</w:t>
            </w:r>
          </w:p>
        </w:tc>
        <w:tc>
          <w:tcPr>
            <w:tcW w:w="1922" w:type="dxa"/>
          </w:tcPr>
          <w:p>
            <w:pPr>
              <w:pStyle w:val="TableParagraph"/>
              <w:spacing w:line="225" w:lineRule="auto"/>
              <w:ind w:right="202"/>
              <w:jc w:val="both"/>
              <w:rPr>
                <w:sz w:val="20"/>
              </w:rPr>
            </w:pPr>
            <w:r>
              <w:rPr>
                <w:sz w:val="20"/>
              </w:rPr>
              <w:t>作業人員的「危害認知與技能」由具備變為不足。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勞工未能採取任何有效的自我保護及安全的救援措施。</w:t>
            </w:r>
          </w:p>
        </w:tc>
      </w:tr>
      <w:tr>
        <w:trPr>
          <w:trHeight w:val="1383" w:hRule="atLeast"/>
        </w:trPr>
        <w:tc>
          <w:tcPr>
            <w:tcW w:w="1026" w:type="dxa"/>
          </w:tcPr>
          <w:p>
            <w:pPr>
              <w:pStyle w:val="TableParagraph"/>
              <w:spacing w:line="333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HOW 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何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77"/>
              <w:jc w:val="both"/>
              <w:rPr>
                <w:sz w:val="20"/>
              </w:rPr>
            </w:pPr>
            <w:r>
              <w:rPr>
                <w:sz w:val="20"/>
              </w:rPr>
              <w:t>未經許可、未通風、未測定、使用錯誤防護具、採非理性救</w:t>
            </w:r>
          </w:p>
          <w:p>
            <w:pPr>
              <w:pStyle w:val="TableParagraph"/>
              <w:spacing w:line="335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援。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right="153"/>
              <w:jc w:val="both"/>
              <w:rPr>
                <w:sz w:val="20"/>
              </w:rPr>
            </w:pPr>
            <w:r>
              <w:rPr>
                <w:sz w:val="20"/>
              </w:rPr>
              <w:t>遵循完整的作業許可程序，按 </w:t>
            </w:r>
            <w:r>
              <w:rPr>
                <w:rFonts w:ascii="Segoe UI" w:eastAsia="Segoe UI"/>
                <w:sz w:val="20"/>
              </w:rPr>
              <w:t>SOP </w:t>
            </w:r>
            <w:r>
              <w:rPr>
                <w:spacing w:val="-16"/>
                <w:sz w:val="20"/>
              </w:rPr>
              <w:t>執</w:t>
            </w:r>
            <w:r>
              <w:rPr>
                <w:sz w:val="20"/>
              </w:rPr>
              <w:t>行。</w:t>
            </w:r>
          </w:p>
        </w:tc>
        <w:tc>
          <w:tcPr>
            <w:tcW w:w="1922" w:type="dxa"/>
          </w:tcPr>
          <w:p>
            <w:pPr>
              <w:pStyle w:val="TableParagraph"/>
              <w:spacing w:line="225" w:lineRule="auto"/>
              <w:ind w:left="107" w:right="201"/>
              <w:jc w:val="both"/>
              <w:rPr>
                <w:sz w:val="20"/>
              </w:rPr>
            </w:pPr>
            <w:r>
              <w:rPr>
                <w:sz w:val="20"/>
              </w:rPr>
              <w:t>「作業程序」發生致命性偏差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完全缺失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將人員直接、無防護地推向了致命的危害。</w:t>
            </w:r>
          </w:p>
        </w:tc>
      </w:tr>
      <w:tr>
        <w:trPr>
          <w:trHeight w:val="1384" w:hRule="atLeast"/>
        </w:trPr>
        <w:tc>
          <w:tcPr>
            <w:tcW w:w="1026" w:type="dxa"/>
          </w:tcPr>
          <w:p>
            <w:pPr>
              <w:pStyle w:val="TableParagraph"/>
              <w:spacing w:line="247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OTHER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其他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/>
              <w:ind w:left="107" w:right="177"/>
              <w:rPr>
                <w:sz w:val="20"/>
              </w:rPr>
            </w:pPr>
            <w:r>
              <w:rPr>
                <w:sz w:val="20"/>
              </w:rPr>
              <w:t>無局限空間風險管理計畫。</w:t>
            </w:r>
          </w:p>
        </w:tc>
        <w:tc>
          <w:tcPr>
            <w:tcW w:w="1942" w:type="dxa"/>
          </w:tcPr>
          <w:p>
            <w:pPr>
              <w:pStyle w:val="TableParagraph"/>
              <w:spacing w:line="225" w:lineRule="auto"/>
              <w:ind w:right="223"/>
              <w:jc w:val="both"/>
              <w:rPr>
                <w:sz w:val="20"/>
              </w:rPr>
            </w:pPr>
            <w:r>
              <w:rPr>
                <w:sz w:val="20"/>
              </w:rPr>
              <w:t>有完整的局限空間風險評估與管理程序。</w:t>
            </w:r>
          </w:p>
        </w:tc>
        <w:tc>
          <w:tcPr>
            <w:tcW w:w="1922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安全管理措施由</w:t>
            </w:r>
          </w:p>
          <w:p>
            <w:pPr>
              <w:pStyle w:val="TableParagraph"/>
              <w:spacing w:line="225" w:lineRule="auto" w:before="5"/>
              <w:ind w:right="202"/>
              <w:rPr>
                <w:sz w:val="20"/>
              </w:rPr>
            </w:pPr>
            <w:r>
              <w:rPr>
                <w:sz w:val="20"/>
              </w:rPr>
              <w:t>「存在且有效」變為「完全缺失」。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這是所有不安全行為與狀況得以發生的根本原因，是管理系統的失</w:t>
            </w:r>
          </w:p>
          <w:p>
            <w:pPr>
              <w:pStyle w:val="TableParagraph"/>
              <w:spacing w:line="33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效。</w:t>
            </w:r>
          </w:p>
        </w:tc>
      </w:tr>
    </w:tbl>
    <w:p>
      <w:pPr>
        <w:pStyle w:val="BodyText"/>
        <w:spacing w:before="15"/>
        <w:ind w:left="0" w:firstLine="0"/>
        <w:rPr>
          <w:sz w:val="5"/>
        </w:rPr>
      </w:pPr>
      <w:r>
        <w:rPr/>
        <w:pict>
          <v:group style="position:absolute;margin-left:70.900002pt;margin-top:7.337815pt;width:460.7pt;height:1.55pt;mso-position-horizontal-relative:page;mso-position-vertical-relative:paragraph;z-index:-832;mso-wrap-distance-left:0;mso-wrap-distance-right:0" coordorigin="1418,147" coordsize="9214,31">
            <v:line style="position:absolute" from="1418,162" to="10632,162" stroked="true" strokeweight="1.5pt" strokecolor="#9f9f9f">
              <v:stroke dashstyle="solid"/>
            </v:line>
            <v:rect style="position:absolute;left:1418;top:146;width:5;height:5" filled="true" fillcolor="#9f9f9f" stroked="false">
              <v:fill type="solid"/>
            </v:rect>
            <v:rect style="position:absolute;left:1418;top:146;width:5;height:5" filled="true" fillcolor="#9f9f9f" stroked="false">
              <v:fill type="solid"/>
            </v:rect>
            <v:line style="position:absolute" from="1423,149" to="10627,149" stroked="true" strokeweight=".24pt" strokecolor="#9f9f9f">
              <v:stroke dashstyle="solid"/>
            </v:line>
            <v:rect style="position:absolute;left:10627;top:146;width:5;height:5" filled="true" fillcolor="#e2e2e2" stroked="false">
              <v:fill type="solid"/>
            </v:rect>
            <v:rect style="position:absolute;left:10627;top:146;width:5;height:5" filled="true" fillcolor="#9f9f9f" stroked="false">
              <v:fill type="solid"/>
            </v:rect>
            <v:rect style="position:absolute;left:1418;top:151;width:5;height:21" filled="true" fillcolor="#9f9f9f" stroked="false">
              <v:fill type="solid"/>
            </v:rect>
            <v:rect style="position:absolute;left:10627;top:151;width:5;height:21" filled="true" fillcolor="#e2e2e2" stroked="false">
              <v:fill type="solid"/>
            </v:rect>
            <v:rect style="position:absolute;left:1418;top:171;width:5;height:5" filled="true" fillcolor="#9f9f9f" stroked="false">
              <v:fill type="solid"/>
            </v:rect>
            <v:rect style="position:absolute;left:1418;top:171;width:5;height:5" filled="true" fillcolor="#e2e2e2" stroked="false">
              <v:fill type="solid"/>
            </v:rect>
            <v:line style="position:absolute" from="1423,174" to="10627,174" stroked="true" strokeweight=".24pt" strokecolor="#e2e2e2">
              <v:stroke dashstyle="solid"/>
            </v:line>
            <v:rect style="position:absolute;left:10627;top:171;width:5;height:5" filled="true" fillcolor="#e2e2e2" stroked="false">
              <v:fill type="solid"/>
            </v:rect>
            <v:rect style="position:absolute;left:10627;top:171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5"/>
        </w:rPr>
        <w:sectPr>
          <w:pgSz w:w="11910" w:h="16840"/>
          <w:pgMar w:top="1420" w:bottom="280" w:left="1300" w:right="1160"/>
        </w:sectPr>
      </w:pPr>
    </w:p>
    <w:p>
      <w:pPr>
        <w:pStyle w:val="Heading1"/>
        <w:spacing w:before="4"/>
      </w:pPr>
      <w:bookmarkStart w:name="六.  人為失誤分析" w:id="6"/>
      <w:bookmarkEnd w:id="6"/>
      <w:r>
        <w:rPr>
          <w:b w:val="0"/>
        </w:rPr>
      </w:r>
      <w:r>
        <w:rPr/>
        <w:t>六</w:t>
      </w:r>
      <w:r>
        <w:rPr>
          <w:rFonts w:ascii="Cambria" w:eastAsia="Cambria"/>
        </w:rPr>
        <w:t>. </w:t>
      </w:r>
      <w:r>
        <w:rPr/>
        <w:t>人為失誤分析</w:t>
      </w:r>
    </w:p>
    <w:p>
      <w:pPr>
        <w:pStyle w:val="BodyText"/>
        <w:spacing w:line="426" w:lineRule="exact"/>
        <w:ind w:left="478" w:firstLine="0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619"/>
        <w:gridCol w:w="5551"/>
      </w:tblGrid>
      <w:tr>
        <w:trPr>
          <w:trHeight w:val="346" w:hRule="atLeast"/>
        </w:trPr>
        <w:tc>
          <w:tcPr>
            <w:tcW w:w="1033" w:type="dxa"/>
          </w:tcPr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2619" w:type="dxa"/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5551" w:type="dxa"/>
          </w:tcPr>
          <w:p>
            <w:pPr>
              <w:pStyle w:val="TableParagraph"/>
              <w:spacing w:line="326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8" w:hRule="atLeast"/>
        </w:trPr>
        <w:tc>
          <w:tcPr>
            <w:tcW w:w="1033" w:type="dxa"/>
          </w:tcPr>
          <w:p>
            <w:pPr>
              <w:pStyle w:val="TableParagraph"/>
              <w:spacing w:line="225" w:lineRule="auto"/>
              <w:ind w:left="107" w:right="111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2619" w:type="dxa"/>
          </w:tcPr>
          <w:p>
            <w:pPr>
              <w:pStyle w:val="TableParagraph"/>
              <w:spacing w:line="225" w:lineRule="auto"/>
              <w:ind w:left="108" w:right="97"/>
              <w:rPr>
                <w:sz w:val="20"/>
              </w:rPr>
            </w:pPr>
            <w:r>
              <w:rPr>
                <w:b/>
                <w:spacing w:val="12"/>
                <w:sz w:val="20"/>
              </w:rPr>
              <w:t>甲員： </w:t>
            </w:r>
            <w:r>
              <w:rPr>
                <w:sz w:val="20"/>
              </w:rPr>
              <w:t>不了解長時間密閉</w:t>
            </w:r>
            <w:r>
              <w:rPr>
                <w:spacing w:val="-2"/>
                <w:sz w:val="20"/>
              </w:rPr>
              <w:t>發酵槽的危害，因而選擇了</w:t>
            </w:r>
            <w:r>
              <w:rPr>
                <w:sz w:val="20"/>
              </w:rPr>
              <w:t>完全無效的半罩式防毒面 具。</w:t>
            </w:r>
          </w:p>
        </w:tc>
        <w:tc>
          <w:tcPr>
            <w:tcW w:w="5551" w:type="dxa"/>
          </w:tcPr>
          <w:p>
            <w:pPr>
              <w:pStyle w:val="TableParagraph"/>
              <w:spacing w:line="33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訓練與文化：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25" w:lineRule="auto" w:before="4" w:after="0"/>
              <w:ind w:left="107" w:right="250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危害告知與安全教育訓練嚴重不足，未使勞工具備局限空間危害辨識能力。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342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安全文化薄弱，可能將此類清理視為例行公事，忽略了潛</w:t>
            </w:r>
          </w:p>
          <w:p>
            <w:pPr>
              <w:pStyle w:val="TableParagraph"/>
              <w:spacing w:line="339" w:lineRule="exact"/>
              <w:ind w:left="107"/>
              <w:rPr>
                <w:sz w:val="20"/>
              </w:rPr>
            </w:pPr>
            <w:r>
              <w:rPr>
                <w:sz w:val="20"/>
              </w:rPr>
              <w:t>在風險。</w:t>
            </w:r>
          </w:p>
        </w:tc>
      </w:tr>
      <w:tr>
        <w:trPr>
          <w:trHeight w:val="1384" w:hRule="atLeast"/>
        </w:trPr>
        <w:tc>
          <w:tcPr>
            <w:tcW w:w="1033" w:type="dxa"/>
          </w:tcPr>
          <w:p>
            <w:pPr>
              <w:pStyle w:val="TableParagraph"/>
              <w:spacing w:line="225" w:lineRule="auto"/>
              <w:ind w:left="107" w:right="111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2619" w:type="dxa"/>
          </w:tcPr>
          <w:p>
            <w:pPr>
              <w:pStyle w:val="TableParagraph"/>
              <w:spacing w:line="225" w:lineRule="auto"/>
              <w:ind w:left="108" w:right="97"/>
              <w:rPr>
                <w:sz w:val="20"/>
              </w:rPr>
            </w:pPr>
            <w:r>
              <w:rPr>
                <w:b/>
                <w:sz w:val="20"/>
              </w:rPr>
              <w:t>丙員： </w:t>
            </w:r>
            <w:r>
              <w:rPr>
                <w:sz w:val="20"/>
              </w:rPr>
              <w:t>不理解缺氧環境的立即致命性，認為用毛巾摀住口鼻即可進入救援。</w:t>
            </w:r>
          </w:p>
        </w:tc>
        <w:tc>
          <w:tcPr>
            <w:tcW w:w="5551" w:type="dxa"/>
          </w:tcPr>
          <w:p>
            <w:pPr>
              <w:pStyle w:val="TableParagraph"/>
              <w:spacing w:line="33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安全管理制度：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0" w:val="left" w:leader="none"/>
              </w:tabs>
              <w:spacing w:line="225" w:lineRule="auto" w:before="4" w:after="0"/>
              <w:ind w:left="107" w:right="450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未建立緊急應變計畫，導致勞工在危急時只能憑本能行動。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0" w:val="left" w:leader="none"/>
              </w:tabs>
              <w:spacing w:line="335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缺乏關於「禁止貿然救援」的強制性規定與宣導。</w:t>
            </w:r>
          </w:p>
        </w:tc>
      </w:tr>
      <w:tr>
        <w:trPr>
          <w:trHeight w:val="1728" w:hRule="atLeast"/>
        </w:trPr>
        <w:tc>
          <w:tcPr>
            <w:tcW w:w="1033" w:type="dxa"/>
          </w:tcPr>
          <w:p>
            <w:pPr>
              <w:pStyle w:val="TableParagraph"/>
              <w:spacing w:line="225" w:lineRule="auto"/>
              <w:ind w:left="107" w:right="111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2619" w:type="dxa"/>
          </w:tcPr>
          <w:p>
            <w:pPr>
              <w:pStyle w:val="TableParagraph"/>
              <w:spacing w:line="225" w:lineRule="auto"/>
              <w:ind w:left="108" w:right="124"/>
              <w:rPr>
                <w:sz w:val="20"/>
              </w:rPr>
            </w:pPr>
            <w:r>
              <w:rPr>
                <w:b/>
                <w:sz w:val="20"/>
              </w:rPr>
              <w:t>甲、乙、丙及現場主管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  <w:r>
              <w:rPr>
                <w:b/>
                <w:sz w:val="20"/>
              </w:rPr>
              <w:t>： </w:t>
            </w:r>
            <w:r>
              <w:rPr>
                <w:sz w:val="20"/>
              </w:rPr>
              <w:t>整個作業團隊遵循了錯誤的規則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或根本沒有規則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，直接進入高風險區域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作業。</w:t>
            </w:r>
          </w:p>
        </w:tc>
        <w:tc>
          <w:tcPr>
            <w:tcW w:w="5551" w:type="dxa"/>
          </w:tcPr>
          <w:p>
            <w:pPr>
              <w:pStyle w:val="TableParagraph"/>
              <w:spacing w:line="33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監督與資源：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0" w:val="left" w:leader="none"/>
              </w:tabs>
              <w:spacing w:line="225" w:lineRule="auto" w:before="5" w:after="0"/>
              <w:ind w:left="107" w:right="188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管理階層未提供必要的安全設備</w:t>
            </w:r>
            <w:r>
              <w:rPr>
                <w:rFonts w:ascii="Segoe UI" w:hAnsi="Segoe UI" w:eastAsia="Segoe UI"/>
                <w:sz w:val="20"/>
              </w:rPr>
              <w:t>(</w:t>
            </w:r>
            <w:r>
              <w:rPr>
                <w:sz w:val="20"/>
              </w:rPr>
              <w:t>偵測器、通風扇、供氣式呼吸具</w:t>
            </w:r>
            <w:r>
              <w:rPr>
                <w:rFonts w:ascii="Segoe UI" w:hAns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0" w:val="left" w:leader="none"/>
              </w:tabs>
              <w:spacing w:line="353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現場監督者</w:t>
            </w:r>
            <w:r>
              <w:rPr>
                <w:rFonts w:ascii="Segoe UI" w:hAnsi="Segoe UI" w:eastAsia="Segoe UI"/>
                <w:sz w:val="20"/>
              </w:rPr>
              <w:t>(</w:t>
            </w:r>
            <w:r>
              <w:rPr>
                <w:sz w:val="20"/>
              </w:rPr>
              <w:t>乙員或主管</w:t>
            </w:r>
            <w:r>
              <w:rPr>
                <w:rFonts w:ascii="Segoe UI" w:hAnsi="Segoe UI" w:eastAsia="Segoe UI"/>
                <w:sz w:val="20"/>
              </w:rPr>
              <w:t>)</w:t>
            </w:r>
            <w:r>
              <w:rPr>
                <w:sz w:val="20"/>
              </w:rPr>
              <w:t>未能制止不安全的作業程序。</w:t>
            </w:r>
          </w:p>
        </w:tc>
      </w:tr>
    </w:tbl>
    <w:p>
      <w:pPr>
        <w:pStyle w:val="BodyText"/>
        <w:spacing w:before="15"/>
        <w:ind w:left="0" w:firstLine="0"/>
        <w:rPr>
          <w:sz w:val="5"/>
        </w:rPr>
      </w:pPr>
      <w:r>
        <w:rPr/>
        <w:pict>
          <v:group style="position:absolute;margin-left:70.900002pt;margin-top:7.332283pt;width:460.7pt;height:1.5pt;mso-position-horizontal-relative:page;mso-position-vertical-relative:paragraph;z-index:-808;mso-wrap-distance-left:0;mso-wrap-distance-right:0" coordorigin="1418,147" coordsize="9214,30">
            <v:line style="position:absolute" from="1418,162" to="10632,162" stroked="true" strokeweight="1.5pt" strokecolor="#9f9f9f">
              <v:stroke dashstyle="solid"/>
            </v:line>
            <v:rect style="position:absolute;left:1418;top:146;width:5;height:5" filled="true" fillcolor="#9f9f9f" stroked="false">
              <v:fill type="solid"/>
            </v:rect>
            <v:rect style="position:absolute;left:1418;top:146;width:5;height:5" filled="true" fillcolor="#9f9f9f" stroked="false">
              <v:fill type="solid"/>
            </v:rect>
            <v:line style="position:absolute" from="1423,149" to="10627,149" stroked="true" strokeweight=".24pt" strokecolor="#9f9f9f">
              <v:stroke dashstyle="solid"/>
            </v:line>
            <v:rect style="position:absolute;left:10627;top:146;width:5;height:5" filled="true" fillcolor="#e2e2e2" stroked="false">
              <v:fill type="solid"/>
            </v:rect>
            <v:rect style="position:absolute;left:10627;top:146;width:5;height:5" filled="true" fillcolor="#9f9f9f" stroked="false">
              <v:fill type="solid"/>
            </v:rect>
            <v:rect style="position:absolute;left:1418;top:151;width:5;height:21" filled="true" fillcolor="#9f9f9f" stroked="false">
              <v:fill type="solid"/>
            </v:rect>
            <v:rect style="position:absolute;left:10627;top:151;width:5;height:21" filled="true" fillcolor="#e2e2e2" stroked="false">
              <v:fill type="solid"/>
            </v:rect>
            <v:rect style="position:absolute;left:1418;top:171;width:5;height:5" filled="true" fillcolor="#9f9f9f" stroked="false">
              <v:fill type="solid"/>
            </v:rect>
            <v:rect style="position:absolute;left:1418;top:171;width:5;height:5" filled="true" fillcolor="#e2e2e2" stroked="false">
              <v:fill type="solid"/>
            </v:rect>
            <v:line style="position:absolute" from="1423,174" to="10627,174" stroked="true" strokeweight=".24pt" strokecolor="#e2e2e2">
              <v:stroke dashstyle="solid"/>
            </v:line>
            <v:rect style="position:absolute;left:10627;top:171;width:5;height:5" filled="true" fillcolor="#e2e2e2" stroked="false">
              <v:fill type="solid"/>
            </v:rect>
            <v:rect style="position:absolute;left:10627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line="574" w:lineRule="exact" w:before="183"/>
      </w:pPr>
      <w:bookmarkStart w:name="七.  根本原因分析與改善措施" w:id="7"/>
      <w:bookmarkEnd w:id="7"/>
      <w:r>
        <w:rPr>
          <w:b w:val="0"/>
        </w:rPr>
      </w:r>
      <w:r>
        <w:rPr/>
        <w:t>七</w:t>
      </w:r>
      <w:r>
        <w:rPr>
          <w:rFonts w:ascii="Cambria" w:eastAsia="Cambria"/>
        </w:rPr>
        <w:t>. </w:t>
      </w:r>
      <w:r>
        <w:rPr/>
        <w:t>根本原因分析與改善措施</w:t>
      </w:r>
    </w:p>
    <w:p>
      <w:pPr>
        <w:pStyle w:val="BodyText"/>
        <w:spacing w:line="413" w:lineRule="exact"/>
        <w:ind w:left="478" w:firstLine="0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7"/>
          <w:sz w:val="24"/>
        </w:rPr>
        <w:t>不安全的狀況： </w:t>
      </w:r>
      <w:r>
        <w:rPr>
          <w:sz w:val="24"/>
        </w:rPr>
        <w:t>發酵槽內部處於氧氣濃度不足</w:t>
      </w:r>
      <w:r>
        <w:rPr>
          <w:rFonts w:ascii="Calibri" w:hAnsi="Calibri" w:eastAsia="Calibri"/>
          <w:sz w:val="24"/>
        </w:rPr>
        <w:t>(&lt;18%)</w:t>
      </w:r>
      <w:r>
        <w:rPr>
          <w:sz w:val="24"/>
        </w:rPr>
        <w:t>且含有一氧化碳的狀態。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不安全的行為：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25" w:lineRule="auto" w:before="6" w:after="0"/>
        <w:ind w:left="1558" w:right="207" w:hanging="360"/>
        <w:jc w:val="both"/>
        <w:rPr>
          <w:sz w:val="24"/>
        </w:rPr>
      </w:pPr>
      <w:r>
        <w:rPr>
          <w:spacing w:val="-1"/>
          <w:sz w:val="24"/>
        </w:rPr>
        <w:t>勞工甲員未實施通風、測定，並使用錯誤的呼吸防護具即進入局限空間作</w:t>
      </w:r>
      <w:r>
        <w:rPr>
          <w:sz w:val="24"/>
        </w:rPr>
        <w:t>業。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410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勞工丙員在無任何有效防護下，貿然進入局限空間實施救援。</w:t>
      </w:r>
    </w:p>
    <w:p>
      <w:pPr>
        <w:pStyle w:val="BodyText"/>
        <w:spacing w:line="415" w:lineRule="exact"/>
        <w:ind w:left="478" w:firstLine="0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根本原因分析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安全管理制度的系統性崩壞：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6" w:after="0"/>
        <w:ind w:left="1558" w:right="292" w:hanging="360"/>
        <w:jc w:val="both"/>
        <w:rPr>
          <w:sz w:val="24"/>
        </w:rPr>
      </w:pPr>
      <w:r>
        <w:rPr>
          <w:b/>
          <w:sz w:val="24"/>
        </w:rPr>
        <w:t>未建立局限空間作業管理程序： </w:t>
      </w:r>
      <w:r>
        <w:rPr>
          <w:sz w:val="24"/>
        </w:rPr>
        <w:t>此為最核心的根本原因。公司完全沒有建立或落實包含作業許可、危害辨識、風險評估、作業前測定、</w:t>
      </w:r>
      <w:r>
        <w:rPr>
          <w:rFonts w:ascii="Calibri" w:hAnsi="Calibri" w:eastAsia="Calibri"/>
          <w:sz w:val="24"/>
        </w:rPr>
        <w:t>SOP</w:t>
      </w:r>
      <w:r>
        <w:rPr>
          <w:spacing w:val="-8"/>
          <w:sz w:val="24"/>
        </w:rPr>
        <w:t>、承</w:t>
      </w:r>
      <w:r>
        <w:rPr>
          <w:sz w:val="24"/>
        </w:rPr>
        <w:t>攬管理及應變計畫的局限空間安全衛生管理系統。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409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教育訓練與危害告知的完全缺失：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6" w:after="0"/>
        <w:ind w:left="1558" w:right="207" w:hanging="360"/>
        <w:jc w:val="both"/>
        <w:rPr>
          <w:sz w:val="24"/>
        </w:rPr>
      </w:pPr>
      <w:r>
        <w:rPr>
          <w:sz w:val="24"/>
        </w:rPr>
        <w:t>從管理階層到現場勞工，對於局限空間（特別是長時間封閉的發酵槽）</w:t>
      </w:r>
      <w:r>
        <w:rPr>
          <w:spacing w:val="-18"/>
          <w:sz w:val="24"/>
        </w:rPr>
        <w:t>的</w:t>
      </w:r>
      <w:r>
        <w:rPr>
          <w:spacing w:val="-1"/>
          <w:sz w:val="24"/>
        </w:rPr>
        <w:t>缺氧及中毒危害普遍缺乏認知，導致從作業規劃到現場執行、緊急應變的</w:t>
      </w:r>
      <w:r>
        <w:rPr>
          <w:sz w:val="24"/>
        </w:rPr>
        <w:t>每一個環節都充滿錯誤。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423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工程控制與安全設備的缺乏：</w:t>
      </w:r>
    </w:p>
    <w:p>
      <w:pPr>
        <w:spacing w:after="0" w:line="423" w:lineRule="exact"/>
        <w:jc w:val="left"/>
        <w:rPr>
          <w:sz w:val="24"/>
        </w:rPr>
        <w:sectPr>
          <w:pgSz w:w="11910" w:h="16840"/>
          <w:pgMar w:top="1400" w:bottom="280" w:left="1300" w:right="1160"/>
        </w:sectPr>
      </w:pPr>
    </w:p>
    <w:p>
      <w:pPr>
        <w:pStyle w:val="ListParagraph"/>
        <w:numPr>
          <w:ilvl w:val="1"/>
          <w:numId w:val="5"/>
        </w:numPr>
        <w:tabs>
          <w:tab w:pos="1558" w:val="left" w:leader="none"/>
          <w:tab w:pos="1559" w:val="left" w:leader="none"/>
        </w:tabs>
        <w:spacing w:line="225" w:lineRule="auto" w:before="47" w:after="0"/>
        <w:ind w:left="1558" w:right="327" w:hanging="360"/>
        <w:jc w:val="left"/>
        <w:rPr>
          <w:sz w:val="24"/>
        </w:rPr>
      </w:pPr>
      <w:r>
        <w:rPr>
          <w:b/>
          <w:sz w:val="24"/>
        </w:rPr>
        <w:t>未提供必要安全設備： </w:t>
      </w:r>
      <w:r>
        <w:rPr>
          <w:spacing w:val="-1"/>
          <w:sz w:val="24"/>
        </w:rPr>
        <w:t>未提供作業所需的強制通風設備、氣體偵測器、</w:t>
      </w:r>
      <w:r>
        <w:rPr>
          <w:sz w:val="24"/>
        </w:rPr>
        <w:t>供氣式呼吸防護具、救援設備等，使勞工即使想安全作業也無計可施。</w:t>
      </w:r>
    </w:p>
    <w:p>
      <w:pPr>
        <w:pStyle w:val="BodyText"/>
        <w:spacing w:line="410" w:lineRule="exact"/>
        <w:ind w:left="478" w:firstLine="0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  <w:spacing w:val="3"/>
        </w:rPr>
        <w:t>) 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制度層面：</w:t>
      </w:r>
    </w:p>
    <w:p>
      <w:pPr>
        <w:pStyle w:val="ListParagraph"/>
        <w:numPr>
          <w:ilvl w:val="0"/>
          <w:numId w:val="6"/>
        </w:numPr>
        <w:tabs>
          <w:tab w:pos="1559" w:val="left" w:leader="none"/>
        </w:tabs>
        <w:spacing w:line="225" w:lineRule="auto" w:before="6" w:after="0"/>
        <w:ind w:left="1558" w:right="207" w:hanging="360"/>
        <w:jc w:val="left"/>
        <w:rPr>
          <w:sz w:val="24"/>
        </w:rPr>
      </w:pPr>
      <w:r>
        <w:rPr>
          <w:sz w:val="24"/>
        </w:rPr>
        <w:t>立即建立並嚴格執行「局限空間安全衛生管理計畫」： 應立即依據法規</w:t>
      </w:r>
      <w:r>
        <w:rPr>
          <w:spacing w:val="-1"/>
          <w:sz w:val="24"/>
        </w:rPr>
        <w:t>要求，建立完整的管理制度。任何局限空間作業，非經許可，不得進行。</w:t>
      </w:r>
      <w:r>
        <w:rPr>
          <w:sz w:val="24"/>
        </w:rPr>
        <w:t>計畫應至少包含：</w:t>
      </w:r>
    </w:p>
    <w:p>
      <w:pPr>
        <w:pStyle w:val="ListParagraph"/>
        <w:numPr>
          <w:ilvl w:val="1"/>
          <w:numId w:val="6"/>
        </w:numPr>
        <w:tabs>
          <w:tab w:pos="2278" w:val="left" w:leader="none"/>
          <w:tab w:pos="2279" w:val="left" w:leader="none"/>
        </w:tabs>
        <w:spacing w:line="410" w:lineRule="exact" w:before="0" w:after="0"/>
        <w:ind w:left="2278" w:right="0" w:hanging="360"/>
        <w:jc w:val="left"/>
        <w:rPr>
          <w:sz w:val="24"/>
        </w:rPr>
      </w:pPr>
      <w:r>
        <w:rPr>
          <w:sz w:val="24"/>
        </w:rPr>
        <w:t>局限空間之盤點與危害標示。</w:t>
      </w:r>
    </w:p>
    <w:p>
      <w:pPr>
        <w:pStyle w:val="ListParagraph"/>
        <w:numPr>
          <w:ilvl w:val="1"/>
          <w:numId w:val="6"/>
        </w:numPr>
        <w:tabs>
          <w:tab w:pos="2278" w:val="left" w:leader="none"/>
          <w:tab w:pos="2279" w:val="left" w:leader="none"/>
        </w:tabs>
        <w:spacing w:line="415" w:lineRule="exact" w:before="0" w:after="0"/>
        <w:ind w:left="2278" w:right="0" w:hanging="360"/>
        <w:jc w:val="left"/>
        <w:rPr>
          <w:sz w:val="24"/>
        </w:rPr>
      </w:pPr>
      <w:r>
        <w:rPr>
          <w:sz w:val="24"/>
        </w:rPr>
        <w:t>作業許可制度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包含氣體測定、通風換氣要求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。</w:t>
      </w:r>
    </w:p>
    <w:p>
      <w:pPr>
        <w:pStyle w:val="ListParagraph"/>
        <w:numPr>
          <w:ilvl w:val="1"/>
          <w:numId w:val="6"/>
        </w:numPr>
        <w:tabs>
          <w:tab w:pos="2278" w:val="left" w:leader="none"/>
          <w:tab w:pos="2279" w:val="left" w:leader="none"/>
        </w:tabs>
        <w:spacing w:line="415" w:lineRule="exact" w:before="0" w:after="0"/>
        <w:ind w:left="2278" w:right="0" w:hanging="360"/>
        <w:jc w:val="left"/>
        <w:rPr>
          <w:sz w:val="24"/>
        </w:rPr>
      </w:pPr>
      <w:r>
        <w:rPr>
          <w:sz w:val="24"/>
        </w:rPr>
        <w:t>標準作業程序</w:t>
      </w:r>
      <w:r>
        <w:rPr>
          <w:rFonts w:ascii="Calibri" w:hAnsi="Calibri" w:eastAsia="Calibri"/>
          <w:sz w:val="24"/>
        </w:rPr>
        <w:t>(SOP)</w:t>
      </w:r>
      <w:r>
        <w:rPr>
          <w:sz w:val="24"/>
        </w:rPr>
        <w:t>。</w:t>
      </w:r>
    </w:p>
    <w:p>
      <w:pPr>
        <w:pStyle w:val="ListParagraph"/>
        <w:numPr>
          <w:ilvl w:val="1"/>
          <w:numId w:val="6"/>
        </w:numPr>
        <w:tabs>
          <w:tab w:pos="2278" w:val="left" w:leader="none"/>
          <w:tab w:pos="2279" w:val="left" w:leader="none"/>
        </w:tabs>
        <w:spacing w:line="415" w:lineRule="exact" w:before="0" w:after="0"/>
        <w:ind w:left="2278" w:right="0" w:hanging="360"/>
        <w:jc w:val="left"/>
        <w:rPr>
          <w:sz w:val="24"/>
        </w:rPr>
      </w:pPr>
      <w:r>
        <w:rPr>
          <w:sz w:val="24"/>
        </w:rPr>
        <w:t>教育訓練計畫。</w:t>
      </w:r>
    </w:p>
    <w:p>
      <w:pPr>
        <w:pStyle w:val="ListParagraph"/>
        <w:numPr>
          <w:ilvl w:val="1"/>
          <w:numId w:val="6"/>
        </w:numPr>
        <w:tabs>
          <w:tab w:pos="2278" w:val="left" w:leader="none"/>
          <w:tab w:pos="2279" w:val="left" w:leader="none"/>
        </w:tabs>
        <w:spacing w:line="415" w:lineRule="exact" w:before="0" w:after="0"/>
        <w:ind w:left="2278" w:right="0" w:hanging="360"/>
        <w:jc w:val="left"/>
        <w:rPr>
          <w:sz w:val="24"/>
        </w:rPr>
      </w:pPr>
      <w:r>
        <w:rPr>
          <w:sz w:val="24"/>
        </w:rPr>
        <w:t>緊急應變與救援程序。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設備層面：</w:t>
      </w:r>
    </w:p>
    <w:p>
      <w:pPr>
        <w:pStyle w:val="BodyText"/>
        <w:spacing w:line="225" w:lineRule="auto" w:before="6"/>
        <w:ind w:left="1558" w:right="526"/>
        <w:jc w:val="both"/>
      </w:pPr>
      <w:r>
        <w:rPr>
          <w:rFonts w:ascii="Calibri" w:eastAsia="Calibri"/>
        </w:rPr>
        <w:t>1. </w:t>
      </w:r>
      <w:r>
        <w:rPr>
          <w:b/>
        </w:rPr>
        <w:t>採購並維護必要安全設備：  </w:t>
      </w:r>
      <w:r>
        <w:rPr/>
        <w:t>立即採購並定期維護校正四合一氣體偵測器、抽送風機等通風設備、符合標準之供氣式呼吸防護具</w:t>
      </w:r>
      <w:r>
        <w:rPr>
          <w:rFonts w:ascii="Calibri" w:eastAsia="Calibri"/>
        </w:rPr>
        <w:t>(SCBA </w:t>
      </w:r>
      <w:r>
        <w:rPr/>
        <w:t>或管線式</w:t>
      </w:r>
      <w:r>
        <w:rPr>
          <w:rFonts w:ascii="Calibri" w:eastAsia="Calibri"/>
        </w:rPr>
        <w:t>)</w:t>
      </w:r>
      <w:r>
        <w:rPr/>
        <w:t>、三腳架、救生索、通訊設備等救援器材。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09" w:lineRule="exact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人員層面：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6" w:after="0"/>
        <w:ind w:left="1558" w:right="327" w:hanging="360"/>
        <w:jc w:val="left"/>
        <w:rPr>
          <w:sz w:val="24"/>
        </w:rPr>
      </w:pPr>
      <w:r>
        <w:rPr>
          <w:b/>
          <w:sz w:val="24"/>
        </w:rPr>
        <w:t>實施全面性教育訓練： </w:t>
      </w:r>
      <w:r>
        <w:rPr>
          <w:spacing w:val="-1"/>
          <w:sz w:val="24"/>
        </w:rPr>
        <w:t>對所有可能接觸局限空間作業的管理人員、作業</w:t>
      </w:r>
      <w:r>
        <w:rPr>
          <w:sz w:val="24"/>
        </w:rPr>
        <w:t>人員、監視人員及救援人員，實施完整的專業訓練，確保其具備危害認知、</w:t>
      </w:r>
      <w:r>
        <w:rPr>
          <w:rFonts w:ascii="Calibri" w:eastAsia="Calibri"/>
          <w:sz w:val="24"/>
        </w:rPr>
        <w:t>SOP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操作、防護具使用及應變能力。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1" w:after="0"/>
        <w:ind w:left="1558" w:right="207" w:hanging="360"/>
        <w:jc w:val="left"/>
        <w:rPr>
          <w:sz w:val="24"/>
        </w:rPr>
      </w:pPr>
      <w:r>
        <w:rPr>
          <w:b/>
          <w:sz w:val="24"/>
        </w:rPr>
        <w:t>明確劃分權責並加強監督： </w:t>
      </w:r>
      <w:r>
        <w:rPr>
          <w:sz w:val="24"/>
        </w:rPr>
        <w:t>明確指定作業主管於現場指揮監督，並賦予</w:t>
      </w:r>
      <w:r>
        <w:rPr>
          <w:spacing w:val="-1"/>
          <w:sz w:val="24"/>
        </w:rPr>
        <w:t>其「立即停止不安全作業」的權力與責任。監視人員應專職監看，不得從</w:t>
      </w:r>
      <w:r>
        <w:rPr>
          <w:sz w:val="24"/>
        </w:rPr>
        <w:t>事其他工作。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1" w:after="0"/>
        <w:ind w:left="1558" w:right="327" w:hanging="360"/>
        <w:jc w:val="left"/>
        <w:rPr>
          <w:sz w:val="24"/>
        </w:rPr>
      </w:pPr>
      <w:r>
        <w:rPr>
          <w:b/>
          <w:sz w:val="24"/>
        </w:rPr>
        <w:t>建立指定救援小組： </w:t>
      </w:r>
      <w:r>
        <w:rPr>
          <w:spacing w:val="-1"/>
          <w:sz w:val="24"/>
        </w:rPr>
        <w:t>嚴格禁止非經訓練人員從事救援。應建立專責的救</w:t>
      </w:r>
      <w:r>
        <w:rPr>
          <w:sz w:val="24"/>
        </w:rPr>
        <w:t>援小組並定期演練，或與外部專業救援單位簽訂支援合約。</w:t>
      </w:r>
    </w:p>
    <w:sectPr>
      <w:pgSz w:w="11910" w:h="16840"/>
      <w:pgMar w:top="1380" w:bottom="280" w:left="13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9"/>
        <w:w w:val="100"/>
        <w:sz w:val="24"/>
        <w:szCs w:val="24"/>
      </w:rPr>
    </w:lvl>
    <w:lvl w:ilvl="1">
      <w:start w:val="0"/>
      <w:numFmt w:val="bullet"/>
      <w:lvlText w:val=""/>
      <w:lvlJc w:val="left"/>
      <w:pPr>
        <w:ind w:left="2278" w:hanging="360"/>
      </w:pPr>
      <w:rPr>
        <w:rFonts w:hint="default" w:ascii="Wingdings" w:hAnsi="Wingdings" w:eastAsia="Wingdings" w:cs="Wingdings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8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7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44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88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2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6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4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2" w:hanging="18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7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44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88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2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6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4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2" w:hanging="18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44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88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2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6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4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2" w:hanging="18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>
      <w:ind w:left="838" w:hanging="360"/>
    </w:pPr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9" w:line="573" w:lineRule="exact"/>
      <w:ind w:left="118"/>
      <w:outlineLvl w:val="1"/>
    </w:pPr>
    <w:rPr>
      <w:rFonts w:ascii="微軟正黑體" w:hAnsi="微軟正黑體" w:eastAsia="微軟正黑體" w:cs="微軟正黑體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6" w:line="428" w:lineRule="exact"/>
      <w:ind w:left="118"/>
      <w:outlineLvl w:val="2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8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2025-07-25T00:38:28Z</dcterms:created>
  <dcterms:modified xsi:type="dcterms:W3CDTF">2025-07-25T00:38:28Z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