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131" w:right="188"/>
        <w:jc w:val="center"/>
      </w:pPr>
      <w:r>
        <w:rPr/>
        <w:t>局限案例 </w:t>
      </w:r>
      <w:r>
        <w:rPr>
          <w:rFonts w:ascii="Calibri" w:eastAsia="Calibri"/>
        </w:rPr>
        <w:t>4_</w:t>
      </w:r>
      <w:r>
        <w:rPr/>
        <w:t>分析參考</w:t>
      </w:r>
    </w:p>
    <w:p>
      <w:pPr>
        <w:spacing w:before="267"/>
        <w:ind w:left="1226" w:right="0" w:firstLine="0"/>
        <w:jc w:val="left"/>
        <w:rPr>
          <w:b/>
          <w:sz w:val="24"/>
        </w:rPr>
      </w:pPr>
      <w:r>
        <w:rPr>
          <w:b/>
          <w:sz w:val="24"/>
        </w:rPr>
        <w:t>皮革製造業</w:t>
      </w:r>
      <w:r>
        <w:rPr>
          <w:rFonts w:ascii="Calibri" w:eastAsia="Calibri"/>
          <w:b/>
          <w:sz w:val="24"/>
        </w:rPr>
        <w:t>-</w:t>
      </w:r>
      <w:r>
        <w:rPr>
          <w:b/>
          <w:sz w:val="24"/>
        </w:rPr>
        <w:t>於廢水處理場調整池內發生硫化氫中毒災害調查分析報告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25" w:lineRule="auto" w:before="286" w:after="0"/>
        <w:ind w:left="835" w:right="112" w:hanging="360"/>
        <w:jc w:val="both"/>
        <w:rPr>
          <w:sz w:val="24"/>
        </w:rPr>
      </w:pPr>
      <w:r>
        <w:rPr>
          <w:b/>
          <w:spacing w:val="1"/>
          <w:sz w:val="24"/>
        </w:rPr>
        <w:t>重要提醒： </w:t>
      </w:r>
      <w:r>
        <w:rPr>
          <w:sz w:val="24"/>
        </w:rPr>
        <w:t>本分析報告是基於所提供案例的有限資訊，並結合事故調查的專業方法論進行。部分內容為根據邏輯與經驗所做的合理假設，並會明確標示為</w:t>
      </w:r>
      <w:r>
        <w:rPr>
          <w:rFonts w:ascii="Calibri" w:hAnsi="Calibri" w:eastAsia="Calibri"/>
          <w:sz w:val="24"/>
        </w:rPr>
        <w:t>**(</w:t>
      </w:r>
      <w:r>
        <w:rPr>
          <w:sz w:val="24"/>
        </w:rPr>
        <w:t>假設</w:t>
      </w:r>
      <w:r>
        <w:rPr>
          <w:rFonts w:ascii="Calibri" w:hAnsi="Calibri" w:eastAsia="Calibri"/>
          <w:sz w:val="24"/>
        </w:rPr>
        <w:t>)**</w:t>
      </w:r>
      <w:r>
        <w:rPr>
          <w:sz w:val="24"/>
        </w:rPr>
        <w:t>。</w:t>
      </w:r>
      <w:r>
        <w:rPr>
          <w:spacing w:val="-10"/>
          <w:sz w:val="24"/>
        </w:rPr>
        <w:t>一場實際、完整的事故調查，需要更詳盡的現場勘查、人員訪談與物證檢驗來支持所有結論。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275pt;width:474.85pt;height:1.55pt;mso-position-horizontal-relative:page;mso-position-vertical-relative:paragraph;z-index:-1024;mso-wrap-distance-left:0;mso-wrap-distance-right:0" coordorigin="1276,155" coordsize="9497,31">
            <v:line style="position:absolute" from="1276,170" to="10772,170" stroked="true" strokeweight="1.5pt" strokecolor="#9f9f9f">
              <v:stroke dashstyle="solid"/>
            </v:line>
            <v:rect style="position:absolute;left:1275;top:154;width:5;height:5" filled="true" fillcolor="#9f9f9f" stroked="false">
              <v:fill type="solid"/>
            </v:rect>
            <v:rect style="position:absolute;left:1275;top:154;width:5;height:5" filled="true" fillcolor="#9f9f9f" stroked="false">
              <v:fill type="solid"/>
            </v:rect>
            <v:line style="position:absolute" from="1280,157" to="10768,157" stroked="true" strokeweight=".24pt" strokecolor="#9f9f9f">
              <v:stroke dashstyle="solid"/>
            </v:line>
            <v:rect style="position:absolute;left:10767;top:154;width:5;height:5" filled="true" fillcolor="#e2e2e2" stroked="false">
              <v:fill type="solid"/>
            </v:rect>
            <v:rect style="position:absolute;left:10767;top:154;width:5;height:5" filled="true" fillcolor="#9f9f9f" stroked="false">
              <v:fill type="solid"/>
            </v:rect>
            <v:rect style="position:absolute;left:1275;top:159;width:5;height:21" filled="true" fillcolor="#9f9f9f" stroked="false">
              <v:fill type="solid"/>
            </v:rect>
            <v:rect style="position:absolute;left:10767;top:159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768,183" stroked="true" strokeweight=".24pt" strokecolor="#e2e2e2">
              <v:stroke dashstyle="solid"/>
            </v:line>
            <v:rect style="position:absolute;left:10767;top:180;width:5;height:5" filled="true" fillcolor="#e2e2e2" stroked="false">
              <v:fill type="solid"/>
            </v:rect>
            <v:rect style="position:absolute;left:1076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行業分類： </w:t>
      </w:r>
      <w:r>
        <w:rPr>
          <w:sz w:val="24"/>
        </w:rPr>
        <w:t>其他皮革、毛皮製品製造業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災害類型： </w:t>
      </w:r>
      <w:r>
        <w:rPr>
          <w:sz w:val="24"/>
        </w:rPr>
        <w:t>中毒、缺氧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硫化氫  </w:t>
      </w:r>
      <w:r>
        <w:rPr>
          <w:rFonts w:ascii="Calibri" w:hAnsi="Calibri" w:eastAsia="Calibri"/>
          <w:sz w:val="24"/>
        </w:rPr>
        <w:t>(H₂S)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99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月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廠內廢水處理場調整池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25" w:lineRule="auto" w:before="6" w:after="0"/>
        <w:ind w:left="835" w:right="173" w:hanging="360"/>
        <w:jc w:val="both"/>
        <w:rPr>
          <w:sz w:val="24"/>
        </w:rPr>
      </w:pPr>
      <w:r>
        <w:rPr>
          <w:b/>
          <w:spacing w:val="1"/>
          <w:sz w:val="24"/>
        </w:rPr>
        <w:t>事故摘要： </w:t>
      </w:r>
      <w:r>
        <w:rPr>
          <w:spacing w:val="-1"/>
          <w:sz w:val="24"/>
        </w:rPr>
        <w:t>承攬商勞工甲員於廢水調整池內完成鑽孔作業後，收拾工具時突然倒在</w:t>
      </w:r>
      <w:r>
        <w:rPr>
          <w:spacing w:val="-8"/>
          <w:sz w:val="24"/>
        </w:rPr>
        <w:t>池內。在池外監視之皮革公司勞工見狀呼救，公司內其他 </w:t>
      </w:r>
      <w:r>
        <w:rPr>
          <w:rFonts w:ascii="Calibri" w:hAnsi="Calibri" w:eastAsia="Calibri"/>
          <w:sz w:val="24"/>
        </w:rPr>
        <w:t>4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pacing w:val="-7"/>
          <w:sz w:val="24"/>
        </w:rPr>
        <w:t>名勞工趕至現場後，在未</w:t>
      </w:r>
      <w:r>
        <w:rPr>
          <w:spacing w:val="-10"/>
          <w:sz w:val="24"/>
        </w:rPr>
        <w:t>有適當防護下，先後進入池中試圖救援，結果也相繼中毒昏迷。最終包含第一位罹災</w:t>
      </w:r>
      <w:r>
        <w:rPr>
          <w:sz w:val="24"/>
        </w:rPr>
        <w:t>者及四名救援者，合計 </w:t>
      </w:r>
      <w:r>
        <w:rPr>
          <w:rFonts w:ascii="Calibri" w:hAnsi="Calibri" w:eastAsia="Calibri"/>
          <w:sz w:val="24"/>
        </w:rPr>
        <w:t>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人全部送醫後不治死亡。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67074pt;width:474.85pt;height:1.55pt;mso-position-horizontal-relative:page;mso-position-vertical-relative:paragraph;z-index:-1000;mso-wrap-distance-left:0;mso-wrap-distance-right:0" coordorigin="1276,155" coordsize="9497,31">
            <v:line style="position:absolute" from="1276,170" to="10772,170" stroked="true" strokeweight="1.5pt" strokecolor="#9f9f9f">
              <v:stroke dashstyle="solid"/>
            </v:line>
            <v:rect style="position:absolute;left:1275;top:155;width:5;height:5" filled="true" fillcolor="#9f9f9f" stroked="false">
              <v:fill type="solid"/>
            </v:rect>
            <v:rect style="position:absolute;left:1275;top:155;width:5;height:5" filled="true" fillcolor="#9f9f9f" stroked="false">
              <v:fill type="solid"/>
            </v:rect>
            <v:line style="position:absolute" from="1280,158" to="10768,158" stroked="true" strokeweight=".24pt" strokecolor="#9f9f9f">
              <v:stroke dashstyle="solid"/>
            </v:line>
            <v:rect style="position:absolute;left:10767;top:155;width:5;height:5" filled="true" fillcolor="#e2e2e2" stroked="false">
              <v:fill type="solid"/>
            </v:rect>
            <v:rect style="position:absolute;left:10767;top:155;width:5;height:5" filled="true" fillcolor="#9f9f9f" stroked="false">
              <v:fill type="solid"/>
            </v:rect>
            <v:rect style="position:absolute;left:1275;top:160;width:5;height:21" filled="true" fillcolor="#9f9f9f" stroked="false">
              <v:fill type="solid"/>
            </v:rect>
            <v:rect style="position:absolute;left:10767;top:160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768,183" stroked="true" strokeweight=".24pt" strokecolor="#e2e2e2">
              <v:stroke dashstyle="solid"/>
            </v:line>
            <v:rect style="position:absolute;left:10767;top:180;width:5;height:5" filled="true" fillcolor="#e2e2e2" stroked="false">
              <v:fill type="solid"/>
            </v:rect>
            <v:rect style="position:absolute;left:1076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6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475"/>
      </w:pPr>
      <w:r>
        <w:rPr/>
        <w:t>此圖將事故發生的事件及相關條件按時間順序呈現，以視覺化方式釐清因果關係。</w:t>
      </w:r>
    </w:p>
    <w:p>
      <w:pPr>
        <w:pStyle w:val="BodyText"/>
        <w:spacing w:before="1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842758</wp:posOffset>
            </wp:positionH>
            <wp:positionV relativeFrom="paragraph">
              <wp:posOffset>219318</wp:posOffset>
            </wp:positionV>
            <wp:extent cx="6029665" cy="1745551"/>
            <wp:effectExtent l="0" t="0" r="0" b="0"/>
            <wp:wrapTopAndBottom/>
            <wp:docPr id="1" name="image1.jpeg" descr="一張含有 文字, 圖表, 行, 螢幕擷取畫面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65" cy="174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3.779999pt;margin-top:183.154587pt;width:474.85pt;height:1.55pt;mso-position-horizontal-relative:page;mso-position-vertical-relative:paragraph;z-index:-952;mso-wrap-distance-left:0;mso-wrap-distance-right:0" coordorigin="1276,3663" coordsize="9497,31">
            <v:line style="position:absolute" from="1276,3678" to="10772,3678" stroked="true" strokeweight="1.5pt" strokecolor="#9f9f9f">
              <v:stroke dashstyle="solid"/>
            </v:line>
            <v:rect style="position:absolute;left:1275;top:3663;width:5;height:5" filled="true" fillcolor="#9f9f9f" stroked="false">
              <v:fill type="solid"/>
            </v:rect>
            <v:rect style="position:absolute;left:1275;top:3663;width:5;height:5" filled="true" fillcolor="#9f9f9f" stroked="false">
              <v:fill type="solid"/>
            </v:rect>
            <v:line style="position:absolute" from="1280,3665" to="10768,3665" stroked="true" strokeweight=".239pt" strokecolor="#9f9f9f">
              <v:stroke dashstyle="solid"/>
            </v:line>
            <v:rect style="position:absolute;left:10767;top:3663;width:5;height:5" filled="true" fillcolor="#e2e2e2" stroked="false">
              <v:fill type="solid"/>
            </v:rect>
            <v:rect style="position:absolute;left:10767;top:3663;width:5;height:5" filled="true" fillcolor="#9f9f9f" stroked="false">
              <v:fill type="solid"/>
            </v:rect>
            <v:rect style="position:absolute;left:1275;top:3667;width:5;height:21" filled="true" fillcolor="#9f9f9f" stroked="false">
              <v:fill type="solid"/>
            </v:rect>
            <v:rect style="position:absolute;left:10767;top:3667;width:5;height:21" filled="true" fillcolor="#e2e2e2" stroked="false">
              <v:fill type="solid"/>
            </v:rect>
            <v:rect style="position:absolute;left:1275;top:3688;width:5;height:5" filled="true" fillcolor="#9f9f9f" stroked="false">
              <v:fill type="solid"/>
            </v:rect>
            <v:rect style="position:absolute;left:1275;top:3688;width:5;height:5" filled="true" fillcolor="#e2e2e2" stroked="false">
              <v:fill type="solid"/>
            </v:rect>
            <v:line style="position:absolute" from="1280,3691" to="10768,3691" stroked="true" strokeweight=".239pt" strokecolor="#e2e2e2">
              <v:stroke dashstyle="solid"/>
            </v:line>
            <v:rect style="position:absolute;left:10767;top:3688;width:5;height:5" filled="true" fillcolor="#e2e2e2" stroked="false">
              <v:fill type="solid"/>
            </v:rect>
            <v:rect style="position:absolute;left:10767;top:368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475"/>
      </w:pPr>
      <w:r>
        <w:rPr/>
        <w:t>此表以表格形式記錄事故發生的先後順序和相關條件，作為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p>
      <w:pPr>
        <w:spacing w:after="0" w:line="428" w:lineRule="exact"/>
        <w:sectPr>
          <w:type w:val="continuous"/>
          <w:pgSz w:w="11910" w:h="16840"/>
          <w:pgMar w:top="1380" w:bottom="280" w:left="1160" w:right="9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2399"/>
        <w:gridCol w:w="646"/>
        <w:gridCol w:w="944"/>
        <w:gridCol w:w="1975"/>
        <w:gridCol w:w="2718"/>
      </w:tblGrid>
      <w:tr>
        <w:trPr>
          <w:trHeight w:val="1037" w:hRule="atLeast"/>
        </w:trPr>
        <w:tc>
          <w:tcPr>
            <w:tcW w:w="809" w:type="dxa"/>
          </w:tcPr>
          <w:p>
            <w:pPr>
              <w:pStyle w:val="TableParagraph"/>
              <w:spacing w:line="225" w:lineRule="auto" w:before="4"/>
              <w:ind w:right="288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399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46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944" w:type="dxa"/>
          </w:tcPr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1975" w:type="dxa"/>
          </w:tcPr>
          <w:p>
            <w:pPr>
              <w:pStyle w:val="TableParagraph"/>
              <w:spacing w:line="225" w:lineRule="auto" w:before="4"/>
              <w:ind w:left="106" w:right="182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718" w:type="dxa"/>
          </w:tcPr>
          <w:p>
            <w:pPr>
              <w:pStyle w:val="TableParagraph"/>
              <w:spacing w:line="225" w:lineRule="auto" w:before="4"/>
              <w:ind w:left="105" w:right="79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809" w:type="dxa"/>
          </w:tcPr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99 </w:t>
            </w:r>
            <w:r>
              <w:rPr>
                <w:b/>
                <w:sz w:val="20"/>
              </w:rPr>
              <w:t>年</w:t>
            </w:r>
          </w:p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5 </w:t>
            </w:r>
            <w:r>
              <w:rPr>
                <w:b/>
                <w:sz w:val="20"/>
              </w:rPr>
              <w:t>月某</w:t>
            </w:r>
          </w:p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日</w:t>
            </w:r>
          </w:p>
        </w:tc>
        <w:tc>
          <w:tcPr>
            <w:tcW w:w="2399" w:type="dxa"/>
          </w:tcPr>
          <w:p>
            <w:pPr>
              <w:pStyle w:val="TableParagraph"/>
              <w:spacing w:line="225" w:lineRule="auto" w:before="4"/>
              <w:ind w:right="277"/>
              <w:rPr>
                <w:sz w:val="20"/>
              </w:rPr>
            </w:pPr>
            <w:r>
              <w:rPr>
                <w:sz w:val="20"/>
              </w:rPr>
              <w:t>承攬商勞工甲員在調整池內作業後，突然昏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倒。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975" w:type="dxa"/>
          </w:tcPr>
          <w:p>
            <w:pPr>
              <w:pStyle w:val="TableParagraph"/>
              <w:spacing w:line="225" w:lineRule="auto" w:before="4"/>
              <w:ind w:left="106" w:right="256"/>
              <w:rPr>
                <w:sz w:val="20"/>
              </w:rPr>
            </w:pPr>
            <w:r>
              <w:rPr>
                <w:sz w:val="20"/>
              </w:rPr>
              <w:t>在無防護下，暴露於高濃度硫化氫環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境。</w:t>
            </w:r>
          </w:p>
        </w:tc>
        <w:tc>
          <w:tcPr>
            <w:tcW w:w="2718" w:type="dxa"/>
          </w:tcPr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未實施局限空間作業管制</w:t>
            </w:r>
          </w:p>
          <w:p>
            <w:pPr>
              <w:pStyle w:val="TableParagraph"/>
              <w:spacing w:line="357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（許可、測定、通風</w:t>
            </w:r>
            <w:r>
              <w:rPr>
                <w:sz w:val="20"/>
              </w:rPr>
              <w:t>）。</w:t>
            </w:r>
          </w:p>
        </w:tc>
      </w:tr>
      <w:tr>
        <w:trPr>
          <w:trHeight w:val="1037" w:hRule="atLeast"/>
        </w:trPr>
        <w:tc>
          <w:tcPr>
            <w:tcW w:w="809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399" w:type="dxa"/>
          </w:tcPr>
          <w:p>
            <w:pPr>
              <w:pStyle w:val="TableParagraph"/>
              <w:spacing w:line="225" w:lineRule="auto" w:before="4"/>
              <w:ind w:right="277"/>
              <w:rPr>
                <w:sz w:val="20"/>
              </w:rPr>
            </w:pPr>
            <w:r>
              <w:rPr>
                <w:sz w:val="20"/>
              </w:rPr>
              <w:t>在池外監視之皮革公司勞工見狀大聲呼救。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975" w:type="dxa"/>
          </w:tcPr>
          <w:p>
            <w:pPr>
              <w:pStyle w:val="TableParagraph"/>
              <w:spacing w:line="225" w:lineRule="auto" w:before="4"/>
              <w:ind w:left="106" w:right="256"/>
              <w:rPr>
                <w:sz w:val="20"/>
              </w:rPr>
            </w:pPr>
            <w:r>
              <w:rPr>
                <w:sz w:val="20"/>
              </w:rPr>
              <w:t>啟動了口頭呼救， 但非正式的緊急應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變通報。</w:t>
            </w:r>
          </w:p>
        </w:tc>
        <w:tc>
          <w:tcPr>
            <w:tcW w:w="2718" w:type="dxa"/>
          </w:tcPr>
          <w:p>
            <w:pPr>
              <w:pStyle w:val="TableParagraph"/>
              <w:spacing w:line="225" w:lineRule="auto" w:before="4"/>
              <w:ind w:left="105" w:right="199"/>
              <w:rPr>
                <w:sz w:val="20"/>
              </w:rPr>
            </w:pPr>
            <w:r>
              <w:rPr>
                <w:sz w:val="20"/>
              </w:rPr>
              <w:t>現場無緊急應變計畫，監視者亦未受過應變訓練。</w:t>
            </w:r>
          </w:p>
        </w:tc>
      </w:tr>
      <w:tr>
        <w:trPr>
          <w:trHeight w:val="1037" w:hRule="atLeast"/>
        </w:trPr>
        <w:tc>
          <w:tcPr>
            <w:tcW w:w="809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399" w:type="dxa"/>
          </w:tcPr>
          <w:p>
            <w:pPr>
              <w:pStyle w:val="TableParagraph"/>
              <w:spacing w:line="225" w:lineRule="auto" w:before="5"/>
              <w:ind w:right="277"/>
              <w:rPr>
                <w:sz w:val="20"/>
              </w:rPr>
            </w:pPr>
            <w:r>
              <w:rPr>
                <w:sz w:val="20"/>
              </w:rPr>
              <w:t>皮革公司在其他處所作業之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名勞工趕往現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場。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975" w:type="dxa"/>
          </w:tcPr>
          <w:p>
            <w:pPr>
              <w:pStyle w:val="TableParagraph"/>
              <w:spacing w:line="225" w:lineRule="auto" w:before="5"/>
              <w:ind w:left="106" w:right="256"/>
              <w:rPr>
                <w:sz w:val="20"/>
              </w:rPr>
            </w:pPr>
            <w:r>
              <w:rPr>
                <w:sz w:val="20"/>
              </w:rPr>
              <w:t>人員聚集，但無應變組織與指揮。</w:t>
            </w:r>
          </w:p>
        </w:tc>
        <w:tc>
          <w:tcPr>
            <w:tcW w:w="2718" w:type="dxa"/>
          </w:tcPr>
          <w:p>
            <w:pPr>
              <w:pStyle w:val="TableParagraph"/>
              <w:spacing w:line="225" w:lineRule="auto" w:before="5"/>
              <w:ind w:left="105" w:right="199"/>
              <w:rPr>
                <w:sz w:val="20"/>
              </w:rPr>
            </w:pPr>
            <w:r>
              <w:rPr>
                <w:sz w:val="20"/>
              </w:rPr>
              <w:t>缺乏事故現場指揮官及任務分派。</w:t>
            </w:r>
          </w:p>
        </w:tc>
      </w:tr>
      <w:tr>
        <w:trPr>
          <w:trHeight w:val="1037" w:hRule="atLeast"/>
        </w:trPr>
        <w:tc>
          <w:tcPr>
            <w:tcW w:w="809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399" w:type="dxa"/>
          </w:tcPr>
          <w:p>
            <w:pPr>
              <w:pStyle w:val="TableParagraph"/>
              <w:spacing w:line="225" w:lineRule="auto" w:before="5"/>
              <w:ind w:right="229"/>
              <w:rPr>
                <w:sz w:val="20"/>
              </w:rPr>
            </w:pPr>
            <w:r>
              <w:rPr>
                <w:sz w:val="20"/>
              </w:rPr>
              <w:t>公司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名勞工</w:t>
            </w:r>
            <w:r>
              <w:rPr>
                <w:b/>
                <w:sz w:val="20"/>
              </w:rPr>
              <w:t>先後</w:t>
            </w:r>
            <w:r>
              <w:rPr>
                <w:sz w:val="20"/>
              </w:rPr>
              <w:t>進入調整池中救援。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975" w:type="dxa"/>
          </w:tcPr>
          <w:p>
            <w:pPr>
              <w:pStyle w:val="TableParagraph"/>
              <w:spacing w:line="225" w:lineRule="auto" w:before="5"/>
              <w:ind w:left="106" w:right="256"/>
              <w:rPr>
                <w:sz w:val="20"/>
              </w:rPr>
            </w:pPr>
            <w:r>
              <w:rPr>
                <w:sz w:val="20"/>
              </w:rPr>
              <w:t>所有救援者皆未穿戴呼吸防護具及其</w:t>
            </w:r>
          </w:p>
          <w:p>
            <w:pPr>
              <w:pStyle w:val="TableParagraph"/>
              <w:spacing w:line="321" w:lineRule="exact"/>
              <w:ind w:left="106"/>
              <w:rPr>
                <w:sz w:val="20"/>
              </w:rPr>
            </w:pPr>
            <w:r>
              <w:rPr>
                <w:sz w:val="20"/>
              </w:rPr>
              <w:t>他安全裝備。</w:t>
            </w:r>
          </w:p>
        </w:tc>
        <w:tc>
          <w:tcPr>
            <w:tcW w:w="2718" w:type="dxa"/>
          </w:tcPr>
          <w:p>
            <w:pPr>
              <w:pStyle w:val="TableParagraph"/>
              <w:spacing w:line="225" w:lineRule="auto" w:before="5"/>
              <w:ind w:left="105" w:right="199"/>
              <w:rPr>
                <w:sz w:val="20"/>
              </w:rPr>
            </w:pPr>
            <w:r>
              <w:rPr>
                <w:sz w:val="20"/>
              </w:rPr>
              <w:t>嚴重缺乏對硫化氫危害的認知，以及對「禁止盲目救</w:t>
            </w:r>
          </w:p>
          <w:p>
            <w:pPr>
              <w:pStyle w:val="TableParagraph"/>
              <w:spacing w:line="321" w:lineRule="exact"/>
              <w:ind w:left="105"/>
              <w:rPr>
                <w:sz w:val="20"/>
              </w:rPr>
            </w:pPr>
            <w:r>
              <w:rPr>
                <w:sz w:val="20"/>
              </w:rPr>
              <w:t>援」原則的了解。</w:t>
            </w:r>
          </w:p>
        </w:tc>
      </w:tr>
      <w:tr>
        <w:trPr>
          <w:trHeight w:val="1037" w:hRule="atLeast"/>
        </w:trPr>
        <w:tc>
          <w:tcPr>
            <w:tcW w:w="809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399" w:type="dxa"/>
          </w:tcPr>
          <w:p>
            <w:pPr>
              <w:pStyle w:val="TableParagraph"/>
              <w:spacing w:line="225" w:lineRule="auto" w:before="5"/>
              <w:ind w:right="430"/>
              <w:rPr>
                <w:sz w:val="20"/>
              </w:rPr>
            </w:pPr>
            <w:r>
              <w:rPr>
                <w:sz w:val="20"/>
              </w:rPr>
              <w:t>進入池中的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名救援者，也都相繼中毒昏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迷。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975" w:type="dxa"/>
          </w:tcPr>
          <w:p>
            <w:pPr>
              <w:pStyle w:val="TableParagraph"/>
              <w:spacing w:line="225" w:lineRule="auto" w:before="5"/>
              <w:ind w:left="106" w:right="256"/>
              <w:rPr>
                <w:sz w:val="20"/>
              </w:rPr>
            </w:pPr>
            <w:r>
              <w:rPr>
                <w:sz w:val="20"/>
              </w:rPr>
              <w:t>救援行動非但無 </w:t>
            </w:r>
            <w:r>
              <w:rPr>
                <w:spacing w:val="-3"/>
                <w:sz w:val="20"/>
              </w:rPr>
              <w:t>效，反而使自身成</w:t>
            </w:r>
          </w:p>
          <w:p>
            <w:pPr>
              <w:pStyle w:val="TableParagraph"/>
              <w:spacing w:line="321" w:lineRule="exact"/>
              <w:ind w:left="106"/>
              <w:rPr>
                <w:sz w:val="20"/>
              </w:rPr>
            </w:pPr>
            <w:r>
              <w:rPr>
                <w:sz w:val="20"/>
              </w:rPr>
              <w:t>為待救者。</w:t>
            </w:r>
          </w:p>
        </w:tc>
        <w:tc>
          <w:tcPr>
            <w:tcW w:w="2718" w:type="dxa"/>
          </w:tcPr>
          <w:p>
            <w:pPr>
              <w:pStyle w:val="TableParagraph"/>
              <w:spacing w:line="225" w:lineRule="auto" w:before="5"/>
              <w:ind w:left="105" w:right="400"/>
              <w:rPr>
                <w:sz w:val="20"/>
              </w:rPr>
            </w:pPr>
            <w:r>
              <w:rPr>
                <w:sz w:val="20"/>
              </w:rPr>
              <w:t>典型的「救援者陷阱」情境，導致災情急遽擴大。</w:t>
            </w:r>
          </w:p>
        </w:tc>
      </w:tr>
      <w:tr>
        <w:trPr>
          <w:trHeight w:val="1038" w:hRule="atLeast"/>
        </w:trPr>
        <w:tc>
          <w:tcPr>
            <w:tcW w:w="809" w:type="dxa"/>
          </w:tcPr>
          <w:p>
            <w:pPr>
              <w:pStyle w:val="TableParagraph"/>
              <w:spacing w:line="225" w:lineRule="auto" w:before="5"/>
              <w:ind w:right="288"/>
              <w:rPr>
                <w:b/>
                <w:sz w:val="20"/>
              </w:rPr>
            </w:pPr>
            <w:r>
              <w:rPr>
                <w:b/>
                <w:sz w:val="20"/>
              </w:rPr>
              <w:t>事故後</w:t>
            </w:r>
          </w:p>
        </w:tc>
        <w:tc>
          <w:tcPr>
            <w:tcW w:w="2399" w:type="dxa"/>
          </w:tcPr>
          <w:p>
            <w:pPr>
              <w:pStyle w:val="TableParagraph"/>
              <w:spacing w:line="225" w:lineRule="auto" w:before="5"/>
              <w:ind w:right="22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z w:val="20"/>
              </w:rPr>
              <w:t>名罹災者（甲員</w:t>
            </w:r>
            <w:r>
              <w:rPr>
                <w:rFonts w:ascii="Segoe UI" w:eastAsia="Segoe UI"/>
                <w:sz w:val="20"/>
              </w:rPr>
              <w:t>+4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pacing w:val="-14"/>
                <w:sz w:val="20"/>
              </w:rPr>
              <w:t>名</w:t>
            </w:r>
            <w:r>
              <w:rPr>
                <w:sz w:val="20"/>
              </w:rPr>
              <w:t>救援者）經送醫急救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後，相繼不治死亡。</w:t>
            </w:r>
          </w:p>
        </w:tc>
        <w:tc>
          <w:tcPr>
            <w:tcW w:w="646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4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975" w:type="dxa"/>
          </w:tcPr>
          <w:p>
            <w:pPr>
              <w:pStyle w:val="TableParagraph"/>
              <w:spacing w:line="225" w:lineRule="auto" w:before="5"/>
              <w:ind w:left="106" w:right="256"/>
              <w:rPr>
                <w:sz w:val="20"/>
              </w:rPr>
            </w:pPr>
            <w:r>
              <w:rPr>
                <w:sz w:val="20"/>
              </w:rPr>
              <w:t>錯過黃金救援時 </w:t>
            </w:r>
            <w:r>
              <w:rPr>
                <w:spacing w:val="-3"/>
                <w:sz w:val="20"/>
              </w:rPr>
              <w:t>間，且罹災人數過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多。</w:t>
            </w:r>
          </w:p>
        </w:tc>
        <w:tc>
          <w:tcPr>
            <w:tcW w:w="2718" w:type="dxa"/>
          </w:tcPr>
          <w:p>
            <w:pPr>
              <w:pStyle w:val="TableParagraph"/>
              <w:spacing w:line="225" w:lineRule="auto" w:before="5"/>
              <w:ind w:left="105" w:right="400"/>
              <w:rPr>
                <w:sz w:val="20"/>
              </w:rPr>
            </w:pPr>
            <w:r>
              <w:rPr>
                <w:sz w:val="20"/>
              </w:rPr>
              <w:t>現場無任何有效的救援行動，直到悲劇已成定局。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pt;width:474.85pt;height:1.55pt;mso-position-horizontal-relative:page;mso-position-vertical-relative:paragraph;z-index:-928;mso-wrap-distance-left:0;mso-wrap-distance-right:0" coordorigin="1276,452" coordsize="9497,31">
            <v:line style="position:absolute" from="1276,467" to="10772,467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768,455" stroked="true" strokeweight=".239pt" strokecolor="#9f9f9f">
              <v:stroke dashstyle="solid"/>
            </v:line>
            <v:rect style="position:absolute;left:10767;top:452;width:5;height:5" filled="true" fillcolor="#e2e2e2" stroked="false">
              <v:fill type="solid"/>
            </v:rect>
            <v:rect style="position:absolute;left:1076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76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768,480" stroked="true" strokeweight=".239pt" strokecolor="#e2e2e2">
              <v:stroke dashstyle="solid"/>
            </v:line>
            <v:rect style="position:absolute;left:10767;top:477;width:5;height:5" filled="true" fillcolor="#e2e2e2" stroked="false">
              <v:fill type="solid"/>
            </v:rect>
            <v:rect style="position:absolute;left:1076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pStyle w:val="BodyText"/>
        <w:spacing w:line="428" w:lineRule="exact"/>
        <w:ind w:left="475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top="1420" w:bottom="280" w:left="1160" w:right="960"/>
        </w:sectPr>
      </w:pPr>
    </w:p>
    <w:p>
      <w:pPr>
        <w:pStyle w:val="BodyText"/>
        <w:spacing w:before="4" w:after="1"/>
        <w:rPr>
          <w:sz w:val="11"/>
        </w:rPr>
      </w:pPr>
    </w:p>
    <w:p>
      <w:pPr>
        <w:pStyle w:val="BodyText"/>
        <w:ind w:left="1992"/>
        <w:rPr>
          <w:sz w:val="20"/>
        </w:rPr>
      </w:pPr>
      <w:r>
        <w:rPr>
          <w:sz w:val="20"/>
        </w:rPr>
        <w:drawing>
          <wp:inline distT="0" distB="0" distL="0" distR="0">
            <wp:extent cx="3278787" cy="3943350"/>
            <wp:effectExtent l="0" t="0" r="0" b="0"/>
            <wp:docPr id="3" name="image2.png" descr="一張含有 文字, 螢幕擷取畫面, 字型, 圖表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787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9"/>
        </w:rPr>
      </w:pPr>
      <w:r>
        <w:rPr/>
        <w:pict>
          <v:group style="position:absolute;margin-left:63.779999pt;margin-top:28.822947pt;width:474.85pt;height:1.5pt;mso-position-horizontal-relative:page;mso-position-vertical-relative:paragraph;z-index:-904;mso-wrap-distance-left:0;mso-wrap-distance-right:0" coordorigin="1276,576" coordsize="9497,30">
            <v:line style="position:absolute" from="1276,591" to="10772,591" stroked="true" strokeweight="1.5pt" strokecolor="#9f9f9f">
              <v:stroke dashstyle="solid"/>
            </v:line>
            <v:rect style="position:absolute;left:1275;top:576;width:5;height:5" filled="true" fillcolor="#9f9f9f" stroked="false">
              <v:fill type="solid"/>
            </v:rect>
            <v:rect style="position:absolute;left:1275;top:576;width:5;height:5" filled="true" fillcolor="#9f9f9f" stroked="false">
              <v:fill type="solid"/>
            </v:rect>
            <v:line style="position:absolute" from="1280,579" to="10768,579" stroked="true" strokeweight=".239pt" strokecolor="#9f9f9f">
              <v:stroke dashstyle="solid"/>
            </v:line>
            <v:rect style="position:absolute;left:10767;top:576;width:5;height:5" filled="true" fillcolor="#e2e2e2" stroked="false">
              <v:fill type="solid"/>
            </v:rect>
            <v:rect style="position:absolute;left:10767;top:576;width:5;height:5" filled="true" fillcolor="#9f9f9f" stroked="false">
              <v:fill type="solid"/>
            </v:rect>
            <v:rect style="position:absolute;left:1275;top:581;width:5;height:21" filled="true" fillcolor="#9f9f9f" stroked="false">
              <v:fill type="solid"/>
            </v:rect>
            <v:rect style="position:absolute;left:10767;top:581;width:5;height:21" filled="true" fillcolor="#e2e2e2" stroked="false">
              <v:fill type="solid"/>
            </v:rect>
            <v:rect style="position:absolute;left:1275;top:601;width:5;height:5" filled="true" fillcolor="#9f9f9f" stroked="false">
              <v:fill type="solid"/>
            </v:rect>
            <v:rect style="position:absolute;left:1275;top:601;width:5;height:5" filled="true" fillcolor="#e2e2e2" stroked="false">
              <v:fill type="solid"/>
            </v:rect>
            <v:line style="position:absolute" from="1280,604" to="10768,604" stroked="true" strokeweight=".239pt" strokecolor="#e2e2e2">
              <v:stroke dashstyle="solid"/>
            </v:line>
            <v:rect style="position:absolute;left:10767;top:601;width:5;height:5" filled="true" fillcolor="#e2e2e2" stroked="false">
              <v:fill type="solid"/>
            </v:rect>
            <v:rect style="position:absolute;left:10767;top:60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tabs>
          <w:tab w:pos="660" w:val="left" w:leader="none"/>
        </w:tabs>
        <w:spacing w:before="7"/>
      </w:pPr>
      <w:r>
        <w:rPr/>
        <w:t>四</w:t>
      </w:r>
      <w:r>
        <w:rPr>
          <w:rFonts w:ascii="Calibri" w:eastAsia="Calibri"/>
        </w:rPr>
        <w:t>.</w:t>
        <w:tab/>
      </w:r>
      <w:r>
        <w:rPr/>
        <w:t>屏障分析</w:t>
      </w:r>
    </w:p>
    <w:p>
      <w:pPr>
        <w:pStyle w:val="BodyText"/>
        <w:spacing w:line="415" w:lineRule="exact"/>
        <w:ind w:left="475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14"/>
          <w:sz w:val="24"/>
        </w:rPr>
        <w:t>危害： </w:t>
      </w:r>
      <w:r>
        <w:rPr>
          <w:sz w:val="24"/>
        </w:rPr>
        <w:t>硫化氫  </w:t>
      </w:r>
      <w:r>
        <w:rPr>
          <w:rFonts w:ascii="Calibri" w:hAnsi="Calibri" w:eastAsia="Calibri"/>
          <w:sz w:val="24"/>
        </w:rPr>
        <w:t>(H₂S)</w:t>
      </w:r>
      <w:r>
        <w:rPr>
          <w:rFonts w:ascii="Calibri" w:hAnsi="Calibri" w:eastAsia="Calibri"/>
          <w:spacing w:val="10"/>
          <w:sz w:val="24"/>
        </w:rPr>
        <w:t> </w:t>
      </w:r>
      <w:r>
        <w:rPr>
          <w:sz w:val="24"/>
        </w:rPr>
        <w:t>急性中毒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承攬商勞工甲員、公司方 </w:t>
      </w:r>
      <w:r>
        <w:rPr>
          <w:rFonts w:ascii="Calibri" w:hAnsi="Calibri" w:eastAsia="Calibri"/>
          <w:sz w:val="24"/>
        </w:rPr>
        <w:t>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名救援勞工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123"/>
        <w:gridCol w:w="1160"/>
        <w:gridCol w:w="3338"/>
        <w:gridCol w:w="2962"/>
      </w:tblGrid>
      <w:tr>
        <w:trPr>
          <w:trHeight w:val="1037" w:hRule="atLeast"/>
        </w:trPr>
        <w:tc>
          <w:tcPr>
            <w:tcW w:w="902" w:type="dxa"/>
          </w:tcPr>
          <w:p>
            <w:pPr>
              <w:pStyle w:val="TableParagraph"/>
              <w:spacing w:line="225" w:lineRule="auto"/>
              <w:ind w:right="182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123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1160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8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338" w:type="dxa"/>
          </w:tcPr>
          <w:p>
            <w:pPr>
              <w:pStyle w:val="TableParagraph"/>
              <w:spacing w:line="344" w:lineRule="exact"/>
              <w:ind w:left="109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962" w:type="dxa"/>
          </w:tcPr>
          <w:p>
            <w:pPr>
              <w:pStyle w:val="TableParagraph"/>
              <w:spacing w:line="225" w:lineRule="auto"/>
              <w:ind w:left="109" w:right="281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691" w:hRule="atLeast"/>
        </w:trPr>
        <w:tc>
          <w:tcPr>
            <w:tcW w:w="902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工程控</w:t>
            </w:r>
          </w:p>
          <w:p>
            <w:pPr>
              <w:pStyle w:val="TableParagraph"/>
              <w:spacing w:line="339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制</w:t>
            </w:r>
          </w:p>
        </w:tc>
        <w:tc>
          <w:tcPr>
            <w:tcW w:w="1123" w:type="dxa"/>
          </w:tcPr>
          <w:p>
            <w:pPr>
              <w:pStyle w:val="TableParagraph"/>
              <w:spacing w:line="333" w:lineRule="exact"/>
              <w:ind w:left="108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機械通</w:t>
            </w:r>
          </w:p>
          <w:p>
            <w:pPr>
              <w:pStyle w:val="TableParagraph"/>
              <w:spacing w:line="33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風與換氣</w:t>
            </w:r>
          </w:p>
        </w:tc>
        <w:tc>
          <w:tcPr>
            <w:tcW w:w="1160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  <w:p>
            <w:pPr>
              <w:pStyle w:val="TableParagraph"/>
              <w:spacing w:line="339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338" w:type="dxa"/>
          </w:tcPr>
          <w:p>
            <w:pPr>
              <w:pStyle w:val="TableParagraph"/>
              <w:spacing w:line="344" w:lineRule="exact"/>
              <w:ind w:left="109"/>
              <w:rPr>
                <w:sz w:val="20"/>
              </w:rPr>
            </w:pPr>
            <w:r>
              <w:rPr>
                <w:sz w:val="20"/>
              </w:rPr>
              <w:t>未規劃或執行作業前強制通風。</w:t>
            </w:r>
          </w:p>
        </w:tc>
        <w:tc>
          <w:tcPr>
            <w:tcW w:w="2962" w:type="dxa"/>
          </w:tcPr>
          <w:p>
            <w:pPr>
              <w:pStyle w:val="TableParagraph"/>
              <w:spacing w:line="333" w:lineRule="exact"/>
              <w:ind w:left="109"/>
              <w:rPr>
                <w:sz w:val="20"/>
              </w:rPr>
            </w:pPr>
            <w:r>
              <w:rPr>
                <w:sz w:val="20"/>
              </w:rPr>
              <w:t>致命濃度的 </w:t>
            </w:r>
            <w:r>
              <w:rPr>
                <w:rFonts w:ascii="Segoe UI" w:hAnsi="Segoe UI" w:eastAsia="Segoe UI"/>
                <w:sz w:val="20"/>
              </w:rPr>
              <w:t>H₂S </w:t>
            </w:r>
            <w:r>
              <w:rPr>
                <w:sz w:val="20"/>
              </w:rPr>
              <w:t>氣體持續滯留</w:t>
            </w:r>
          </w:p>
          <w:p>
            <w:pPr>
              <w:pStyle w:val="TableParagraph"/>
              <w:spacing w:line="339" w:lineRule="exact"/>
              <w:ind w:left="109"/>
              <w:rPr>
                <w:sz w:val="20"/>
              </w:rPr>
            </w:pPr>
            <w:r>
              <w:rPr>
                <w:sz w:val="20"/>
              </w:rPr>
              <w:t>於作業空間內。</w:t>
            </w:r>
          </w:p>
        </w:tc>
      </w:tr>
      <w:tr>
        <w:trPr>
          <w:trHeight w:val="692" w:hRule="atLeast"/>
        </w:trPr>
        <w:tc>
          <w:tcPr>
            <w:tcW w:w="9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line="333" w:lineRule="exact"/>
              <w:ind w:left="108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氣體濃</w:t>
            </w:r>
          </w:p>
          <w:p>
            <w:pPr>
              <w:pStyle w:val="TableParagraph"/>
              <w:spacing w:line="33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度偵測器</w:t>
            </w:r>
          </w:p>
        </w:tc>
        <w:tc>
          <w:tcPr>
            <w:tcW w:w="1160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  <w:p>
            <w:pPr>
              <w:pStyle w:val="TableParagraph"/>
              <w:spacing w:line="339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338" w:type="dxa"/>
          </w:tcPr>
          <w:p>
            <w:pPr>
              <w:pStyle w:val="TableParagraph"/>
              <w:spacing w:line="333" w:lineRule="exact"/>
              <w:ind w:left="109"/>
              <w:rPr>
                <w:sz w:val="20"/>
              </w:rPr>
            </w:pPr>
            <w:r>
              <w:rPr>
                <w:sz w:val="20"/>
              </w:rPr>
              <w:t>未實施作業前測定，也無連續偵</w:t>
            </w:r>
          </w:p>
          <w:p>
            <w:pPr>
              <w:pStyle w:val="TableParagraph"/>
              <w:spacing w:line="339" w:lineRule="exact"/>
              <w:ind w:left="109"/>
              <w:rPr>
                <w:sz w:val="20"/>
              </w:rPr>
            </w:pPr>
            <w:r>
              <w:rPr>
                <w:sz w:val="20"/>
              </w:rPr>
              <w:t>測。</w:t>
            </w:r>
          </w:p>
        </w:tc>
        <w:tc>
          <w:tcPr>
            <w:tcW w:w="2962" w:type="dxa"/>
          </w:tcPr>
          <w:p>
            <w:pPr>
              <w:pStyle w:val="TableParagraph"/>
              <w:spacing w:line="333" w:lineRule="exact"/>
              <w:ind w:left="109"/>
              <w:rPr>
                <w:sz w:val="20"/>
              </w:rPr>
            </w:pPr>
            <w:r>
              <w:rPr>
                <w:sz w:val="20"/>
              </w:rPr>
              <w:t>所有進入者對看不見的致命危</w:t>
            </w:r>
          </w:p>
          <w:p>
            <w:pPr>
              <w:pStyle w:val="TableParagraph"/>
              <w:spacing w:line="339" w:lineRule="exact"/>
              <w:ind w:left="109"/>
              <w:rPr>
                <w:sz w:val="20"/>
              </w:rPr>
            </w:pPr>
            <w:r>
              <w:rPr>
                <w:sz w:val="20"/>
              </w:rPr>
              <w:t>險完全沒有警覺。</w:t>
            </w:r>
          </w:p>
        </w:tc>
      </w:tr>
      <w:tr>
        <w:trPr>
          <w:trHeight w:val="1037" w:hRule="atLeast"/>
        </w:trPr>
        <w:tc>
          <w:tcPr>
            <w:tcW w:w="902" w:type="dxa"/>
          </w:tcPr>
          <w:p>
            <w:pPr>
              <w:pStyle w:val="TableParagraph"/>
              <w:spacing w:line="225" w:lineRule="auto"/>
              <w:ind w:right="182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程</w:t>
            </w:r>
          </w:p>
          <w:p>
            <w:pPr>
              <w:pStyle w:val="TableParagraph"/>
              <w:spacing w:line="3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123" w:type="dxa"/>
          </w:tcPr>
          <w:p>
            <w:pPr>
              <w:pStyle w:val="TableParagraph"/>
              <w:spacing w:line="225" w:lineRule="auto"/>
              <w:ind w:left="108" w:right="132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承攬商安全管理</w:t>
            </w:r>
          </w:p>
        </w:tc>
        <w:tc>
          <w:tcPr>
            <w:tcW w:w="1160" w:type="dxa"/>
          </w:tcPr>
          <w:p>
            <w:pPr>
              <w:pStyle w:val="TableParagraph"/>
              <w:spacing w:line="33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  <w:p>
            <w:pPr>
              <w:pStyle w:val="TableParagraph"/>
              <w:spacing w:line="346" w:lineRule="exact"/>
              <w:ind w:left="108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關鍵屏</w:t>
            </w:r>
          </w:p>
          <w:p>
            <w:pPr>
              <w:pStyle w:val="TableParagraph"/>
              <w:spacing w:line="339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338" w:type="dxa"/>
          </w:tcPr>
          <w:p>
            <w:pPr>
              <w:pStyle w:val="TableParagraph"/>
              <w:spacing w:line="225" w:lineRule="auto"/>
              <w:ind w:left="110" w:right="214"/>
              <w:rPr>
                <w:sz w:val="20"/>
              </w:rPr>
            </w:pPr>
            <w:r>
              <w:rPr>
                <w:sz w:val="20"/>
              </w:rPr>
              <w:t>公司方可能未對承攬商進行安全稽核、未要求其提出安全計畫、未進</w:t>
            </w:r>
          </w:p>
          <w:p>
            <w:pPr>
              <w:pStyle w:val="TableParagraph"/>
              <w:spacing w:line="334" w:lineRule="exact"/>
              <w:ind w:left="110"/>
              <w:rPr>
                <w:sz w:val="20"/>
              </w:rPr>
            </w:pPr>
            <w:r>
              <w:rPr>
                <w:sz w:val="20"/>
              </w:rPr>
              <w:t>行共同危害辨識。</w:t>
            </w:r>
          </w:p>
        </w:tc>
        <w:tc>
          <w:tcPr>
            <w:tcW w:w="2962" w:type="dxa"/>
          </w:tcPr>
          <w:p>
            <w:pPr>
              <w:pStyle w:val="TableParagraph"/>
              <w:spacing w:line="225" w:lineRule="auto"/>
              <w:ind w:left="109" w:right="240"/>
              <w:rPr>
                <w:sz w:val="20"/>
              </w:rPr>
            </w:pPr>
            <w:r>
              <w:rPr>
                <w:sz w:val="20"/>
              </w:rPr>
              <w:t>使得不安全的承攬商得以在高風險區進行作業，是事故的源</w:t>
            </w:r>
          </w:p>
          <w:p>
            <w:pPr>
              <w:pStyle w:val="TableParagraph"/>
              <w:spacing w:line="334" w:lineRule="exact"/>
              <w:ind w:left="109"/>
              <w:rPr>
                <w:sz w:val="20"/>
              </w:rPr>
            </w:pPr>
            <w:r>
              <w:rPr>
                <w:sz w:val="20"/>
              </w:rPr>
              <w:t>頭。</w:t>
            </w:r>
          </w:p>
        </w:tc>
      </w:tr>
      <w:tr>
        <w:trPr>
          <w:trHeight w:val="1037" w:hRule="atLeast"/>
        </w:trPr>
        <w:tc>
          <w:tcPr>
            <w:tcW w:w="9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line="225" w:lineRule="auto"/>
              <w:ind w:left="108" w:right="132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局限空間作業許</w:t>
            </w:r>
          </w:p>
          <w:p>
            <w:pPr>
              <w:pStyle w:val="TableParagraph"/>
              <w:spacing w:line="334" w:lineRule="exact"/>
              <w:ind w:left="108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可</w:t>
            </w:r>
          </w:p>
        </w:tc>
        <w:tc>
          <w:tcPr>
            <w:tcW w:w="1160" w:type="dxa"/>
          </w:tcPr>
          <w:p>
            <w:pPr>
              <w:pStyle w:val="TableParagraph"/>
              <w:spacing w:line="225" w:lineRule="auto"/>
              <w:ind w:left="108" w:right="161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</w:t>
            </w:r>
          </w:p>
        </w:tc>
        <w:tc>
          <w:tcPr>
            <w:tcW w:w="3338" w:type="dxa"/>
          </w:tcPr>
          <w:p>
            <w:pPr>
              <w:pStyle w:val="TableParagraph"/>
              <w:spacing w:line="225" w:lineRule="auto"/>
              <w:ind w:left="109" w:right="214"/>
              <w:rPr>
                <w:sz w:val="20"/>
              </w:rPr>
            </w:pPr>
            <w:r>
              <w:rPr>
                <w:sz w:val="20"/>
              </w:rPr>
              <w:t>整個作業未納入許可管制，或有制度但未落實。</w:t>
            </w:r>
          </w:p>
        </w:tc>
        <w:tc>
          <w:tcPr>
            <w:tcW w:w="2962" w:type="dxa"/>
          </w:tcPr>
          <w:p>
            <w:pPr>
              <w:pStyle w:val="TableParagraph"/>
              <w:spacing w:line="225" w:lineRule="auto"/>
              <w:ind w:left="109" w:right="240"/>
              <w:rPr>
                <w:sz w:val="20"/>
              </w:rPr>
            </w:pPr>
            <w:r>
              <w:rPr>
                <w:sz w:val="20"/>
              </w:rPr>
              <w:t>高風險作業在缺乏任何安全確認的情況下進行。</w:t>
            </w:r>
          </w:p>
        </w:tc>
      </w:tr>
    </w:tbl>
    <w:p>
      <w:pPr>
        <w:spacing w:after="0" w:line="225" w:lineRule="auto"/>
        <w:rPr>
          <w:sz w:val="20"/>
        </w:rPr>
        <w:sectPr>
          <w:pgSz w:w="11910" w:h="16840"/>
          <w:pgMar w:top="1580" w:bottom="280" w:left="1160" w:right="9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123"/>
        <w:gridCol w:w="1160"/>
        <w:gridCol w:w="3338"/>
        <w:gridCol w:w="2962"/>
      </w:tblGrid>
      <w:tr>
        <w:trPr>
          <w:trHeight w:val="1037" w:hRule="atLeast"/>
        </w:trPr>
        <w:tc>
          <w:tcPr>
            <w:tcW w:w="9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line="225" w:lineRule="auto" w:before="4"/>
              <w:ind w:left="108" w:right="132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5. </w:t>
            </w:r>
            <w:r>
              <w:rPr>
                <w:b/>
                <w:sz w:val="20"/>
              </w:rPr>
              <w:t>安全教育訓練</w:t>
            </w:r>
          </w:p>
        </w:tc>
        <w:tc>
          <w:tcPr>
            <w:tcW w:w="1160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嚴重不足</w:t>
            </w:r>
          </w:p>
        </w:tc>
        <w:tc>
          <w:tcPr>
            <w:tcW w:w="3338" w:type="dxa"/>
          </w:tcPr>
          <w:p>
            <w:pPr>
              <w:pStyle w:val="TableParagraph"/>
              <w:spacing w:line="225" w:lineRule="auto" w:before="4"/>
              <w:ind w:left="110" w:right="214"/>
              <w:rPr>
                <w:sz w:val="20"/>
              </w:rPr>
            </w:pPr>
            <w:r>
              <w:rPr>
                <w:sz w:val="20"/>
              </w:rPr>
              <w:t>公司方與承攬商勞工皆未接受局限空間、</w:t>
            </w:r>
            <w:r>
              <w:rPr>
                <w:rFonts w:ascii="Segoe UI" w:hAnsi="Segoe UI" w:eastAsia="Segoe UI"/>
                <w:sz w:val="20"/>
              </w:rPr>
              <w:t>H₂S </w:t>
            </w:r>
            <w:r>
              <w:rPr>
                <w:sz w:val="20"/>
              </w:rPr>
              <w:t>危害及應變訓練。</w:t>
            </w:r>
          </w:p>
        </w:tc>
        <w:tc>
          <w:tcPr>
            <w:tcW w:w="2962" w:type="dxa"/>
          </w:tcPr>
          <w:p>
            <w:pPr>
              <w:pStyle w:val="TableParagraph"/>
              <w:spacing w:line="225" w:lineRule="auto" w:before="4"/>
              <w:ind w:left="109" w:right="192"/>
              <w:rPr>
                <w:sz w:val="20"/>
              </w:rPr>
            </w:pPr>
            <w:r>
              <w:rPr>
                <w:sz w:val="20"/>
              </w:rPr>
              <w:t>導致作業者不知防護，救援者不知危險，是造成 </w:t>
            </w:r>
            <w:r>
              <w:rPr>
                <w:rFonts w:ascii="Segoe UI" w:eastAsia="Segoe UI"/>
                <w:sz w:val="20"/>
              </w:rPr>
              <w:t>5 </w:t>
            </w:r>
            <w:r>
              <w:rPr>
                <w:sz w:val="20"/>
              </w:rPr>
              <w:t>人死亡的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人員因素主因。</w:t>
            </w:r>
          </w:p>
        </w:tc>
      </w:tr>
      <w:tr>
        <w:trPr>
          <w:trHeight w:val="1037" w:hRule="atLeast"/>
        </w:trPr>
        <w:tc>
          <w:tcPr>
            <w:tcW w:w="9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line="225" w:lineRule="auto" w:before="4"/>
              <w:ind w:left="108" w:right="132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6. </w:t>
            </w:r>
            <w:r>
              <w:rPr>
                <w:b/>
                <w:sz w:val="20"/>
              </w:rPr>
              <w:t>緊急應變與救援</w:t>
            </w:r>
          </w:p>
          <w:p>
            <w:pPr>
              <w:pStyle w:val="TableParagraph"/>
              <w:spacing w:line="3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計畫</w:t>
            </w:r>
          </w:p>
        </w:tc>
        <w:tc>
          <w:tcPr>
            <w:tcW w:w="1160" w:type="dxa"/>
          </w:tcPr>
          <w:p>
            <w:pPr>
              <w:pStyle w:val="TableParagraph"/>
              <w:spacing w:line="225" w:lineRule="auto" w:before="4"/>
              <w:ind w:left="108" w:right="239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 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關鍵</w:t>
            </w:r>
          </w:p>
          <w:p>
            <w:pPr>
              <w:pStyle w:val="TableParagraph"/>
              <w:spacing w:line="322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屏障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338" w:type="dxa"/>
          </w:tcPr>
          <w:p>
            <w:pPr>
              <w:pStyle w:val="TableParagraph"/>
              <w:spacing w:line="225" w:lineRule="auto" w:before="4"/>
              <w:ind w:left="110" w:right="214"/>
              <w:rPr>
                <w:sz w:val="20"/>
              </w:rPr>
            </w:pPr>
            <w:r>
              <w:rPr>
                <w:sz w:val="20"/>
              </w:rPr>
              <w:t>未規劃任何緊急應變程序，未禁止非專業人員救援。</w:t>
            </w:r>
          </w:p>
        </w:tc>
        <w:tc>
          <w:tcPr>
            <w:tcW w:w="2962" w:type="dxa"/>
          </w:tcPr>
          <w:p>
            <w:pPr>
              <w:pStyle w:val="TableParagraph"/>
              <w:spacing w:line="225" w:lineRule="auto" w:before="4"/>
              <w:ind w:left="109" w:right="240"/>
              <w:rPr>
                <w:b/>
                <w:sz w:val="20"/>
              </w:rPr>
            </w:pPr>
            <w:r>
              <w:rPr>
                <w:b/>
                <w:sz w:val="20"/>
              </w:rPr>
              <w:t>直接導致了災難性的「救援者連鎖」死亡事件。</w:t>
            </w:r>
          </w:p>
        </w:tc>
      </w:tr>
    </w:tbl>
    <w:p>
      <w:pPr>
        <w:pStyle w:val="BodyText"/>
        <w:spacing w:before="9"/>
        <w:rPr>
          <w:sz w:val="22"/>
        </w:rPr>
      </w:pPr>
      <w:r>
        <w:rPr/>
        <w:pict>
          <v:group style="position:absolute;margin-left:63.779999pt;margin-top:22.66pt;width:474.85pt;height:1.55pt;mso-position-horizontal-relative:page;mso-position-vertical-relative:paragraph;z-index:-880;mso-wrap-distance-left:0;mso-wrap-distance-right:0" coordorigin="1276,453" coordsize="9497,31">
            <v:line style="position:absolute" from="1276,468" to="10772,468" stroked="true" strokeweight="1.5pt" strokecolor="#9f9f9f">
              <v:stroke dashstyle="solid"/>
            </v:line>
            <v:rect style="position:absolute;left:1275;top:453;width:5;height:5" filled="true" fillcolor="#9f9f9f" stroked="false">
              <v:fill type="solid"/>
            </v:rect>
            <v:rect style="position:absolute;left:1275;top:453;width:5;height:5" filled="true" fillcolor="#9f9f9f" stroked="false">
              <v:fill type="solid"/>
            </v:rect>
            <v:line style="position:absolute" from="1280,456" to="10768,456" stroked="true" strokeweight=".239pt" strokecolor="#9f9f9f">
              <v:stroke dashstyle="solid"/>
            </v:line>
            <v:rect style="position:absolute;left:10767;top:453;width:5;height:5" filled="true" fillcolor="#e2e2e2" stroked="false">
              <v:fill type="solid"/>
            </v:rect>
            <v:rect style="position:absolute;left:10767;top:453;width:5;height:5" filled="true" fillcolor="#9f9f9f" stroked="false">
              <v:fill type="solid"/>
            </v:rect>
            <v:rect style="position:absolute;left:1275;top:458;width:5;height:21" filled="true" fillcolor="#9f9f9f" stroked="false">
              <v:fill type="solid"/>
            </v:rect>
            <v:rect style="position:absolute;left:10767;top:458;width:5;height:21" filled="true" fillcolor="#e2e2e2" stroked="false">
              <v:fill type="solid"/>
            </v:rect>
            <v:rect style="position:absolute;left:1275;top:478;width:5;height:5" filled="true" fillcolor="#9f9f9f" stroked="false">
              <v:fill type="solid"/>
            </v:rect>
            <v:rect style="position:absolute;left:1275;top:478;width:5;height:5" filled="true" fillcolor="#e2e2e2" stroked="false">
              <v:fill type="solid"/>
            </v:rect>
            <v:line style="position:absolute" from="1280,481" to="10768,481" stroked="true" strokeweight=".239pt" strokecolor="#e2e2e2">
              <v:stroke dashstyle="solid"/>
            </v:line>
            <v:rect style="position:absolute;left:10767;top:478;width:5;height:5" filled="true" fillcolor="#e2e2e2" stroked="false">
              <v:fill type="solid"/>
            </v:rect>
            <v:rect style="position:absolute;left:10767;top:4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五</w:t>
      </w:r>
      <w:r>
        <w:rPr>
          <w:rFonts w:ascii="Calibri" w:eastAsia="Calibri"/>
        </w:rPr>
        <w:t>. </w:t>
      </w:r>
      <w:r>
        <w:rPr/>
        <w:t>變更分析</w:t>
      </w:r>
    </w:p>
    <w:p>
      <w:pPr>
        <w:pStyle w:val="BodyText"/>
        <w:spacing w:line="428" w:lineRule="exact"/>
        <w:ind w:left="475"/>
      </w:pPr>
      <w:r>
        <w:rPr/>
        <w:t>本分析比較「事故狀況」與「理想的無事故狀況」，以識別導致事故的關鍵差異。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855"/>
        <w:gridCol w:w="1904"/>
        <w:gridCol w:w="2116"/>
        <w:gridCol w:w="2547"/>
      </w:tblGrid>
      <w:tr>
        <w:trPr>
          <w:trHeight w:val="691" w:hRule="atLeast"/>
        </w:trPr>
        <w:tc>
          <w:tcPr>
            <w:tcW w:w="1063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855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904" w:type="dxa"/>
          </w:tcPr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先前、理想或未發</w:t>
            </w:r>
          </w:p>
          <w:p>
            <w:pPr>
              <w:pStyle w:val="TableParagraph"/>
              <w:spacing w:line="338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pacing w:val="8"/>
                <w:sz w:val="20"/>
              </w:rPr>
              <w:t>生事故狀況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16" w:type="dxa"/>
          </w:tcPr>
          <w:p>
            <w:pPr>
              <w:pStyle w:val="TableParagraph"/>
              <w:spacing w:line="345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47" w:type="dxa"/>
          </w:tcPr>
          <w:p>
            <w:pPr>
              <w:pStyle w:val="TableParagraph"/>
              <w:spacing w:line="334" w:lineRule="exact"/>
              <w:ind w:left="109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差異對事故的</w:t>
            </w:r>
          </w:p>
          <w:p>
            <w:pPr>
              <w:pStyle w:val="TableParagraph"/>
              <w:spacing w:line="338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4" w:hRule="atLeast"/>
        </w:trPr>
        <w:tc>
          <w:tcPr>
            <w:tcW w:w="1063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什麼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855" w:type="dxa"/>
          </w:tcPr>
          <w:p>
            <w:pPr>
              <w:pStyle w:val="TableParagraph"/>
              <w:spacing w:line="225" w:lineRule="auto"/>
              <w:ind w:right="134"/>
              <w:jc w:val="both"/>
              <w:rPr>
                <w:sz w:val="20"/>
              </w:rPr>
            </w:pPr>
            <w:r>
              <w:rPr>
                <w:sz w:val="20"/>
              </w:rPr>
              <w:t>在充滿劇毒廢水的調整池內進行鑽孔收尾作業。</w:t>
            </w:r>
          </w:p>
        </w:tc>
        <w:tc>
          <w:tcPr>
            <w:tcW w:w="1904" w:type="dxa"/>
          </w:tcPr>
          <w:p>
            <w:pPr>
              <w:pStyle w:val="TableParagraph"/>
              <w:spacing w:line="225" w:lineRule="auto"/>
              <w:ind w:left="108" w:right="183"/>
              <w:jc w:val="both"/>
              <w:rPr>
                <w:sz w:val="20"/>
              </w:rPr>
            </w:pPr>
            <w:r>
              <w:rPr>
                <w:sz w:val="20"/>
              </w:rPr>
              <w:t>透過安全的工程方法作業，或在完整的防護下進行。</w:t>
            </w:r>
          </w:p>
        </w:tc>
        <w:tc>
          <w:tcPr>
            <w:tcW w:w="2116" w:type="dxa"/>
          </w:tcPr>
          <w:p>
            <w:pPr>
              <w:pStyle w:val="TableParagraph"/>
              <w:spacing w:line="225" w:lineRule="auto"/>
              <w:ind w:left="108" w:right="194"/>
              <w:jc w:val="both"/>
              <w:rPr>
                <w:sz w:val="20"/>
              </w:rPr>
            </w:pPr>
            <w:r>
              <w:rPr>
                <w:sz w:val="20"/>
              </w:rPr>
              <w:t>作業的「內涵」從一般工作變為</w:t>
            </w:r>
            <w:r>
              <w:rPr>
                <w:b/>
                <w:sz w:val="20"/>
              </w:rPr>
              <w:t>高風險局限空間作業</w:t>
            </w:r>
            <w:r>
              <w:rPr>
                <w:sz w:val="20"/>
              </w:rPr>
              <w:t>。</w:t>
            </w:r>
          </w:p>
        </w:tc>
        <w:tc>
          <w:tcPr>
            <w:tcW w:w="2547" w:type="dxa"/>
          </w:tcPr>
          <w:p>
            <w:pPr>
              <w:pStyle w:val="TableParagraph"/>
              <w:spacing w:line="225" w:lineRule="auto"/>
              <w:ind w:left="109" w:right="224"/>
              <w:jc w:val="both"/>
              <w:rPr>
                <w:sz w:val="20"/>
              </w:rPr>
            </w:pPr>
            <w:r>
              <w:rPr>
                <w:sz w:val="20"/>
              </w:rPr>
              <w:t>風險等級的巨大差異未被識別與管理，導致以處理低風險工作的態度面對高</w:t>
            </w:r>
          </w:p>
          <w:p>
            <w:pPr>
              <w:pStyle w:val="TableParagraph"/>
              <w:spacing w:line="334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風險作業。</w:t>
            </w:r>
          </w:p>
        </w:tc>
      </w:tr>
      <w:tr>
        <w:trPr>
          <w:trHeight w:val="1037" w:hRule="atLeast"/>
        </w:trPr>
        <w:tc>
          <w:tcPr>
            <w:tcW w:w="1063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何地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855" w:type="dxa"/>
          </w:tcPr>
          <w:p>
            <w:pPr>
              <w:pStyle w:val="TableParagraph"/>
              <w:spacing w:line="225" w:lineRule="auto"/>
              <w:ind w:right="112"/>
              <w:rPr>
                <w:sz w:val="20"/>
              </w:rPr>
            </w:pPr>
            <w:r>
              <w:rPr>
                <w:sz w:val="20"/>
              </w:rPr>
              <w:t>於充滿</w:t>
            </w:r>
            <w:r>
              <w:rPr>
                <w:rFonts w:ascii="Segoe UI" w:hAnsi="Segoe UI" w:eastAsia="Segoe UI"/>
                <w:sz w:val="20"/>
              </w:rPr>
              <w:t>H₂S </w:t>
            </w:r>
            <w:r>
              <w:rPr>
                <w:sz w:val="20"/>
              </w:rPr>
              <w:t>氣體的調整池底部。</w:t>
            </w:r>
          </w:p>
        </w:tc>
        <w:tc>
          <w:tcPr>
            <w:tcW w:w="1904" w:type="dxa"/>
          </w:tcPr>
          <w:p>
            <w:pPr>
              <w:pStyle w:val="TableParagraph"/>
              <w:spacing w:line="225" w:lineRule="auto"/>
              <w:ind w:left="108" w:right="183"/>
              <w:rPr>
                <w:sz w:val="20"/>
              </w:rPr>
            </w:pPr>
            <w:r>
              <w:rPr>
                <w:sz w:val="20"/>
              </w:rPr>
              <w:t>於外部安全區域或經通風換氣後的安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全內部空間。</w:t>
            </w:r>
          </w:p>
        </w:tc>
        <w:tc>
          <w:tcPr>
            <w:tcW w:w="2116" w:type="dxa"/>
          </w:tcPr>
          <w:p>
            <w:pPr>
              <w:pStyle w:val="TableParagraph"/>
              <w:spacing w:line="225" w:lineRule="auto"/>
              <w:ind w:left="108" w:right="194"/>
              <w:rPr>
                <w:b/>
                <w:sz w:val="20"/>
              </w:rPr>
            </w:pPr>
            <w:r>
              <w:rPr>
                <w:sz w:val="20"/>
              </w:rPr>
              <w:t>危害地點為「</w:t>
            </w:r>
            <w:r>
              <w:rPr>
                <w:b/>
                <w:sz w:val="20"/>
              </w:rPr>
              <w:t>立即致死或危害健康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(IDLH)</w:t>
            </w:r>
            <w:r>
              <w:rPr>
                <w:sz w:val="20"/>
              </w:rPr>
              <w:t>」環境。</w:t>
            </w:r>
          </w:p>
        </w:tc>
        <w:tc>
          <w:tcPr>
            <w:tcW w:w="2547" w:type="dxa"/>
          </w:tcPr>
          <w:p>
            <w:pPr>
              <w:pStyle w:val="TableParagraph"/>
              <w:spacing w:line="225" w:lineRule="auto"/>
              <w:ind w:left="109" w:right="224"/>
              <w:rPr>
                <w:sz w:val="20"/>
              </w:rPr>
            </w:pPr>
            <w:r>
              <w:rPr>
                <w:sz w:val="20"/>
              </w:rPr>
              <w:t>任何無防護的進入都必然導致中毒。</w:t>
            </w:r>
          </w:p>
        </w:tc>
      </w:tr>
      <w:tr>
        <w:trPr>
          <w:trHeight w:val="1383" w:hRule="atLeast"/>
        </w:trPr>
        <w:tc>
          <w:tcPr>
            <w:tcW w:w="1063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WHO (</w:t>
            </w:r>
            <w:r>
              <w:rPr>
                <w:b/>
                <w:sz w:val="20"/>
              </w:rPr>
              <w:t>何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人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855" w:type="dxa"/>
          </w:tcPr>
          <w:p>
            <w:pPr>
              <w:pStyle w:val="TableParagraph"/>
              <w:spacing w:line="225" w:lineRule="auto"/>
              <w:ind w:right="134"/>
              <w:jc w:val="both"/>
              <w:rPr>
                <w:sz w:val="20"/>
              </w:rPr>
            </w:pPr>
            <w:r>
              <w:rPr>
                <w:sz w:val="20"/>
              </w:rPr>
              <w:t>一位不安全的承攬商勞工，以及一群未受訓練的公司方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sz w:val="20"/>
              </w:rPr>
              <w:t>員工。</w:t>
            </w:r>
          </w:p>
        </w:tc>
        <w:tc>
          <w:tcPr>
            <w:tcW w:w="1904" w:type="dxa"/>
          </w:tcPr>
          <w:p>
            <w:pPr>
              <w:pStyle w:val="TableParagraph"/>
              <w:spacing w:line="225" w:lineRule="auto"/>
              <w:ind w:right="183"/>
              <w:jc w:val="both"/>
              <w:rPr>
                <w:sz w:val="20"/>
              </w:rPr>
            </w:pPr>
            <w:r>
              <w:rPr>
                <w:sz w:val="20"/>
              </w:rPr>
              <w:t>合格的承攬商，以及受過完整應變訓練的公司員工。</w:t>
            </w:r>
          </w:p>
        </w:tc>
        <w:tc>
          <w:tcPr>
            <w:tcW w:w="2116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作業及應變人員的</w:t>
            </w:r>
          </w:p>
          <w:p>
            <w:pPr>
              <w:pStyle w:val="TableParagraph"/>
              <w:spacing w:line="225" w:lineRule="auto" w:before="5"/>
              <w:ind w:left="108" w:right="194"/>
              <w:rPr>
                <w:sz w:val="20"/>
              </w:rPr>
            </w:pPr>
            <w:r>
              <w:rPr>
                <w:sz w:val="20"/>
              </w:rPr>
              <w:t>「資格與能力」由合格變為</w:t>
            </w:r>
            <w:r>
              <w:rPr>
                <w:b/>
                <w:sz w:val="20"/>
              </w:rPr>
              <w:t>完全不合格</w:t>
            </w:r>
            <w:r>
              <w:rPr>
                <w:sz w:val="20"/>
              </w:rPr>
              <w:t>。</w:t>
            </w:r>
          </w:p>
        </w:tc>
        <w:tc>
          <w:tcPr>
            <w:tcW w:w="2547" w:type="dxa"/>
          </w:tcPr>
          <w:p>
            <w:pPr>
              <w:pStyle w:val="TableParagraph"/>
              <w:spacing w:line="225" w:lineRule="auto"/>
              <w:ind w:left="109" w:right="225"/>
              <w:rPr>
                <w:sz w:val="20"/>
              </w:rPr>
            </w:pPr>
            <w:r>
              <w:rPr>
                <w:sz w:val="20"/>
              </w:rPr>
              <w:t>導致了從作業到救援的全面性失敗。</w:t>
            </w:r>
          </w:p>
        </w:tc>
      </w:tr>
      <w:tr>
        <w:trPr>
          <w:trHeight w:val="1383" w:hRule="atLeast"/>
        </w:trPr>
        <w:tc>
          <w:tcPr>
            <w:tcW w:w="1063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(</w:t>
            </w:r>
            <w:r>
              <w:rPr>
                <w:b/>
                <w:sz w:val="20"/>
              </w:rPr>
              <w:t>如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何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855" w:type="dxa"/>
          </w:tcPr>
          <w:p>
            <w:pPr>
              <w:pStyle w:val="TableParagraph"/>
              <w:spacing w:line="225" w:lineRule="auto"/>
              <w:ind w:right="134"/>
              <w:rPr>
                <w:sz w:val="20"/>
              </w:rPr>
            </w:pPr>
            <w:r>
              <w:rPr>
                <w:sz w:val="20"/>
              </w:rPr>
              <w:t>作業員無防護作 </w:t>
            </w:r>
            <w:r>
              <w:rPr>
                <w:spacing w:val="-2"/>
                <w:sz w:val="20"/>
              </w:rPr>
              <w:t>業；救援者一個接一個無防護進入。</w:t>
            </w:r>
          </w:p>
        </w:tc>
        <w:tc>
          <w:tcPr>
            <w:tcW w:w="1904" w:type="dxa"/>
          </w:tcPr>
          <w:p>
            <w:pPr>
              <w:pStyle w:val="TableParagraph"/>
              <w:spacing w:line="225" w:lineRule="auto"/>
              <w:ind w:left="108" w:right="113" w:hanging="1"/>
              <w:jc w:val="both"/>
              <w:rPr>
                <w:sz w:val="20"/>
              </w:rPr>
            </w:pPr>
            <w:r>
              <w:rPr>
                <w:sz w:val="20"/>
              </w:rPr>
              <w:t>依 </w:t>
            </w:r>
            <w:r>
              <w:rPr>
                <w:rFonts w:ascii="Segoe UI" w:eastAsia="Segoe UI"/>
                <w:sz w:val="20"/>
              </w:rPr>
              <w:t>SOP </w:t>
            </w:r>
            <w:r>
              <w:rPr>
                <w:sz w:val="20"/>
              </w:rPr>
              <w:t>作業；啟動專業救援隊，著裝後以安全方式救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援。</w:t>
            </w:r>
          </w:p>
        </w:tc>
        <w:tc>
          <w:tcPr>
            <w:tcW w:w="2116" w:type="dxa"/>
          </w:tcPr>
          <w:p>
            <w:pPr>
              <w:pStyle w:val="TableParagraph"/>
              <w:spacing w:line="225" w:lineRule="auto"/>
              <w:ind w:left="108" w:right="194"/>
              <w:rPr>
                <w:sz w:val="20"/>
              </w:rPr>
            </w:pPr>
            <w:r>
              <w:rPr>
                <w:sz w:val="20"/>
              </w:rPr>
              <w:t>作業與救援的「方 </w:t>
            </w:r>
            <w:r>
              <w:rPr>
                <w:spacing w:val="-2"/>
                <w:sz w:val="20"/>
              </w:rPr>
              <w:t>法」由安全程序變為</w:t>
            </w:r>
            <w:r>
              <w:rPr>
                <w:b/>
                <w:sz w:val="20"/>
              </w:rPr>
              <w:t>混亂的本能反應</w:t>
            </w:r>
            <w:r>
              <w:rPr>
                <w:sz w:val="20"/>
              </w:rPr>
              <w:t>。</w:t>
            </w:r>
          </w:p>
        </w:tc>
        <w:tc>
          <w:tcPr>
            <w:tcW w:w="2547" w:type="dxa"/>
          </w:tcPr>
          <w:p>
            <w:pPr>
              <w:pStyle w:val="TableParagraph"/>
              <w:spacing w:line="225" w:lineRule="auto"/>
              <w:ind w:left="109" w:right="224"/>
              <w:jc w:val="both"/>
              <w:rPr>
                <w:sz w:val="20"/>
              </w:rPr>
            </w:pPr>
            <w:r>
              <w:rPr>
                <w:sz w:val="20"/>
              </w:rPr>
              <w:t>錯誤的方法不僅無法解決問題，反而製造了更大的災難。</w:t>
            </w:r>
          </w:p>
        </w:tc>
      </w:tr>
      <w:tr>
        <w:trPr>
          <w:trHeight w:val="1384" w:hRule="atLeast"/>
        </w:trPr>
        <w:tc>
          <w:tcPr>
            <w:tcW w:w="1063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OTHER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其他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855" w:type="dxa"/>
          </w:tcPr>
          <w:p>
            <w:pPr>
              <w:pStyle w:val="TableParagraph"/>
              <w:spacing w:line="225" w:lineRule="auto"/>
              <w:ind w:right="134"/>
              <w:jc w:val="both"/>
              <w:rPr>
                <w:sz w:val="20"/>
              </w:rPr>
            </w:pPr>
            <w:r>
              <w:rPr>
                <w:sz w:val="20"/>
              </w:rPr>
              <w:t>公司與承攬商之間缺乏安全整合與溝通。</w:t>
            </w:r>
          </w:p>
        </w:tc>
        <w:tc>
          <w:tcPr>
            <w:tcW w:w="1904" w:type="dxa"/>
          </w:tcPr>
          <w:p>
            <w:pPr>
              <w:pStyle w:val="TableParagraph"/>
              <w:spacing w:line="225" w:lineRule="auto"/>
              <w:ind w:left="108" w:right="183"/>
              <w:jc w:val="both"/>
              <w:rPr>
                <w:sz w:val="20"/>
              </w:rPr>
            </w:pPr>
            <w:r>
              <w:rPr>
                <w:sz w:val="20"/>
              </w:rPr>
              <w:t>有完整的承攬商管理計畫，雙方共同進行危害分析與應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變規劃。</w:t>
            </w:r>
          </w:p>
        </w:tc>
        <w:tc>
          <w:tcPr>
            <w:tcW w:w="2116" w:type="dxa"/>
          </w:tcPr>
          <w:p>
            <w:pPr>
              <w:pStyle w:val="TableParagraph"/>
              <w:spacing w:line="225" w:lineRule="auto"/>
              <w:ind w:left="108" w:right="194"/>
              <w:jc w:val="both"/>
              <w:rPr>
                <w:sz w:val="20"/>
              </w:rPr>
            </w:pPr>
            <w:r>
              <w:rPr>
                <w:sz w:val="20"/>
              </w:rPr>
              <w:t>安全管理的「介面」由整合變為</w:t>
            </w:r>
            <w:r>
              <w:rPr>
                <w:b/>
                <w:sz w:val="20"/>
              </w:rPr>
              <w:t>脫鉤甚至空白</w:t>
            </w:r>
            <w:r>
              <w:rPr>
                <w:sz w:val="20"/>
              </w:rPr>
              <w:t>。</w:t>
            </w:r>
          </w:p>
        </w:tc>
        <w:tc>
          <w:tcPr>
            <w:tcW w:w="2547" w:type="dxa"/>
          </w:tcPr>
          <w:p>
            <w:pPr>
              <w:pStyle w:val="TableParagraph"/>
              <w:spacing w:line="225" w:lineRule="auto"/>
              <w:ind w:left="109" w:right="224"/>
              <w:jc w:val="both"/>
              <w:rPr>
                <w:sz w:val="20"/>
              </w:rPr>
            </w:pPr>
            <w:r>
              <w:rPr>
                <w:sz w:val="20"/>
              </w:rPr>
              <w:t>這是典型的承攬管理失敗案例，責任劃分不清，安全各自為政，最終導致共</w:t>
            </w:r>
          </w:p>
          <w:p>
            <w:pPr>
              <w:pStyle w:val="TableParagraph"/>
              <w:spacing w:line="334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同承擔悲劇後果。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63.779999pt;margin-top:22.003082pt;width:474.85pt;height:1.55pt;mso-position-horizontal-relative:page;mso-position-vertical-relative:paragraph;z-index:-856;mso-wrap-distance-left:0;mso-wrap-distance-right:0" coordorigin="1276,440" coordsize="9497,31">
            <v:line style="position:absolute" from="1276,455" to="10772,455" stroked="true" strokeweight="1.5pt" strokecolor="#9f9f9f">
              <v:stroke dashstyle="solid"/>
            </v:line>
            <v:rect style="position:absolute;left:1275;top:440;width:5;height:5" filled="true" fillcolor="#9f9f9f" stroked="false">
              <v:fill type="solid"/>
            </v:rect>
            <v:rect style="position:absolute;left:1275;top:440;width:5;height:5" filled="true" fillcolor="#9f9f9f" stroked="false">
              <v:fill type="solid"/>
            </v:rect>
            <v:line style="position:absolute" from="1280,442" to="10768,442" stroked="true" strokeweight=".24pt" strokecolor="#9f9f9f">
              <v:stroke dashstyle="solid"/>
            </v:line>
            <v:rect style="position:absolute;left:10767;top:440;width:5;height:5" filled="true" fillcolor="#e2e2e2" stroked="false">
              <v:fill type="solid"/>
            </v:rect>
            <v:rect style="position:absolute;left:10767;top:440;width:5;height:5" filled="true" fillcolor="#9f9f9f" stroked="false">
              <v:fill type="solid"/>
            </v:rect>
            <v:rect style="position:absolute;left:1275;top:444;width:5;height:21" filled="true" fillcolor="#9f9f9f" stroked="false">
              <v:fill type="solid"/>
            </v:rect>
            <v:rect style="position:absolute;left:10767;top:444;width:5;height:21" filled="true" fillcolor="#e2e2e2" stroked="false">
              <v:fill type="solid"/>
            </v:rect>
            <v:rect style="position:absolute;left:1275;top:465;width:5;height:5" filled="true" fillcolor="#9f9f9f" stroked="false">
              <v:fill type="solid"/>
            </v:rect>
            <v:rect style="position:absolute;left:1275;top:465;width:5;height:5" filled="true" fillcolor="#e2e2e2" stroked="false">
              <v:fill type="solid"/>
            </v:rect>
            <v:line style="position:absolute" from="1280,468" to="10768,468" stroked="true" strokeweight=".24pt" strokecolor="#e2e2e2">
              <v:stroke dashstyle="solid"/>
            </v:line>
            <v:rect style="position:absolute;left:10767;top:465;width:5;height:5" filled="true" fillcolor="#e2e2e2" stroked="false">
              <v:fill type="solid"/>
            </v:rect>
            <v:rect style="position:absolute;left:1076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</w:t>
      </w:r>
    </w:p>
    <w:p>
      <w:pPr>
        <w:pStyle w:val="BodyText"/>
        <w:spacing w:line="428" w:lineRule="exact"/>
        <w:ind w:left="475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7"/>
        <w:gridCol w:w="3627"/>
        <w:gridCol w:w="4322"/>
      </w:tblGrid>
      <w:tr>
        <w:trPr>
          <w:trHeight w:val="346" w:hRule="atLeast"/>
        </w:trPr>
        <w:tc>
          <w:tcPr>
            <w:tcW w:w="1537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3627" w:type="dxa"/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4322" w:type="dxa"/>
          </w:tcPr>
          <w:p>
            <w:pPr>
              <w:pStyle w:val="TableParagraph"/>
              <w:spacing w:line="326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537" w:type="dxa"/>
          </w:tcPr>
          <w:p>
            <w:pPr>
              <w:pStyle w:val="TableParagraph"/>
              <w:spacing w:line="3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規則性錯誤</w:t>
            </w:r>
          </w:p>
        </w:tc>
        <w:tc>
          <w:tcPr>
            <w:tcW w:w="3627" w:type="dxa"/>
          </w:tcPr>
          <w:p>
            <w:pPr>
              <w:pStyle w:val="TableParagraph"/>
              <w:spacing w:line="225" w:lineRule="auto"/>
              <w:ind w:left="108" w:right="117" w:hanging="1"/>
              <w:rPr>
                <w:sz w:val="20"/>
              </w:rPr>
            </w:pPr>
            <w:r>
              <w:rPr>
                <w:b/>
                <w:sz w:val="20"/>
              </w:rPr>
              <w:t>承攬商甲員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其雇主： </w:t>
            </w:r>
            <w:r>
              <w:rPr>
                <w:sz w:val="20"/>
              </w:rPr>
              <w:t>遵循了錯誤的作業程序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或根本沒有程序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，在未確認環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境安全下進入局限空間作業。</w:t>
            </w:r>
          </w:p>
        </w:tc>
        <w:tc>
          <w:tcPr>
            <w:tcW w:w="4322" w:type="dxa"/>
          </w:tcPr>
          <w:p>
            <w:pPr>
              <w:pStyle w:val="TableParagraph"/>
              <w:spacing w:line="33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承攬管理制度：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3" w:val="left" w:leader="none"/>
              </w:tabs>
              <w:spacing w:line="346" w:lineRule="exact" w:before="0" w:after="0"/>
              <w:ind w:left="292" w:right="0" w:hanging="183"/>
              <w:jc w:val="left"/>
              <w:rPr>
                <w:sz w:val="20"/>
              </w:rPr>
            </w:pPr>
            <w:r>
              <w:rPr>
                <w:sz w:val="20"/>
              </w:rPr>
              <w:t>公司方未對承攬商的安全資格與作業計畫進</w:t>
            </w:r>
          </w:p>
          <w:p>
            <w:pPr>
              <w:pStyle w:val="TableParagraph"/>
              <w:spacing w:line="339" w:lineRule="exact"/>
              <w:ind w:left="109"/>
              <w:rPr>
                <w:sz w:val="20"/>
              </w:rPr>
            </w:pPr>
            <w:r>
              <w:rPr>
                <w:sz w:val="20"/>
              </w:rPr>
              <w:t>行有效審查。</w:t>
            </w:r>
          </w:p>
        </w:tc>
      </w:tr>
    </w:tbl>
    <w:p>
      <w:pPr>
        <w:spacing w:after="0" w:line="339" w:lineRule="exact"/>
        <w:rPr>
          <w:sz w:val="20"/>
        </w:rPr>
        <w:sectPr>
          <w:pgSz w:w="11910" w:h="16840"/>
          <w:pgMar w:top="1420" w:bottom="280" w:left="1160" w:right="9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7"/>
        <w:gridCol w:w="3627"/>
        <w:gridCol w:w="4322"/>
      </w:tblGrid>
      <w:tr>
        <w:trPr>
          <w:trHeight w:val="692" w:hRule="atLeast"/>
        </w:trPr>
        <w:tc>
          <w:tcPr>
            <w:tcW w:w="153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32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93" w:val="left" w:leader="none"/>
              </w:tabs>
              <w:spacing w:line="346" w:lineRule="exact" w:before="0" w:after="0"/>
              <w:ind w:left="292" w:right="0" w:hanging="183"/>
              <w:jc w:val="left"/>
              <w:rPr>
                <w:sz w:val="20"/>
              </w:rPr>
            </w:pPr>
            <w:r>
              <w:rPr>
                <w:sz w:val="20"/>
              </w:rPr>
              <w:t>承攬商本身安全管理水平低下，未對其員工</w:t>
            </w:r>
          </w:p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提供必要的訓練與防護。</w:t>
            </w:r>
          </w:p>
        </w:tc>
      </w:tr>
      <w:tr>
        <w:trPr>
          <w:trHeight w:val="2075" w:hRule="atLeast"/>
        </w:trPr>
        <w:tc>
          <w:tcPr>
            <w:tcW w:w="1537" w:type="dxa"/>
          </w:tcPr>
          <w:p>
            <w:pPr>
              <w:pStyle w:val="TableParagraph"/>
              <w:spacing w:line="225" w:lineRule="auto" w:before="4"/>
              <w:ind w:right="144"/>
              <w:jc w:val="both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知識性錯誤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違規行為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例外性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627" w:type="dxa"/>
          </w:tcPr>
          <w:p>
            <w:pPr>
              <w:pStyle w:val="TableParagraph"/>
              <w:spacing w:line="225" w:lineRule="auto" w:before="4"/>
              <w:ind w:right="106" w:hanging="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公司方 </w:t>
            </w:r>
            <w:r>
              <w:rPr>
                <w:rFonts w:ascii="Segoe UI" w:eastAsia="Segoe UI"/>
                <w:b/>
                <w:sz w:val="20"/>
              </w:rPr>
              <w:t>4 </w:t>
            </w:r>
            <w:r>
              <w:rPr>
                <w:b/>
                <w:sz w:val="20"/>
              </w:rPr>
              <w:t>名救援者： </w:t>
            </w:r>
            <w:r>
              <w:rPr>
                <w:sz w:val="20"/>
              </w:rPr>
              <w:t>與前一個案例極為相似，這是一場典型的、出於救人本能的「例外性違規」或「知識性錯</w:t>
            </w:r>
          </w:p>
          <w:p>
            <w:pPr>
              <w:pStyle w:val="TableParagraph"/>
              <w:spacing w:line="342" w:lineRule="exact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誤」。他們奮不顧身地進入，卻因對</w:t>
            </w:r>
          </w:p>
          <w:p>
            <w:pPr>
              <w:pStyle w:val="TableParagraph"/>
              <w:spacing w:line="346" w:lineRule="exact"/>
              <w:jc w:val="both"/>
              <w:rPr>
                <w:sz w:val="20"/>
              </w:rPr>
            </w:pPr>
            <w:r>
              <w:rPr>
                <w:rFonts w:ascii="Segoe UI" w:hAnsi="Segoe UI" w:eastAsia="Segoe UI"/>
                <w:sz w:val="20"/>
              </w:rPr>
              <w:t>H₂S</w:t>
            </w:r>
            <w:r>
              <w:rPr>
                <w:rFonts w:ascii="Segoe UI" w:hAnsi="Segoe UI" w:eastAsia="Segoe UI"/>
                <w:spacing w:val="-9"/>
                <w:sz w:val="20"/>
              </w:rPr>
              <w:t> </w:t>
            </w:r>
            <w:r>
              <w:rPr>
                <w:sz w:val="20"/>
              </w:rPr>
              <w:t>危害的無知，而使自己成為罹災</w:t>
            </w:r>
          </w:p>
          <w:p>
            <w:pPr>
              <w:pStyle w:val="TableParagraph"/>
              <w:spacing w:line="327" w:lineRule="exact"/>
              <w:jc w:val="both"/>
              <w:rPr>
                <w:sz w:val="20"/>
              </w:rPr>
            </w:pPr>
            <w:r>
              <w:rPr>
                <w:sz w:val="20"/>
              </w:rPr>
              <w:t>者。</w:t>
            </w:r>
          </w:p>
        </w:tc>
        <w:tc>
          <w:tcPr>
            <w:tcW w:w="4322" w:type="dxa"/>
          </w:tcPr>
          <w:p>
            <w:pPr>
              <w:pStyle w:val="TableParagraph"/>
              <w:spacing w:line="34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訓練與文化：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3" w:val="left" w:leader="none"/>
              </w:tabs>
              <w:spacing w:line="346" w:lineRule="exact" w:before="0" w:after="0"/>
              <w:ind w:left="292" w:right="0" w:hanging="183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緊急應變訓練完全失敗</w:t>
            </w:r>
            <w:r>
              <w:rPr>
                <w:sz w:val="20"/>
              </w:rPr>
              <w:t>，公司方未教育員工</w:t>
            </w:r>
          </w:p>
          <w:p>
            <w:pPr>
              <w:pStyle w:val="TableParagraph"/>
              <w:spacing w:line="225" w:lineRule="auto" w:before="5"/>
              <w:ind w:left="109" w:right="199"/>
              <w:rPr>
                <w:sz w:val="20"/>
              </w:rPr>
            </w:pPr>
            <w:r>
              <w:rPr>
                <w:sz w:val="20"/>
              </w:rPr>
              <w:t>「局限空間救援是專業工作，非經訓練，絕對禁止進入」。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3" w:val="left" w:leader="none"/>
              </w:tabs>
              <w:spacing w:line="341" w:lineRule="exact" w:before="0" w:after="0"/>
              <w:ind w:left="292" w:right="0" w:hanging="183"/>
              <w:jc w:val="left"/>
              <w:rPr>
                <w:sz w:val="20"/>
              </w:rPr>
            </w:pPr>
            <w:r>
              <w:rPr>
                <w:sz w:val="20"/>
              </w:rPr>
              <w:t>公司安全文化中，未能建立「先確保自身安</w:t>
            </w:r>
          </w:p>
          <w:p>
            <w:pPr>
              <w:pStyle w:val="TableParagraph"/>
              <w:spacing w:line="327" w:lineRule="exact"/>
              <w:ind w:left="109"/>
              <w:rPr>
                <w:sz w:val="20"/>
              </w:rPr>
            </w:pPr>
            <w:r>
              <w:rPr>
                <w:sz w:val="20"/>
              </w:rPr>
              <w:t>全，再談救援」的最高原則。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21pt;width:474.85pt;height:1.55pt;mso-position-horizontal-relative:page;mso-position-vertical-relative:paragraph;z-index:-832;mso-wrap-distance-left:0;mso-wrap-distance-right:0" coordorigin="1276,452" coordsize="9497,31">
            <v:line style="position:absolute" from="1276,468" to="10772,468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768,455" stroked="true" strokeweight=".239pt" strokecolor="#9f9f9f">
              <v:stroke dashstyle="solid"/>
            </v:line>
            <v:rect style="position:absolute;left:10767;top:452;width:5;height:5" filled="true" fillcolor="#e2e2e2" stroked="false">
              <v:fill type="solid"/>
            </v:rect>
            <v:rect style="position:absolute;left:1076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76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768,480" stroked="true" strokeweight=".239pt" strokecolor="#e2e2e2">
              <v:stroke dashstyle="solid"/>
            </v:line>
            <v:rect style="position:absolute;left:10767;top:477;width:5;height:5" filled="true" fillcolor="#e2e2e2" stroked="false">
              <v:fill type="solid"/>
            </v:rect>
            <v:rect style="position:absolute;left:1076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ind w:left="131" w:right="6619"/>
        <w:jc w:val="center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根本原因分析與改善措施</w:t>
      </w:r>
    </w:p>
    <w:p>
      <w:pPr>
        <w:spacing w:line="415" w:lineRule="exact" w:before="0"/>
        <w:ind w:left="475" w:right="0" w:firstLine="0"/>
        <w:jc w:val="left"/>
        <w:rPr>
          <w:b/>
          <w:sz w:val="24"/>
        </w:rPr>
      </w:pP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一</w:t>
      </w:r>
      <w:r>
        <w:rPr>
          <w:rFonts w:ascii="Calibri" w:eastAsia="Calibri"/>
          <w:b/>
          <w:sz w:val="24"/>
        </w:rPr>
        <w:t>) </w:t>
      </w:r>
      <w:r>
        <w:rPr>
          <w:b/>
          <w:sz w:val="24"/>
        </w:rPr>
        <w:t>立即原因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7"/>
          <w:sz w:val="24"/>
        </w:rPr>
        <w:t>不安全的狀況： </w:t>
      </w:r>
      <w:r>
        <w:rPr>
          <w:sz w:val="24"/>
        </w:rPr>
        <w:t>廢水調整池內因廢水擾動而逸散出致命濃度的硫化氫</w:t>
      </w:r>
      <w:r>
        <w:rPr>
          <w:rFonts w:ascii="Calibri" w:hAnsi="Calibri" w:eastAsia="Calibri"/>
          <w:sz w:val="24"/>
        </w:rPr>
        <w:t>(H₂S)</w:t>
      </w:r>
      <w:r>
        <w:rPr>
          <w:sz w:val="24"/>
        </w:rPr>
        <w:t>氣體。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</w:pPr>
      <w:r>
        <w:rPr/>
        <w:t>不安全的行為：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承攬商勞工甲員在未有任何防護措施下，於局限空間內作業。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25" w:lineRule="auto" w:before="6" w:after="0"/>
        <w:ind w:left="1555" w:right="173" w:hanging="360"/>
        <w:jc w:val="both"/>
        <w:rPr>
          <w:sz w:val="24"/>
        </w:rPr>
      </w:pPr>
      <w:r>
        <w:rPr>
          <w:sz w:val="24"/>
        </w:rPr>
        <w:t>公司方 </w:t>
      </w:r>
      <w:r>
        <w:rPr>
          <w:rFonts w:ascii="Calibri" w:eastAsia="Calibri"/>
          <w:sz w:val="24"/>
        </w:rPr>
        <w:t>4</w:t>
      </w:r>
      <w:r>
        <w:rPr>
          <w:rFonts w:ascii="Calibri" w:eastAsia="Calibri"/>
          <w:spacing w:val="6"/>
          <w:sz w:val="24"/>
        </w:rPr>
        <w:t> </w:t>
      </w:r>
      <w:r>
        <w:rPr>
          <w:spacing w:val="-10"/>
          <w:sz w:val="24"/>
        </w:rPr>
        <w:t>名勞工在未有任何防護措施下，先後進入已發生事故的局限空間實施</w:t>
      </w:r>
      <w:r>
        <w:rPr>
          <w:sz w:val="24"/>
        </w:rPr>
        <w:t>無效救援。</w:t>
      </w:r>
    </w:p>
    <w:p>
      <w:pPr>
        <w:pStyle w:val="Heading1"/>
        <w:spacing w:line="409" w:lineRule="exact"/>
        <w:ind w:left="475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pacing w:val="4"/>
          <w:sz w:val="24"/>
        </w:rPr>
        <w:t>承攬商安全管理的系統性失敗 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本次事故的源頭</w:t>
      </w:r>
      <w:r>
        <w:rPr>
          <w:rFonts w:ascii="Calibri" w:eastAsia="Calibri"/>
          <w:b/>
          <w:sz w:val="24"/>
        </w:rPr>
        <w:t>)</w:t>
      </w:r>
      <w:r>
        <w:rPr>
          <w:b/>
          <w:sz w:val="24"/>
        </w:rPr>
        <w:t>：</w:t>
      </w:r>
    </w:p>
    <w:p>
      <w:pPr>
        <w:pStyle w:val="ListParagraph"/>
        <w:numPr>
          <w:ilvl w:val="1"/>
          <w:numId w:val="5"/>
        </w:numPr>
        <w:tabs>
          <w:tab w:pos="1556" w:val="left" w:leader="none"/>
        </w:tabs>
        <w:spacing w:line="225" w:lineRule="auto" w:before="6" w:after="0"/>
        <w:ind w:left="1555" w:right="110" w:hanging="360"/>
        <w:jc w:val="both"/>
        <w:rPr>
          <w:sz w:val="24"/>
        </w:rPr>
      </w:pPr>
      <w:r>
        <w:rPr>
          <w:spacing w:val="-8"/>
          <w:sz w:val="24"/>
        </w:rPr>
        <w:t>公司方做為原事業單位，未依法規對承攬商進行有效的安全管理。包含未進行</w:t>
      </w:r>
      <w:r>
        <w:rPr>
          <w:spacing w:val="-20"/>
          <w:sz w:val="24"/>
        </w:rPr>
        <w:t>共同作業之危害告知、未要求承攬商提出安全作業計畫、未對其作業進行監督， </w:t>
      </w:r>
      <w:r>
        <w:rPr>
          <w:sz w:val="24"/>
        </w:rPr>
        <w:t>導致不安全的作業行為在廠內發生。</w:t>
      </w:r>
    </w:p>
    <w:p>
      <w:pPr>
        <w:pStyle w:val="Heading1"/>
        <w:numPr>
          <w:ilvl w:val="0"/>
          <w:numId w:val="5"/>
        </w:numPr>
        <w:tabs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>
          <w:spacing w:val="3"/>
        </w:rPr>
        <w:t>緊急應變與救援計畫的完全缺失 </w:t>
      </w:r>
      <w:r>
        <w:rPr>
          <w:rFonts w:ascii="Calibri" w:eastAsia="Calibri"/>
        </w:rPr>
        <w:t>(</w:t>
      </w:r>
      <w:r>
        <w:rPr/>
        <w:t>災害擴大的主因</w:t>
      </w:r>
      <w:r>
        <w:rPr>
          <w:rFonts w:ascii="Calibri" w:eastAsia="Calibri"/>
        </w:rPr>
        <w:t>)</w:t>
      </w:r>
      <w:r>
        <w:rPr/>
        <w:t>：</w:t>
      </w:r>
    </w:p>
    <w:p>
      <w:pPr>
        <w:pStyle w:val="ListParagraph"/>
        <w:numPr>
          <w:ilvl w:val="1"/>
          <w:numId w:val="5"/>
        </w:numPr>
        <w:tabs>
          <w:tab w:pos="1556" w:val="left" w:leader="none"/>
        </w:tabs>
        <w:spacing w:line="225" w:lineRule="auto" w:before="7" w:after="0"/>
        <w:ind w:left="1555" w:right="170" w:hanging="360"/>
        <w:jc w:val="both"/>
        <w:rPr>
          <w:sz w:val="24"/>
        </w:rPr>
      </w:pPr>
      <w:r>
        <w:rPr>
          <w:spacing w:val="-5"/>
          <w:sz w:val="24"/>
        </w:rPr>
        <w:t>公司完全未建立針對局限空間或承攬商意外的緊急應變計畫。這導致事故發生</w:t>
      </w:r>
      <w:r>
        <w:rPr>
          <w:spacing w:val="-21"/>
          <w:sz w:val="24"/>
        </w:rPr>
        <w:t>時，現場無人指揮，員工只能憑本能反應，造成了毀滅性的「救援者連鎖死亡」悲劇。</w:t>
      </w:r>
    </w:p>
    <w:p>
      <w:pPr>
        <w:pStyle w:val="Heading1"/>
        <w:numPr>
          <w:ilvl w:val="0"/>
          <w:numId w:val="5"/>
        </w:numPr>
        <w:tabs>
          <w:tab w:pos="836" w:val="left" w:leader="none"/>
        </w:tabs>
        <w:spacing w:line="409" w:lineRule="exact" w:before="0" w:after="0"/>
        <w:ind w:left="835" w:right="0" w:hanging="360"/>
        <w:jc w:val="left"/>
      </w:pPr>
      <w:r>
        <w:rPr/>
        <w:t>安全衛生教育訓練的嚴重不足：</w:t>
      </w:r>
    </w:p>
    <w:p>
      <w:pPr>
        <w:pStyle w:val="ListParagraph"/>
        <w:numPr>
          <w:ilvl w:val="1"/>
          <w:numId w:val="5"/>
        </w:numPr>
        <w:tabs>
          <w:tab w:pos="1556" w:val="left" w:leader="none"/>
        </w:tabs>
        <w:spacing w:line="225" w:lineRule="auto" w:before="6" w:after="0"/>
        <w:ind w:left="1555" w:right="168" w:hanging="360"/>
        <w:jc w:val="both"/>
        <w:rPr>
          <w:sz w:val="24"/>
        </w:rPr>
      </w:pPr>
      <w:r>
        <w:rPr>
          <w:spacing w:val="-14"/>
          <w:sz w:val="24"/>
        </w:rPr>
        <w:t>不論是公司方或承攬商員工，皆嚴重缺乏局限空間作業危害、硫化氫</w:t>
      </w:r>
      <w:r>
        <w:rPr>
          <w:rFonts w:ascii="Calibri" w:hAnsi="Calibri" w:eastAsia="Calibri"/>
          <w:sz w:val="24"/>
        </w:rPr>
        <w:t>(H₂S)</w:t>
      </w:r>
      <w:r>
        <w:rPr>
          <w:spacing w:val="-43"/>
          <w:sz w:val="24"/>
        </w:rPr>
        <w:t>毒性，</w:t>
      </w:r>
      <w:r>
        <w:rPr>
          <w:spacing w:val="-58"/>
          <w:sz w:val="24"/>
        </w:rPr>
        <w:t> </w:t>
      </w:r>
      <w:r>
        <w:rPr>
          <w:sz w:val="24"/>
        </w:rPr>
        <w:t>以及最重要的「緊急應變正確程序」之相關知識。</w:t>
      </w:r>
    </w:p>
    <w:p>
      <w:pPr>
        <w:pStyle w:val="Heading1"/>
        <w:spacing w:line="410" w:lineRule="exact"/>
        <w:ind w:left="475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  <w:spacing w:val="3"/>
        </w:rPr>
        <w:t>) 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z w:val="24"/>
        </w:rPr>
        <w:t>制度層面：</w:t>
      </w:r>
    </w:p>
    <w:p>
      <w:pPr>
        <w:pStyle w:val="ListParagraph"/>
        <w:numPr>
          <w:ilvl w:val="0"/>
          <w:numId w:val="6"/>
        </w:numPr>
        <w:tabs>
          <w:tab w:pos="1556" w:val="left" w:leader="none"/>
        </w:tabs>
        <w:spacing w:line="225" w:lineRule="auto" w:before="6" w:after="0"/>
        <w:ind w:left="1555" w:right="173" w:hanging="360"/>
        <w:jc w:val="both"/>
        <w:rPr>
          <w:sz w:val="24"/>
        </w:rPr>
      </w:pPr>
      <w:r>
        <w:rPr>
          <w:b/>
          <w:sz w:val="24"/>
        </w:rPr>
        <w:t>立即建立並嚴格執行「承攬商安全衛生管理計畫」： </w:t>
      </w:r>
      <w:r>
        <w:rPr>
          <w:spacing w:val="-2"/>
          <w:sz w:val="24"/>
        </w:rPr>
        <w:t>此為最優先事項。未來</w:t>
      </w:r>
      <w:r>
        <w:rPr>
          <w:spacing w:val="-12"/>
          <w:sz w:val="24"/>
        </w:rPr>
        <w:t>所有承攬作業，皆須進行事前安全審查、共同危害辨識、作業許可申請、安全</w:t>
      </w:r>
      <w:r>
        <w:rPr>
          <w:sz w:val="24"/>
        </w:rPr>
        <w:t>監督與事後評鑑，確保承攬商的安全行為符合公司與法規標準。</w:t>
      </w:r>
    </w:p>
    <w:p>
      <w:pPr>
        <w:spacing w:after="0" w:line="225" w:lineRule="auto"/>
        <w:jc w:val="both"/>
        <w:rPr>
          <w:sz w:val="24"/>
        </w:rPr>
        <w:sectPr>
          <w:pgSz w:w="11910" w:h="16840"/>
          <w:pgMar w:top="1420" w:bottom="280" w:left="1160" w:right="960"/>
        </w:sectPr>
      </w:pPr>
    </w:p>
    <w:p>
      <w:pPr>
        <w:pStyle w:val="ListParagraph"/>
        <w:numPr>
          <w:ilvl w:val="0"/>
          <w:numId w:val="6"/>
        </w:numPr>
        <w:tabs>
          <w:tab w:pos="1556" w:val="left" w:leader="none"/>
        </w:tabs>
        <w:spacing w:line="225" w:lineRule="auto" w:before="47" w:after="0"/>
        <w:ind w:left="1555" w:right="173" w:hanging="360"/>
        <w:jc w:val="both"/>
        <w:rPr>
          <w:sz w:val="24"/>
        </w:rPr>
      </w:pPr>
      <w:r>
        <w:rPr>
          <w:b/>
          <w:sz w:val="24"/>
        </w:rPr>
        <w:t>建立全廠適用的「局限空間管理」與「緊急應變計畫」： </w:t>
      </w:r>
      <w:r>
        <w:rPr>
          <w:spacing w:val="-2"/>
          <w:sz w:val="24"/>
        </w:rPr>
        <w:t>計畫必須涵蓋所有</w:t>
      </w:r>
      <w:r>
        <w:rPr>
          <w:spacing w:val="-10"/>
          <w:sz w:val="24"/>
        </w:rPr>
        <w:t>員工與承攬商。應強力宣導並明文規定「</w:t>
      </w:r>
      <w:r>
        <w:rPr>
          <w:b/>
          <w:spacing w:val="-1"/>
          <w:sz w:val="24"/>
        </w:rPr>
        <w:t>禁止任何人員在無防護下對局限空間</w:t>
      </w:r>
      <w:r>
        <w:rPr>
          <w:b/>
          <w:sz w:val="24"/>
        </w:rPr>
        <w:t>事故進行救援</w:t>
      </w:r>
      <w:r>
        <w:rPr>
          <w:sz w:val="24"/>
        </w:rPr>
        <w:t>」，並建立清晰的通報與應變流程。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/>
        <w:t>設備層面：</w:t>
      </w:r>
    </w:p>
    <w:p>
      <w:pPr>
        <w:pStyle w:val="BodyText"/>
        <w:spacing w:line="225" w:lineRule="auto" w:before="6"/>
        <w:ind w:left="1555" w:right="173" w:hanging="360"/>
        <w:jc w:val="both"/>
      </w:pPr>
      <w:r>
        <w:rPr>
          <w:rFonts w:ascii="Calibri" w:eastAsia="Calibri"/>
        </w:rPr>
        <w:t>1</w:t>
      </w:r>
      <w:r>
        <w:rPr>
          <w:rFonts w:ascii="Calibri" w:eastAsia="Calibri"/>
          <w:spacing w:val="10"/>
        </w:rPr>
        <w:t>. </w:t>
      </w:r>
      <w:r>
        <w:rPr>
          <w:b/>
        </w:rPr>
        <w:t>補足安全與救援設備： </w:t>
      </w:r>
      <w:r>
        <w:rPr>
          <w:spacing w:val="-1"/>
        </w:rPr>
        <w:t>採購並定期維護校正氣體偵測器、通風設備、供氣式</w:t>
      </w:r>
      <w:r>
        <w:rPr/>
        <w:t>呼吸防護具</w:t>
      </w:r>
      <w:r>
        <w:rPr>
          <w:rFonts w:ascii="Calibri" w:eastAsia="Calibri"/>
        </w:rPr>
        <w:t>(SCBA)</w:t>
      </w:r>
      <w:r>
        <w:rPr>
          <w:spacing w:val="-6"/>
        </w:rPr>
        <w:t>、三腳架、捲揚器、救生索等全套救援器材，並確保在承攬</w:t>
      </w:r>
      <w:r>
        <w:rPr/>
        <w:t>商作業時能隨時取用。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7"/>
        </w:numPr>
        <w:tabs>
          <w:tab w:pos="1556" w:val="left" w:leader="none"/>
        </w:tabs>
        <w:spacing w:line="225" w:lineRule="auto" w:before="6" w:after="0"/>
        <w:ind w:left="1555" w:right="173" w:hanging="360"/>
        <w:jc w:val="both"/>
        <w:rPr>
          <w:sz w:val="24"/>
        </w:rPr>
      </w:pPr>
      <w:r>
        <w:rPr>
          <w:b/>
          <w:sz w:val="24"/>
        </w:rPr>
        <w:t>實施全面性教育訓練，特別是承攬管理與應變： </w:t>
      </w:r>
      <w:r>
        <w:rPr>
          <w:spacing w:val="-2"/>
          <w:sz w:val="24"/>
        </w:rPr>
        <w:t>對管理、監督人員實施「承</w:t>
      </w:r>
      <w:r>
        <w:rPr>
          <w:spacing w:val="-13"/>
          <w:sz w:val="24"/>
        </w:rPr>
        <w:t>攬商安全管理」訓練。對全體員工</w:t>
      </w:r>
      <w:r>
        <w:rPr>
          <w:sz w:val="24"/>
        </w:rPr>
        <w:t>（包含承攬商</w:t>
      </w:r>
      <w:r>
        <w:rPr>
          <w:spacing w:val="-50"/>
          <w:sz w:val="24"/>
        </w:rPr>
        <w:t>）</w:t>
      </w:r>
      <w:r>
        <w:rPr>
          <w:spacing w:val="-16"/>
          <w:sz w:val="24"/>
        </w:rPr>
        <w:t>實施「局限空間危害」與「緊</w:t>
      </w:r>
      <w:r>
        <w:rPr>
          <w:sz w:val="24"/>
        </w:rPr>
        <w:t>急應變」訓練，並將「禁止盲目救援」作為訓練與宣導的核心。</w:t>
      </w:r>
    </w:p>
    <w:p>
      <w:pPr>
        <w:pStyle w:val="ListParagraph"/>
        <w:numPr>
          <w:ilvl w:val="0"/>
          <w:numId w:val="7"/>
        </w:numPr>
        <w:tabs>
          <w:tab w:pos="1556" w:val="left" w:leader="none"/>
        </w:tabs>
        <w:spacing w:line="225" w:lineRule="auto" w:before="1" w:after="0"/>
        <w:ind w:left="1555" w:right="174" w:hanging="360"/>
        <w:jc w:val="both"/>
        <w:rPr>
          <w:sz w:val="24"/>
        </w:rPr>
      </w:pPr>
      <w:r>
        <w:rPr>
          <w:b/>
          <w:spacing w:val="1"/>
          <w:sz w:val="24"/>
        </w:rPr>
        <w:t>實施聯合演練： </w:t>
      </w:r>
      <w:r>
        <w:rPr>
          <w:spacing w:val="-1"/>
          <w:sz w:val="24"/>
        </w:rPr>
        <w:t>定期與承攬商共同舉辦局限空間緊急應變演練，確保雙方人</w:t>
      </w:r>
      <w:r>
        <w:rPr>
          <w:sz w:val="24"/>
        </w:rPr>
        <w:t>員都熟悉通報流程、自身角色與應變方式，從而避免悲劇重演。</w:t>
      </w:r>
    </w:p>
    <w:sectPr>
      <w:pgSz w:w="11910" w:h="16840"/>
      <w:pgMar w:top="1380" w:bottom="280" w:left="11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5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1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4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1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5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8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92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01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2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3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04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06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07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0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09" w:hanging="18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92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01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2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3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04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06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07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0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09" w:hanging="18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92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01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2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3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04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06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07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0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09" w:hanging="18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8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15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5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2025-07-25T00:39:09Z</dcterms:created>
  <dcterms:modified xsi:type="dcterms:W3CDTF">2025-07-25T00:39:09Z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