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28"/>
        <w:ind w:left="3664" w:right="3663"/>
        <w:jc w:val="center"/>
      </w:pPr>
      <w:r>
        <w:rPr/>
        <w:t>局限案例 </w:t>
      </w:r>
      <w:r>
        <w:rPr>
          <w:rFonts w:ascii="Calibri" w:eastAsia="Calibri"/>
        </w:rPr>
        <w:t>5_</w:t>
      </w:r>
      <w:r>
        <w:rPr/>
        <w:t>分析參考</w:t>
      </w:r>
    </w:p>
    <w:p>
      <w:pPr>
        <w:spacing w:before="267"/>
        <w:ind w:left="797" w:right="0" w:firstLine="0"/>
        <w:jc w:val="left"/>
        <w:rPr>
          <w:b/>
          <w:sz w:val="24"/>
        </w:rPr>
      </w:pPr>
      <w:r>
        <w:rPr>
          <w:b/>
          <w:sz w:val="24"/>
        </w:rPr>
        <w:t>電力電子設備批發業</w:t>
      </w:r>
      <w:r>
        <w:rPr>
          <w:rFonts w:ascii="Calibri" w:eastAsia="Calibri"/>
          <w:b/>
          <w:sz w:val="24"/>
        </w:rPr>
        <w:t>-</w:t>
      </w:r>
      <w:r>
        <w:rPr>
          <w:b/>
          <w:sz w:val="24"/>
        </w:rPr>
        <w:t>從事顯影液桶槽檢查作業發生吸入有害物災害調查分析</w:t>
      </w:r>
    </w:p>
    <w:p>
      <w:pPr>
        <w:pStyle w:val="BodyText"/>
        <w:spacing w:line="225" w:lineRule="auto" w:before="286"/>
        <w:ind w:left="475" w:right="228"/>
        <w:jc w:val="both"/>
      </w:pPr>
      <w:r>
        <w:rPr>
          <w:b/>
        </w:rPr>
        <w:t>重要提醒： </w:t>
      </w:r>
      <w:r>
        <w:rPr/>
        <w:t>本分析報告是基於所提供案例的有限資訊，並結合事故調查的專業方法論進行。部分內容為根據邏輯與經驗所做的合理假設，並會明確標示為</w:t>
      </w:r>
      <w:r>
        <w:rPr>
          <w:rFonts w:ascii="Calibri" w:eastAsia="Calibri"/>
        </w:rPr>
        <w:t>**(</w:t>
      </w:r>
      <w:r>
        <w:rPr/>
        <w:t>假設</w:t>
      </w:r>
      <w:r>
        <w:rPr>
          <w:rFonts w:ascii="Calibri" w:eastAsia="Calibri"/>
        </w:rPr>
        <w:t>)**</w:t>
      </w:r>
      <w:r>
        <w:rPr/>
        <w:t>。</w:t>
      </w:r>
      <w:r>
        <w:rPr>
          <w:spacing w:val="-1"/>
        </w:rPr>
        <w:t>一場實際、完整的事故調查，需要更詳盡的現場勘查、人員訪談與物證檢驗來支持所</w:t>
      </w:r>
      <w:r>
        <w:rPr/>
        <w:t>有結論。</w:t>
      </w:r>
    </w:p>
    <w:p>
      <w:pPr>
        <w:pStyle w:val="BodyText"/>
        <w:spacing w:before="5"/>
        <w:rPr>
          <w:sz w:val="6"/>
        </w:rPr>
      </w:pPr>
      <w:r>
        <w:rPr/>
        <w:pict>
          <v:group style="position:absolute;margin-left:63.779999pt;margin-top:7.7275pt;width:467.85pt;height:1.55pt;mso-position-horizontal-relative:page;mso-position-vertical-relative:paragraph;z-index:-1024;mso-wrap-distance-left:0;mso-wrap-distance-right:0" coordorigin="1276,155" coordsize="9357,31">
            <v:line style="position:absolute" from="1276,170" to="10632,170" stroked="true" strokeweight="1.5pt" strokecolor="#9f9f9f">
              <v:stroke dashstyle="solid"/>
            </v:line>
            <v:rect style="position:absolute;left:1275;top:154;width:5;height:5" filled="true" fillcolor="#9f9f9f" stroked="false">
              <v:fill type="solid"/>
            </v:rect>
            <v:rect style="position:absolute;left:1275;top:154;width:5;height:5" filled="true" fillcolor="#9f9f9f" stroked="false">
              <v:fill type="solid"/>
            </v:rect>
            <v:line style="position:absolute" from="1280,157" to="10627,157" stroked="true" strokeweight=".24pt" strokecolor="#9f9f9f">
              <v:stroke dashstyle="solid"/>
            </v:line>
            <v:rect style="position:absolute;left:10627;top:154;width:5;height:5" filled="true" fillcolor="#e2e2e2" stroked="false">
              <v:fill type="solid"/>
            </v:rect>
            <v:rect style="position:absolute;left:10627;top:154;width:5;height:5" filled="true" fillcolor="#9f9f9f" stroked="false">
              <v:fill type="solid"/>
            </v:rect>
            <v:rect style="position:absolute;left:1275;top:159;width:5;height:21" filled="true" fillcolor="#9f9f9f" stroked="false">
              <v:fill type="solid"/>
            </v:rect>
            <v:rect style="position:absolute;left:10627;top:159;width:5;height:21" filled="true" fillcolor="#e2e2e2" stroked="false">
              <v:fill type="solid"/>
            </v:rect>
            <v:rect style="position:absolute;left:1275;top:180;width:5;height:5" filled="true" fillcolor="#9f9f9f" stroked="false">
              <v:fill type="solid"/>
            </v:rect>
            <v:rect style="position:absolute;left:1275;top:180;width:5;height:5" filled="true" fillcolor="#e2e2e2" stroked="false">
              <v:fill type="solid"/>
            </v:rect>
            <v:line style="position:absolute" from="1280,183" to="10627,183" stroked="true" strokeweight=".24pt" strokecolor="#e2e2e2">
              <v:stroke dashstyle="solid"/>
            </v:line>
            <v:rect style="position:absolute;left:10627;top:180;width:5;height:5" filled="true" fillcolor="#e2e2e2" stroked="false">
              <v:fill type="solid"/>
            </v:rect>
            <v:rect style="position:absolute;left:10627;top:180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</w:pPr>
      <w:r>
        <w:rPr/>
        <w:t>事故基本資料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rFonts w:ascii="Calibri" w:hAnsi="Calibri" w:eastAsia="Calibri"/>
          <w:sz w:val="24"/>
        </w:rPr>
      </w:pPr>
      <w:r>
        <w:rPr>
          <w:b/>
          <w:sz w:val="24"/>
        </w:rPr>
        <w:t>行業分類： </w:t>
      </w:r>
      <w:r>
        <w:rPr>
          <w:sz w:val="24"/>
        </w:rPr>
        <w:t>電力電子設備批發業 </w:t>
      </w:r>
      <w:r>
        <w:rPr>
          <w:rFonts w:ascii="Calibri" w:hAnsi="Calibri" w:eastAsia="Calibri"/>
          <w:sz w:val="24"/>
        </w:rPr>
        <w:t>(</w:t>
      </w:r>
      <w:r>
        <w:rPr>
          <w:sz w:val="24"/>
        </w:rPr>
        <w:t>此處依案例原文，但作業地點於電子廠</w:t>
      </w:r>
      <w:r>
        <w:rPr>
          <w:rFonts w:ascii="Calibri" w:hAnsi="Calibri" w:eastAsia="Calibri"/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災害類型： </w:t>
      </w:r>
      <w:r>
        <w:rPr>
          <w:sz w:val="24"/>
        </w:rPr>
        <w:t>中毒、缺氧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媒介物： </w:t>
      </w:r>
      <w:r>
        <w:rPr>
          <w:sz w:val="24"/>
        </w:rPr>
        <w:t>有害物 </w:t>
      </w:r>
      <w:r>
        <w:rPr>
          <w:rFonts w:ascii="Calibri" w:hAnsi="Calibri" w:eastAsia="Calibri"/>
          <w:sz w:val="24"/>
        </w:rPr>
        <w:t>(</w:t>
      </w:r>
      <w:r>
        <w:rPr>
          <w:sz w:val="24"/>
        </w:rPr>
        <w:t>顯影液揮發氣體</w:t>
      </w:r>
      <w:r>
        <w:rPr>
          <w:rFonts w:ascii="Calibri" w:hAnsi="Calibri" w:eastAsia="Calibri"/>
          <w:sz w:val="24"/>
        </w:rPr>
        <w:t>)</w:t>
      </w:r>
      <w:r>
        <w:rPr>
          <w:sz w:val="24"/>
        </w:rPr>
        <w:t>、缺氧空氣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罹災情形： </w:t>
      </w:r>
      <w:r>
        <w:rPr>
          <w:sz w:val="24"/>
        </w:rPr>
        <w:t>死亡 </w:t>
      </w:r>
      <w:r>
        <w:rPr>
          <w:rFonts w:ascii="Calibri" w:hAnsi="Calibri" w:eastAsia="Calibri"/>
          <w:sz w:val="24"/>
        </w:rPr>
        <w:t>2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人、受傷 </w:t>
      </w:r>
      <w:r>
        <w:rPr>
          <w:rFonts w:ascii="Calibri" w:hAnsi="Calibri" w:eastAsia="Calibri"/>
          <w:sz w:val="24"/>
        </w:rPr>
        <w:t>3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人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pacing w:val="9"/>
          <w:sz w:val="24"/>
        </w:rPr>
        <w:t>事故時間： </w:t>
      </w:r>
      <w:r>
        <w:rPr>
          <w:rFonts w:ascii="Calibri" w:hAnsi="Calibri" w:eastAsia="Calibri"/>
          <w:sz w:val="24"/>
        </w:rPr>
        <w:t>98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年 </w:t>
      </w:r>
      <w:r>
        <w:rPr>
          <w:rFonts w:ascii="Calibri" w:hAnsi="Calibri" w:eastAsia="Calibri"/>
          <w:sz w:val="24"/>
        </w:rPr>
        <w:t>3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月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事故地點： </w:t>
      </w:r>
      <w:r>
        <w:rPr>
          <w:sz w:val="24"/>
        </w:rPr>
        <w:t>某電子廠，顯影液桶槽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25" w:lineRule="auto" w:before="6" w:after="0"/>
        <w:ind w:left="835" w:right="228" w:hanging="360"/>
        <w:jc w:val="left"/>
        <w:rPr>
          <w:sz w:val="24"/>
        </w:rPr>
      </w:pPr>
      <w:r>
        <w:rPr>
          <w:b/>
          <w:sz w:val="24"/>
        </w:rPr>
        <w:t>事故摘要： </w:t>
      </w:r>
      <w:r>
        <w:rPr>
          <w:spacing w:val="-1"/>
          <w:sz w:val="24"/>
        </w:rPr>
        <w:t>承攬商勞工甲員於排空後的顯影液桶槽內進行檢查時不慎跌倒。在旁</w:t>
      </w:r>
      <w:r>
        <w:rPr>
          <w:sz w:val="24"/>
        </w:rPr>
        <w:t>的四名同事見狀後，立即進入桶槽搶救。包含甲員在內的五名勞工，皆因吸入及接觸顯影液、以及吸入缺氧空氣而受傷。經送醫急救後，其中二人宣告不治，另外三人留院觀察後出院。事後檢測發現槽內氧氣濃度嚴重不足，且呈分層現象。</w:t>
      </w:r>
    </w:p>
    <w:p>
      <w:pPr>
        <w:pStyle w:val="BodyText"/>
        <w:spacing w:before="5"/>
        <w:rPr>
          <w:sz w:val="6"/>
        </w:rPr>
      </w:pPr>
      <w:r>
        <w:rPr/>
        <w:pict>
          <v:group style="position:absolute;margin-left:63.779999pt;margin-top:7.767074pt;width:467.85pt;height:1.55pt;mso-position-horizontal-relative:page;mso-position-vertical-relative:paragraph;z-index:-1000;mso-wrap-distance-left:0;mso-wrap-distance-right:0" coordorigin="1276,155" coordsize="9357,31">
            <v:line style="position:absolute" from="1276,170" to="10632,170" stroked="true" strokeweight="1.5pt" strokecolor="#9f9f9f">
              <v:stroke dashstyle="solid"/>
            </v:line>
            <v:rect style="position:absolute;left:1275;top:155;width:5;height:5" filled="true" fillcolor="#9f9f9f" stroked="false">
              <v:fill type="solid"/>
            </v:rect>
            <v:rect style="position:absolute;left:1275;top:155;width:5;height:5" filled="true" fillcolor="#9f9f9f" stroked="false">
              <v:fill type="solid"/>
            </v:rect>
            <v:line style="position:absolute" from="1280,158" to="10627,158" stroked="true" strokeweight=".24pt" strokecolor="#9f9f9f">
              <v:stroke dashstyle="solid"/>
            </v:line>
            <v:rect style="position:absolute;left:10627;top:155;width:5;height:5" filled="true" fillcolor="#e2e2e2" stroked="false">
              <v:fill type="solid"/>
            </v:rect>
            <v:rect style="position:absolute;left:10627;top:155;width:5;height:5" filled="true" fillcolor="#9f9f9f" stroked="false">
              <v:fill type="solid"/>
            </v:rect>
            <v:rect style="position:absolute;left:1275;top:160;width:5;height:21" filled="true" fillcolor="#9f9f9f" stroked="false">
              <v:fill type="solid"/>
            </v:rect>
            <v:rect style="position:absolute;left:10627;top:160;width:5;height:21" filled="true" fillcolor="#e2e2e2" stroked="false">
              <v:fill type="solid"/>
            </v:rect>
            <v:rect style="position:absolute;left:1275;top:180;width:5;height:5" filled="true" fillcolor="#9f9f9f" stroked="false">
              <v:fill type="solid"/>
            </v:rect>
            <v:rect style="position:absolute;left:1275;top:180;width:5;height:5" filled="true" fillcolor="#e2e2e2" stroked="false">
              <v:fill type="solid"/>
            </v:rect>
            <v:line style="position:absolute" from="1280,183" to="10627,183" stroked="true" strokeweight=".24pt" strokecolor="#e2e2e2">
              <v:stroke dashstyle="solid"/>
            </v:line>
            <v:rect style="position:absolute;left:10627;top:180;width:5;height:5" filled="true" fillcolor="#e2e2e2" stroked="false">
              <v:fill type="solid"/>
            </v:rect>
            <v:rect style="position:absolute;left:10627;top:180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6"/>
        <w:rPr>
          <w:rFonts w:ascii="Calibri" w:eastAsia="Calibri"/>
        </w:rPr>
      </w:pPr>
      <w:r>
        <w:rPr/>
        <w:t>一</w:t>
      </w:r>
      <w:r>
        <w:rPr>
          <w:rFonts w:ascii="Calibri" w:eastAsia="Calibri"/>
        </w:rPr>
        <w:t>. </w:t>
      </w:r>
      <w:r>
        <w:rPr/>
        <w:t>事件成因分析圖  </w:t>
      </w:r>
      <w:r>
        <w:rPr>
          <w:rFonts w:ascii="Calibri" w:eastAsia="Calibri"/>
        </w:rPr>
        <w:t>(ECFC)</w:t>
      </w:r>
    </w:p>
    <w:p>
      <w:pPr>
        <w:pStyle w:val="BodyText"/>
        <w:spacing w:line="428" w:lineRule="exact"/>
        <w:ind w:left="475"/>
      </w:pPr>
      <w:r>
        <w:rPr/>
        <w:t>此圖將事故發生的事件及相關條件按時間順序呈現，以視覺化方式釐清因果關係。</w:t>
      </w: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834740</wp:posOffset>
            </wp:positionH>
            <wp:positionV relativeFrom="paragraph">
              <wp:posOffset>309500</wp:posOffset>
            </wp:positionV>
            <wp:extent cx="5842503" cy="1321308"/>
            <wp:effectExtent l="0" t="0" r="0" b="0"/>
            <wp:wrapTopAndBottom/>
            <wp:docPr id="1" name="image1.jpeg" descr="一張含有 文字, 螢幕擷取畫面, 圖表, 行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503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group style="position:absolute;margin-left:63.779999pt;margin-top:23.374813pt;width:467.85pt;height:1.55pt;mso-position-horizontal-relative:page;mso-position-vertical-relative:paragraph;z-index:-952;mso-wrap-distance-left:0;mso-wrap-distance-right:0" coordorigin="1276,467" coordsize="9357,31">
            <v:line style="position:absolute" from="1276,482" to="10632,482" stroked="true" strokeweight="1.5pt" strokecolor="#9f9f9f">
              <v:stroke dashstyle="solid"/>
            </v:line>
            <v:rect style="position:absolute;left:1275;top:467;width:5;height:5" filled="true" fillcolor="#9f9f9f" stroked="false">
              <v:fill type="solid"/>
            </v:rect>
            <v:rect style="position:absolute;left:1275;top:467;width:5;height:5" filled="true" fillcolor="#9f9f9f" stroked="false">
              <v:fill type="solid"/>
            </v:rect>
            <v:line style="position:absolute" from="1280,470" to="10627,470" stroked="true" strokeweight=".239pt" strokecolor="#9f9f9f">
              <v:stroke dashstyle="solid"/>
            </v:line>
            <v:rect style="position:absolute;left:10627;top:467;width:5;height:5" filled="true" fillcolor="#e2e2e2" stroked="false">
              <v:fill type="solid"/>
            </v:rect>
            <v:rect style="position:absolute;left:10627;top:467;width:5;height:5" filled="true" fillcolor="#9f9f9f" stroked="false">
              <v:fill type="solid"/>
            </v:rect>
            <v:rect style="position:absolute;left:1275;top:472;width:5;height:21" filled="true" fillcolor="#9f9f9f" stroked="false">
              <v:fill type="solid"/>
            </v:rect>
            <v:rect style="position:absolute;left:10627;top:472;width:5;height:21" filled="true" fillcolor="#e2e2e2" stroked="false">
              <v:fill type="solid"/>
            </v:rect>
            <v:rect style="position:absolute;left:1275;top:492;width:5;height:5" filled="true" fillcolor="#9f9f9f" stroked="false">
              <v:fill type="solid"/>
            </v:rect>
            <v:rect style="position:absolute;left:1275;top:492;width:5;height:5" filled="true" fillcolor="#e2e2e2" stroked="false">
              <v:fill type="solid"/>
            </v:rect>
            <v:line style="position:absolute" from="1280,495" to="10627,495" stroked="true" strokeweight=".239pt" strokecolor="#e2e2e2">
              <v:stroke dashstyle="solid"/>
            </v:line>
            <v:rect style="position:absolute;left:10627;top:492;width:5;height:5" filled="true" fillcolor="#e2e2e2" stroked="false">
              <v:fill type="solid"/>
            </v:rect>
            <v:rect style="position:absolute;left:10627;top:492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</w:pPr>
      <w:r>
        <w:rPr/>
        <w:t>二</w:t>
      </w:r>
      <w:r>
        <w:rPr>
          <w:rFonts w:ascii="Calibri" w:eastAsia="Calibri"/>
        </w:rPr>
        <w:t>. </w:t>
      </w:r>
      <w:r>
        <w:rPr/>
        <w:t>時間序列表</w:t>
      </w:r>
    </w:p>
    <w:p>
      <w:pPr>
        <w:pStyle w:val="BodyText"/>
        <w:spacing w:line="428" w:lineRule="exact"/>
        <w:ind w:left="475"/>
      </w:pPr>
      <w:r>
        <w:rPr/>
        <w:t>此表以表格形式記錄事故發生的先後順序和相關條件，作為 </w:t>
      </w:r>
      <w:r>
        <w:rPr>
          <w:rFonts w:ascii="Calibri" w:eastAsia="Calibri"/>
        </w:rPr>
        <w:t>ECFC </w:t>
      </w:r>
      <w:r>
        <w:rPr/>
        <w:t>的輔助。</w:t>
      </w:r>
    </w:p>
    <w:p>
      <w:pPr>
        <w:spacing w:after="0" w:line="428" w:lineRule="exact"/>
        <w:sectPr>
          <w:type w:val="continuous"/>
          <w:pgSz w:w="11910" w:h="16840"/>
          <w:pgMar w:top="1380" w:bottom="280" w:left="1160" w:right="116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2"/>
        <w:gridCol w:w="2314"/>
        <w:gridCol w:w="656"/>
        <w:gridCol w:w="962"/>
        <w:gridCol w:w="2353"/>
        <w:gridCol w:w="2244"/>
      </w:tblGrid>
      <w:tr>
        <w:trPr>
          <w:trHeight w:val="1037" w:hRule="atLeast"/>
        </w:trPr>
        <w:tc>
          <w:tcPr>
            <w:tcW w:w="822" w:type="dxa"/>
          </w:tcPr>
          <w:p>
            <w:pPr>
              <w:pStyle w:val="TableParagraph"/>
              <w:spacing w:line="225" w:lineRule="auto" w:before="4"/>
              <w:ind w:left="107" w:right="102"/>
              <w:rPr>
                <w:sz w:val="20"/>
              </w:rPr>
            </w:pPr>
            <w:r>
              <w:rPr>
                <w:sz w:val="20"/>
              </w:rPr>
              <w:t>日期時間</w:t>
            </w:r>
          </w:p>
        </w:tc>
        <w:tc>
          <w:tcPr>
            <w:tcW w:w="2314" w:type="dxa"/>
          </w:tcPr>
          <w:p>
            <w:pPr>
              <w:pStyle w:val="TableParagraph"/>
              <w:spacing w:line="356" w:lineRule="exact"/>
              <w:ind w:left="109"/>
              <w:rPr>
                <w:sz w:val="20"/>
              </w:rPr>
            </w:pPr>
            <w:r>
              <w:rPr>
                <w:sz w:val="20"/>
              </w:rPr>
              <w:t>事件描述</w:t>
            </w:r>
          </w:p>
        </w:tc>
        <w:tc>
          <w:tcPr>
            <w:tcW w:w="656" w:type="dxa"/>
          </w:tcPr>
          <w:p>
            <w:pPr>
              <w:pStyle w:val="TableParagraph"/>
              <w:spacing w:line="346" w:lineRule="exact"/>
              <w:ind w:left="107"/>
              <w:rPr>
                <w:sz w:val="20"/>
              </w:rPr>
            </w:pPr>
            <w:r>
              <w:rPr>
                <w:sz w:val="20"/>
              </w:rPr>
              <w:t>事實</w:t>
            </w:r>
          </w:p>
          <w:p>
            <w:pPr>
              <w:pStyle w:val="TableParagraph"/>
              <w:spacing w:line="346" w:lineRule="exact"/>
              <w:ind w:left="107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假</w:t>
            </w:r>
          </w:p>
          <w:p>
            <w:pPr>
              <w:pStyle w:val="TableParagraph"/>
              <w:spacing w:line="326" w:lineRule="exact"/>
              <w:ind w:left="107"/>
              <w:rPr>
                <w:sz w:val="20"/>
              </w:rPr>
            </w:pPr>
            <w:r>
              <w:rPr>
                <w:w w:val="100"/>
                <w:sz w:val="20"/>
              </w:rPr>
              <w:t>設</w:t>
            </w:r>
          </w:p>
        </w:tc>
        <w:tc>
          <w:tcPr>
            <w:tcW w:w="962" w:type="dxa"/>
          </w:tcPr>
          <w:p>
            <w:pPr>
              <w:pStyle w:val="TableParagraph"/>
              <w:spacing w:line="346" w:lineRule="exact"/>
              <w:ind w:left="107"/>
              <w:rPr>
                <w:sz w:val="20"/>
              </w:rPr>
            </w:pPr>
            <w:r>
              <w:rPr>
                <w:sz w:val="20"/>
              </w:rPr>
              <w:t>主</w:t>
            </w:r>
            <w:r>
              <w:rPr>
                <w:rFonts w:ascii="Segoe UI" w:eastAsia="Segoe UI"/>
                <w:sz w:val="20"/>
              </w:rPr>
              <w:t>(P)/</w:t>
            </w:r>
            <w:r>
              <w:rPr>
                <w:sz w:val="20"/>
              </w:rPr>
              <w:t>次</w:t>
            </w:r>
          </w:p>
          <w:p>
            <w:pPr>
              <w:pStyle w:val="TableParagraph"/>
              <w:spacing w:line="346" w:lineRule="exact"/>
              <w:ind w:left="107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(S)</w:t>
            </w:r>
            <w:r>
              <w:rPr>
                <w:sz w:val="20"/>
              </w:rPr>
              <w:t>事件</w:t>
            </w:r>
          </w:p>
          <w:p>
            <w:pPr>
              <w:pStyle w:val="TableParagraph"/>
              <w:spacing w:line="326" w:lineRule="exact"/>
              <w:ind w:left="107"/>
              <w:rPr>
                <w:sz w:val="20"/>
              </w:rPr>
            </w:pPr>
            <w:r>
              <w:rPr>
                <w:w w:val="100"/>
                <w:sz w:val="20"/>
              </w:rPr>
              <w:t>軸</w:t>
            </w:r>
          </w:p>
        </w:tc>
        <w:tc>
          <w:tcPr>
            <w:tcW w:w="2353" w:type="dxa"/>
          </w:tcPr>
          <w:p>
            <w:pPr>
              <w:pStyle w:val="TableParagraph"/>
              <w:spacing w:line="356" w:lineRule="exact"/>
              <w:ind w:left="106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1 (</w:t>
            </w:r>
            <w:r>
              <w:rPr>
                <w:sz w:val="20"/>
              </w:rPr>
              <w:t>直接條件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244" w:type="dxa"/>
          </w:tcPr>
          <w:p>
            <w:pPr>
              <w:pStyle w:val="TableParagraph"/>
              <w:spacing w:line="225" w:lineRule="auto" w:before="4"/>
              <w:ind w:left="104" w:right="245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2 (</w:t>
            </w:r>
            <w:r>
              <w:rPr>
                <w:sz w:val="20"/>
              </w:rPr>
              <w:t>條件 </w:t>
            </w:r>
            <w:r>
              <w:rPr>
                <w:rFonts w:ascii="Segoe UI" w:eastAsia="Segoe UI"/>
                <w:sz w:val="20"/>
              </w:rPr>
              <w:t>1 </w:t>
            </w:r>
            <w:r>
              <w:rPr>
                <w:sz w:val="20"/>
              </w:rPr>
              <w:t>的背景或前提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730" w:hRule="atLeast"/>
        </w:trPr>
        <w:tc>
          <w:tcPr>
            <w:tcW w:w="822" w:type="dxa"/>
          </w:tcPr>
          <w:p>
            <w:pPr>
              <w:pStyle w:val="TableParagraph"/>
              <w:spacing w:line="346" w:lineRule="exact"/>
              <w:ind w:left="107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98 </w:t>
            </w:r>
            <w:r>
              <w:rPr>
                <w:b/>
                <w:sz w:val="20"/>
              </w:rPr>
              <w:t>年</w:t>
            </w:r>
          </w:p>
          <w:p>
            <w:pPr>
              <w:pStyle w:val="TableParagraph"/>
              <w:spacing w:line="225" w:lineRule="auto" w:before="5"/>
              <w:ind w:left="107" w:right="94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3 </w:t>
            </w:r>
            <w:r>
              <w:rPr>
                <w:b/>
                <w:sz w:val="20"/>
              </w:rPr>
              <w:t>月某日</w:t>
            </w:r>
          </w:p>
        </w:tc>
        <w:tc>
          <w:tcPr>
            <w:tcW w:w="2314" w:type="dxa"/>
          </w:tcPr>
          <w:p>
            <w:pPr>
              <w:pStyle w:val="TableParagraph"/>
              <w:spacing w:line="225" w:lineRule="auto" w:before="4"/>
              <w:ind w:left="109" w:right="191"/>
              <w:jc w:val="both"/>
              <w:rPr>
                <w:sz w:val="20"/>
              </w:rPr>
            </w:pPr>
            <w:r>
              <w:rPr>
                <w:sz w:val="20"/>
              </w:rPr>
              <w:t>承攬商勞工甲員進入已排空的顯影液桶槽內檢查。</w:t>
            </w:r>
          </w:p>
        </w:tc>
        <w:tc>
          <w:tcPr>
            <w:tcW w:w="656" w:type="dxa"/>
          </w:tcPr>
          <w:p>
            <w:pPr>
              <w:pStyle w:val="TableParagraph"/>
              <w:spacing w:line="356" w:lineRule="exact"/>
              <w:ind w:left="0" w:right="135"/>
              <w:jc w:val="righ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62" w:type="dxa"/>
          </w:tcPr>
          <w:p>
            <w:pPr>
              <w:pStyle w:val="TableParagraph"/>
              <w:ind w:left="107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2353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59" w:val="left" w:leader="none"/>
              </w:tabs>
              <w:spacing w:line="345" w:lineRule="exact" w:before="0" w:after="0"/>
              <w:ind w:left="359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未實施通風換氣。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9" w:val="left" w:leader="none"/>
              </w:tabs>
              <w:spacing w:line="225" w:lineRule="auto" w:before="5" w:after="0"/>
              <w:ind w:left="107" w:right="182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未實施有害氣體濃度</w:t>
            </w:r>
            <w:r>
              <w:rPr>
                <w:sz w:val="20"/>
              </w:rPr>
              <w:t>測定。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9" w:val="left" w:leader="none"/>
              </w:tabs>
              <w:spacing w:line="341" w:lineRule="exact" w:before="0" w:after="0"/>
              <w:ind w:left="359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未使用適當呼吸防護</w:t>
            </w:r>
          </w:p>
          <w:p>
            <w:pPr>
              <w:pStyle w:val="TableParagraph"/>
              <w:spacing w:line="327" w:lineRule="exact"/>
              <w:ind w:left="107"/>
              <w:rPr>
                <w:sz w:val="20"/>
              </w:rPr>
            </w:pPr>
            <w:r>
              <w:rPr>
                <w:sz w:val="20"/>
              </w:rPr>
              <w:t>具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僅用 </w:t>
            </w:r>
            <w:r>
              <w:rPr>
                <w:rFonts w:ascii="Segoe UI" w:eastAsia="Segoe UI"/>
                <w:sz w:val="20"/>
              </w:rPr>
              <w:t>R95 </w:t>
            </w:r>
            <w:r>
              <w:rPr>
                <w:sz w:val="20"/>
              </w:rPr>
              <w:t>口罩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2244" w:type="dxa"/>
          </w:tcPr>
          <w:p>
            <w:pPr>
              <w:pStyle w:val="TableParagraph"/>
              <w:spacing w:line="225" w:lineRule="auto" w:before="4"/>
              <w:ind w:left="104" w:right="125"/>
              <w:jc w:val="both"/>
              <w:rPr>
                <w:sz w:val="20"/>
              </w:rPr>
            </w:pPr>
            <w:r>
              <w:rPr>
                <w:sz w:val="20"/>
              </w:rPr>
              <w:t>公司及承攬商未建立或落實局限空間作業安全程序。</w:t>
            </w:r>
          </w:p>
        </w:tc>
      </w:tr>
      <w:tr>
        <w:trPr>
          <w:trHeight w:val="1037" w:hRule="atLeast"/>
        </w:trPr>
        <w:tc>
          <w:tcPr>
            <w:tcW w:w="822" w:type="dxa"/>
          </w:tcPr>
          <w:p>
            <w:pPr>
              <w:pStyle w:val="TableParagraph"/>
              <w:spacing w:line="35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同日</w:t>
            </w:r>
          </w:p>
        </w:tc>
        <w:tc>
          <w:tcPr>
            <w:tcW w:w="2314" w:type="dxa"/>
          </w:tcPr>
          <w:p>
            <w:pPr>
              <w:pStyle w:val="TableParagraph"/>
              <w:spacing w:line="225" w:lineRule="auto" w:before="4"/>
              <w:ind w:left="109" w:right="391"/>
              <w:rPr>
                <w:sz w:val="20"/>
              </w:rPr>
            </w:pPr>
            <w:r>
              <w:rPr>
                <w:sz w:val="20"/>
              </w:rPr>
              <w:t>甲員在桶槽內不慎跌倒。</w:t>
            </w:r>
          </w:p>
        </w:tc>
        <w:tc>
          <w:tcPr>
            <w:tcW w:w="656" w:type="dxa"/>
          </w:tcPr>
          <w:p>
            <w:pPr>
              <w:pStyle w:val="TableParagraph"/>
              <w:spacing w:line="356" w:lineRule="exact"/>
              <w:ind w:left="0" w:right="135"/>
              <w:jc w:val="righ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62" w:type="dxa"/>
          </w:tcPr>
          <w:p>
            <w:pPr>
              <w:pStyle w:val="TableParagraph"/>
              <w:ind w:left="107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2353" w:type="dxa"/>
          </w:tcPr>
          <w:p>
            <w:pPr>
              <w:pStyle w:val="TableParagraph"/>
              <w:spacing w:line="225" w:lineRule="auto" w:before="4"/>
              <w:ind w:left="106" w:right="232"/>
              <w:rPr>
                <w:sz w:val="20"/>
              </w:rPr>
            </w:pPr>
            <w:r>
              <w:rPr>
                <w:sz w:val="20"/>
              </w:rPr>
              <w:t>因吸入有毒氣體或缺氧空氣，導致暈眩、體力</w:t>
            </w:r>
          </w:p>
          <w:p>
            <w:pPr>
              <w:pStyle w:val="TableParagraph"/>
              <w:spacing w:line="322" w:lineRule="exact"/>
              <w:ind w:left="106"/>
              <w:rPr>
                <w:sz w:val="20"/>
              </w:rPr>
            </w:pPr>
            <w:r>
              <w:rPr>
                <w:sz w:val="20"/>
              </w:rPr>
              <w:t>不支而跌倒。</w:t>
            </w:r>
          </w:p>
        </w:tc>
        <w:tc>
          <w:tcPr>
            <w:tcW w:w="2244" w:type="dxa"/>
          </w:tcPr>
          <w:p>
            <w:pPr>
              <w:pStyle w:val="TableParagraph"/>
              <w:spacing w:line="225" w:lineRule="auto" w:before="4"/>
              <w:ind w:left="104" w:right="125"/>
              <w:rPr>
                <w:sz w:val="20"/>
              </w:rPr>
            </w:pPr>
            <w:r>
              <w:rPr>
                <w:sz w:val="20"/>
              </w:rPr>
              <w:t>對「排空後」的桶槽危害嚴重認知不足。</w:t>
            </w:r>
          </w:p>
        </w:tc>
      </w:tr>
      <w:tr>
        <w:trPr>
          <w:trHeight w:val="2075" w:hRule="atLeast"/>
        </w:trPr>
        <w:tc>
          <w:tcPr>
            <w:tcW w:w="822" w:type="dxa"/>
          </w:tcPr>
          <w:p>
            <w:pPr>
              <w:pStyle w:val="TableParagraph"/>
              <w:spacing w:line="35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同日</w:t>
            </w:r>
          </w:p>
        </w:tc>
        <w:tc>
          <w:tcPr>
            <w:tcW w:w="2314" w:type="dxa"/>
          </w:tcPr>
          <w:p>
            <w:pPr>
              <w:pStyle w:val="TableParagraph"/>
              <w:spacing w:line="225" w:lineRule="auto" w:before="4"/>
              <w:ind w:left="109" w:right="191"/>
              <w:rPr>
                <w:sz w:val="20"/>
              </w:rPr>
            </w:pPr>
            <w:r>
              <w:rPr>
                <w:sz w:val="20"/>
              </w:rPr>
              <w:t>在旁的四名同事立即進入桶槽內進行搶救。</w:t>
            </w:r>
          </w:p>
        </w:tc>
        <w:tc>
          <w:tcPr>
            <w:tcW w:w="656" w:type="dxa"/>
          </w:tcPr>
          <w:p>
            <w:pPr>
              <w:pStyle w:val="TableParagraph"/>
              <w:spacing w:line="356" w:lineRule="exact"/>
              <w:ind w:left="0" w:right="135"/>
              <w:jc w:val="righ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62" w:type="dxa"/>
          </w:tcPr>
          <w:p>
            <w:pPr>
              <w:pStyle w:val="TableParagraph"/>
              <w:ind w:left="107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2353" w:type="dxa"/>
          </w:tcPr>
          <w:p>
            <w:pPr>
              <w:pStyle w:val="TableParagraph"/>
              <w:spacing w:line="225" w:lineRule="auto" w:before="4"/>
              <w:ind w:left="106" w:right="232"/>
              <w:rPr>
                <w:sz w:val="20"/>
              </w:rPr>
            </w:pPr>
            <w:r>
              <w:rPr>
                <w:sz w:val="20"/>
              </w:rPr>
              <w:t>救援人員未佩戴任何呼吸防護具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2244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57" w:val="left" w:leader="none"/>
              </w:tabs>
              <w:spacing w:line="225" w:lineRule="auto" w:before="4" w:after="0"/>
              <w:ind w:left="104" w:right="274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未建立緊急應變計</w:t>
            </w:r>
            <w:r>
              <w:rPr>
                <w:sz w:val="20"/>
              </w:rPr>
              <w:t>畫。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7" w:val="left" w:leader="none"/>
              </w:tabs>
              <w:spacing w:line="225" w:lineRule="auto" w:before="1" w:after="0"/>
              <w:ind w:left="104" w:right="274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現場無專業救援人</w:t>
            </w:r>
            <w:r>
              <w:rPr>
                <w:sz w:val="20"/>
              </w:rPr>
              <w:t>員或裝備。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7" w:val="left" w:leader="none"/>
              </w:tabs>
              <w:spacing w:line="341" w:lineRule="exact" w:before="0" w:after="0"/>
              <w:ind w:left="356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救人心切的本能反</w:t>
            </w:r>
          </w:p>
          <w:p>
            <w:pPr>
              <w:pStyle w:val="TableParagraph"/>
              <w:spacing w:line="327" w:lineRule="exact"/>
              <w:ind w:left="104"/>
              <w:rPr>
                <w:sz w:val="20"/>
              </w:rPr>
            </w:pPr>
            <w:r>
              <w:rPr>
                <w:sz w:val="20"/>
              </w:rPr>
              <w:t>應。</w:t>
            </w:r>
          </w:p>
        </w:tc>
      </w:tr>
      <w:tr>
        <w:trPr>
          <w:trHeight w:val="1037" w:hRule="atLeast"/>
        </w:trPr>
        <w:tc>
          <w:tcPr>
            <w:tcW w:w="822" w:type="dxa"/>
          </w:tcPr>
          <w:p>
            <w:pPr>
              <w:pStyle w:val="TableParagraph"/>
              <w:spacing w:line="35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同日</w:t>
            </w:r>
          </w:p>
        </w:tc>
        <w:tc>
          <w:tcPr>
            <w:tcW w:w="2314" w:type="dxa"/>
          </w:tcPr>
          <w:p>
            <w:pPr>
              <w:pStyle w:val="TableParagraph"/>
              <w:spacing w:line="225" w:lineRule="auto" w:before="4"/>
              <w:ind w:left="109" w:right="191"/>
              <w:rPr>
                <w:sz w:val="20"/>
              </w:rPr>
            </w:pPr>
            <w:r>
              <w:rPr>
                <w:sz w:val="20"/>
              </w:rPr>
              <w:t>包含甲員及四名救援 </w:t>
            </w:r>
            <w:r>
              <w:rPr>
                <w:spacing w:val="-2"/>
                <w:sz w:val="20"/>
              </w:rPr>
              <w:t>者，共五人皆吸入及接</w:t>
            </w:r>
          </w:p>
          <w:p>
            <w:pPr>
              <w:pStyle w:val="TableParagraph"/>
              <w:spacing w:line="322" w:lineRule="exact"/>
              <w:ind w:left="109"/>
              <w:rPr>
                <w:sz w:val="20"/>
              </w:rPr>
            </w:pPr>
            <w:r>
              <w:rPr>
                <w:sz w:val="20"/>
              </w:rPr>
              <w:t>觸顯影液受傷。</w:t>
            </w:r>
          </w:p>
        </w:tc>
        <w:tc>
          <w:tcPr>
            <w:tcW w:w="656" w:type="dxa"/>
          </w:tcPr>
          <w:p>
            <w:pPr>
              <w:pStyle w:val="TableParagraph"/>
              <w:spacing w:line="356" w:lineRule="exact"/>
              <w:ind w:left="0" w:right="135"/>
              <w:jc w:val="righ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62" w:type="dxa"/>
          </w:tcPr>
          <w:p>
            <w:pPr>
              <w:pStyle w:val="TableParagraph"/>
              <w:ind w:left="107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2353" w:type="dxa"/>
          </w:tcPr>
          <w:p>
            <w:pPr>
              <w:pStyle w:val="TableParagraph"/>
              <w:spacing w:line="225" w:lineRule="auto" w:before="4"/>
              <w:ind w:left="106" w:right="232"/>
              <w:rPr>
                <w:sz w:val="20"/>
              </w:rPr>
            </w:pPr>
            <w:r>
              <w:rPr>
                <w:sz w:val="20"/>
              </w:rPr>
              <w:t>多人同時暴露於缺氧及有毒的雙重危害環境</w:t>
            </w:r>
          </w:p>
          <w:p>
            <w:pPr>
              <w:pStyle w:val="TableParagraph"/>
              <w:spacing w:line="322" w:lineRule="exact"/>
              <w:ind w:left="106"/>
              <w:rPr>
                <w:sz w:val="20"/>
              </w:rPr>
            </w:pPr>
            <w:r>
              <w:rPr>
                <w:sz w:val="20"/>
              </w:rPr>
              <w:t>中。</w:t>
            </w:r>
          </w:p>
        </w:tc>
        <w:tc>
          <w:tcPr>
            <w:tcW w:w="2244" w:type="dxa"/>
          </w:tcPr>
          <w:p>
            <w:pPr>
              <w:pStyle w:val="TableParagraph"/>
              <w:spacing w:line="225" w:lineRule="auto" w:before="4"/>
              <w:ind w:left="104" w:right="125"/>
              <w:rPr>
                <w:sz w:val="20"/>
              </w:rPr>
            </w:pPr>
            <w:r>
              <w:rPr>
                <w:sz w:val="20"/>
              </w:rPr>
              <w:t>典型的救援者連鎖效 </w:t>
            </w:r>
            <w:r>
              <w:rPr>
                <w:spacing w:val="-2"/>
                <w:sz w:val="20"/>
              </w:rPr>
              <w:t>應，導致災情在短時間</w:t>
            </w:r>
          </w:p>
          <w:p>
            <w:pPr>
              <w:pStyle w:val="TableParagraph"/>
              <w:spacing w:line="322" w:lineRule="exact"/>
              <w:ind w:left="104"/>
              <w:rPr>
                <w:sz w:val="20"/>
              </w:rPr>
            </w:pPr>
            <w:r>
              <w:rPr>
                <w:sz w:val="20"/>
              </w:rPr>
              <w:t>內極速擴大。</w:t>
            </w:r>
          </w:p>
        </w:tc>
      </w:tr>
      <w:tr>
        <w:trPr>
          <w:trHeight w:val="1037" w:hRule="atLeast"/>
        </w:trPr>
        <w:tc>
          <w:tcPr>
            <w:tcW w:w="822" w:type="dxa"/>
          </w:tcPr>
          <w:p>
            <w:pPr>
              <w:pStyle w:val="TableParagraph"/>
              <w:spacing w:line="35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事故後</w:t>
            </w:r>
          </w:p>
        </w:tc>
        <w:tc>
          <w:tcPr>
            <w:tcW w:w="2314" w:type="dxa"/>
          </w:tcPr>
          <w:p>
            <w:pPr>
              <w:pStyle w:val="TableParagraph"/>
              <w:spacing w:line="225" w:lineRule="auto" w:before="4"/>
              <w:ind w:left="109" w:right="191"/>
              <w:rPr>
                <w:sz w:val="20"/>
              </w:rPr>
            </w:pPr>
            <w:r>
              <w:rPr>
                <w:sz w:val="20"/>
              </w:rPr>
              <w:t>五人從桶槽內被救出後送醫，其中二人經急救</w:t>
            </w:r>
          </w:p>
          <w:p>
            <w:pPr>
              <w:pStyle w:val="TableParagraph"/>
              <w:spacing w:line="322" w:lineRule="exact"/>
              <w:ind w:left="109"/>
              <w:rPr>
                <w:sz w:val="20"/>
              </w:rPr>
            </w:pPr>
            <w:r>
              <w:rPr>
                <w:sz w:val="20"/>
              </w:rPr>
              <w:t>後不治死亡。</w:t>
            </w:r>
          </w:p>
        </w:tc>
        <w:tc>
          <w:tcPr>
            <w:tcW w:w="656" w:type="dxa"/>
          </w:tcPr>
          <w:p>
            <w:pPr>
              <w:pStyle w:val="TableParagraph"/>
              <w:spacing w:line="356" w:lineRule="exact"/>
              <w:ind w:left="0" w:right="135"/>
              <w:jc w:val="right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62" w:type="dxa"/>
          </w:tcPr>
          <w:p>
            <w:pPr>
              <w:pStyle w:val="TableParagraph"/>
              <w:ind w:left="107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2353" w:type="dxa"/>
          </w:tcPr>
          <w:p>
            <w:pPr>
              <w:pStyle w:val="TableParagraph"/>
              <w:spacing w:line="225" w:lineRule="auto" w:before="4"/>
              <w:ind w:left="106" w:right="232"/>
              <w:rPr>
                <w:sz w:val="20"/>
              </w:rPr>
            </w:pPr>
            <w:r>
              <w:rPr>
                <w:sz w:val="20"/>
              </w:rPr>
              <w:t>延誤了安全的救援時 </w:t>
            </w:r>
            <w:r>
              <w:rPr>
                <w:spacing w:val="-2"/>
                <w:sz w:val="20"/>
              </w:rPr>
              <w:t>機，且一次性產生大量</w:t>
            </w:r>
          </w:p>
          <w:p>
            <w:pPr>
              <w:pStyle w:val="TableParagraph"/>
              <w:spacing w:line="322" w:lineRule="exact"/>
              <w:ind w:left="106"/>
              <w:rPr>
                <w:sz w:val="20"/>
              </w:rPr>
            </w:pPr>
            <w:r>
              <w:rPr>
                <w:sz w:val="20"/>
              </w:rPr>
              <w:t>傷患。</w:t>
            </w:r>
          </w:p>
        </w:tc>
        <w:tc>
          <w:tcPr>
            <w:tcW w:w="2244" w:type="dxa"/>
          </w:tcPr>
          <w:p>
            <w:pPr>
              <w:pStyle w:val="TableParagraph"/>
              <w:spacing w:line="225" w:lineRule="auto" w:before="4"/>
              <w:ind w:left="104" w:right="326"/>
              <w:rPr>
                <w:sz w:val="20"/>
              </w:rPr>
            </w:pPr>
            <w:r>
              <w:rPr>
                <w:sz w:val="20"/>
              </w:rPr>
              <w:t>現場應變能力完全崩潰。</w:t>
            </w:r>
          </w:p>
        </w:tc>
      </w:tr>
    </w:tbl>
    <w:p>
      <w:pPr>
        <w:pStyle w:val="BodyText"/>
        <w:spacing w:before="8"/>
        <w:rPr>
          <w:sz w:val="22"/>
        </w:rPr>
      </w:pPr>
      <w:r>
        <w:rPr/>
        <w:pict>
          <v:group style="position:absolute;margin-left:63.779999pt;margin-top:22.620001pt;width:467.85pt;height:1.5pt;mso-position-horizontal-relative:page;mso-position-vertical-relative:paragraph;z-index:-928;mso-wrap-distance-left:0;mso-wrap-distance-right:0" coordorigin="1276,452" coordsize="9357,30">
            <v:line style="position:absolute" from="1276,467" to="10632,467" stroked="true" strokeweight="1.5pt" strokecolor="#9f9f9f">
              <v:stroke dashstyle="solid"/>
            </v:line>
            <v:rect style="position:absolute;left:1275;top:452;width:5;height:5" filled="true" fillcolor="#9f9f9f" stroked="false">
              <v:fill type="solid"/>
            </v:rect>
            <v:rect style="position:absolute;left:1275;top:452;width:5;height:5" filled="true" fillcolor="#9f9f9f" stroked="false">
              <v:fill type="solid"/>
            </v:rect>
            <v:line style="position:absolute" from="1280,455" to="10627,455" stroked="true" strokeweight=".24pt" strokecolor="#9f9f9f">
              <v:stroke dashstyle="solid"/>
            </v:line>
            <v:rect style="position:absolute;left:10627;top:452;width:5;height:5" filled="true" fillcolor="#e2e2e2" stroked="false">
              <v:fill type="solid"/>
            </v:rect>
            <v:rect style="position:absolute;left:10627;top:452;width:5;height:5" filled="true" fillcolor="#9f9f9f" stroked="false">
              <v:fill type="solid"/>
            </v:rect>
            <v:rect style="position:absolute;left:1275;top:457;width:5;height:21" filled="true" fillcolor="#9f9f9f" stroked="false">
              <v:fill type="solid"/>
            </v:rect>
            <v:rect style="position:absolute;left:10627;top:457;width:5;height:21" filled="true" fillcolor="#e2e2e2" stroked="false">
              <v:fill type="solid"/>
            </v:rect>
            <v:rect style="position:absolute;left:1275;top:477;width:5;height:5" filled="true" fillcolor="#9f9f9f" stroked="false">
              <v:fill type="solid"/>
            </v:rect>
            <v:rect style="position:absolute;left:1275;top:477;width:5;height:5" filled="true" fillcolor="#e2e2e2" stroked="false">
              <v:fill type="solid"/>
            </v:rect>
            <v:line style="position:absolute" from="1280,480" to="10627,480" stroked="true" strokeweight=".24pt" strokecolor="#e2e2e2">
              <v:stroke dashstyle="solid"/>
            </v:line>
            <v:rect style="position:absolute;left:10627;top:477;width:5;height:5" filled="true" fillcolor="#e2e2e2" stroked="false">
              <v:fill type="solid"/>
            </v:rect>
            <v:rect style="position:absolute;left:10627;top:477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三</w:t>
      </w:r>
      <w:r>
        <w:rPr>
          <w:rFonts w:ascii="Calibri" w:eastAsia="Calibri"/>
        </w:rPr>
        <w:t>. </w:t>
      </w:r>
      <w:r>
        <w:rPr/>
        <w:t>為何樹分析  </w:t>
      </w:r>
      <w:r>
        <w:rPr>
          <w:rFonts w:ascii="Calibri" w:eastAsia="Calibri"/>
        </w:rPr>
        <w:t>(Why Tree)</w:t>
      </w:r>
    </w:p>
    <w:p>
      <w:pPr>
        <w:pStyle w:val="BodyText"/>
        <w:spacing w:line="428" w:lineRule="exact"/>
        <w:ind w:left="475"/>
      </w:pPr>
      <w:r>
        <w:rPr/>
        <w:t>本分析從最終的傷害事件開始，透過不斷追問「為什麼」來探究事件的根本原因。</w:t>
      </w:r>
    </w:p>
    <w:p>
      <w:pPr>
        <w:spacing w:after="0" w:line="428" w:lineRule="exact"/>
        <w:sectPr>
          <w:pgSz w:w="11910" w:h="16840"/>
          <w:pgMar w:top="1420" w:bottom="280" w:left="1160" w:right="1160"/>
        </w:sect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1977"/>
        <w:rPr>
          <w:sz w:val="20"/>
        </w:rPr>
      </w:pPr>
      <w:r>
        <w:rPr>
          <w:sz w:val="20"/>
        </w:rPr>
        <w:drawing>
          <wp:inline distT="0" distB="0" distL="0" distR="0">
            <wp:extent cx="3619243" cy="4756023"/>
            <wp:effectExtent l="0" t="0" r="0" b="0"/>
            <wp:docPr id="3" name="image2.png" descr="一張含有 文字, 圖表, 螢幕擷取畫面, 字型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243" cy="475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  <w:r>
        <w:rPr/>
        <w:pict>
          <v:group style="position:absolute;margin-left:63.779999pt;margin-top:25.933393pt;width:467.85pt;height:1.5pt;mso-position-horizontal-relative:page;mso-position-vertical-relative:paragraph;z-index:-904;mso-wrap-distance-left:0;mso-wrap-distance-right:0" coordorigin="1276,519" coordsize="9357,30">
            <v:line style="position:absolute" from="1276,534" to="10632,534" stroked="true" strokeweight="1.5pt" strokecolor="#9f9f9f">
              <v:stroke dashstyle="solid"/>
            </v:line>
            <v:rect style="position:absolute;left:1275;top:518;width:5;height:5" filled="true" fillcolor="#9f9f9f" stroked="false">
              <v:fill type="solid"/>
            </v:rect>
            <v:rect style="position:absolute;left:1275;top:518;width:5;height:5" filled="true" fillcolor="#9f9f9f" stroked="false">
              <v:fill type="solid"/>
            </v:rect>
            <v:line style="position:absolute" from="1280,521" to="10627,521" stroked="true" strokeweight=".24pt" strokecolor="#9f9f9f">
              <v:stroke dashstyle="solid"/>
            </v:line>
            <v:rect style="position:absolute;left:10627;top:518;width:5;height:5" filled="true" fillcolor="#e2e2e2" stroked="false">
              <v:fill type="solid"/>
            </v:rect>
            <v:rect style="position:absolute;left:10627;top:518;width:5;height:5" filled="true" fillcolor="#9f9f9f" stroked="false">
              <v:fill type="solid"/>
            </v:rect>
            <v:rect style="position:absolute;left:1275;top:523;width:5;height:21" filled="true" fillcolor="#9f9f9f" stroked="false">
              <v:fill type="solid"/>
            </v:rect>
            <v:rect style="position:absolute;left:10627;top:523;width:5;height:21" filled="true" fillcolor="#e2e2e2" stroked="false">
              <v:fill type="solid"/>
            </v:rect>
            <v:rect style="position:absolute;left:1275;top:543;width:5;height:5" filled="true" fillcolor="#9f9f9f" stroked="false">
              <v:fill type="solid"/>
            </v:rect>
            <v:rect style="position:absolute;left:1275;top:543;width:5;height:5" filled="true" fillcolor="#e2e2e2" stroked="false">
              <v:fill type="solid"/>
            </v:rect>
            <v:line style="position:absolute" from="1280,546" to="10627,546" stroked="true" strokeweight=".24pt" strokecolor="#e2e2e2">
              <v:stroke dashstyle="solid"/>
            </v:line>
            <v:rect style="position:absolute;left:10627;top:543;width:5;height:5" filled="true" fillcolor="#e2e2e2" stroked="false">
              <v:fill type="solid"/>
            </v:rect>
            <v:rect style="position:absolute;left:10627;top:543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</w:pPr>
      <w:r>
        <w:rPr/>
        <w:t>四</w:t>
      </w:r>
      <w:r>
        <w:rPr>
          <w:rFonts w:ascii="Calibri" w:eastAsia="Calibri"/>
        </w:rPr>
        <w:t>. </w:t>
      </w:r>
      <w:r>
        <w:rPr/>
        <w:t>屏障分析</w:t>
      </w:r>
    </w:p>
    <w:p>
      <w:pPr>
        <w:pStyle w:val="BodyText"/>
        <w:spacing w:line="415" w:lineRule="exact"/>
        <w:ind w:left="475"/>
      </w:pPr>
      <w:r>
        <w:rPr/>
        <w:t>本分析旨在識別應有但失效、缺失或不足的屏障，導致危害接觸到目標。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危害： </w:t>
      </w:r>
      <w:r>
        <w:rPr>
          <w:sz w:val="24"/>
        </w:rPr>
        <w:t>有害物 </w:t>
      </w:r>
      <w:r>
        <w:rPr>
          <w:rFonts w:ascii="Calibri" w:hAnsi="Calibri" w:eastAsia="Calibri"/>
          <w:sz w:val="24"/>
        </w:rPr>
        <w:t>(</w:t>
      </w:r>
      <w:r>
        <w:rPr>
          <w:sz w:val="24"/>
        </w:rPr>
        <w:t>顯影液揮發氣體</w:t>
      </w:r>
      <w:r>
        <w:rPr>
          <w:rFonts w:ascii="Calibri" w:hAnsi="Calibri" w:eastAsia="Calibri"/>
          <w:spacing w:val="5"/>
          <w:sz w:val="24"/>
        </w:rPr>
        <w:t>) </w:t>
      </w:r>
      <w:r>
        <w:rPr>
          <w:sz w:val="24"/>
        </w:rPr>
        <w:t>中毒、缺氧窒息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28" w:lineRule="exact" w:before="0" w:after="0"/>
        <w:ind w:left="835" w:right="0" w:hanging="360"/>
        <w:jc w:val="left"/>
        <w:rPr>
          <w:rFonts w:ascii="Calibri" w:hAnsi="Calibri" w:eastAsia="Calibri"/>
          <w:sz w:val="24"/>
        </w:rPr>
      </w:pPr>
      <w:r>
        <w:rPr>
          <w:b/>
          <w:sz w:val="24"/>
        </w:rPr>
        <w:t>目標： </w:t>
      </w:r>
      <w:r>
        <w:rPr>
          <w:sz w:val="24"/>
        </w:rPr>
        <w:t>承攬商五名勞工 </w:t>
      </w:r>
      <w:r>
        <w:rPr>
          <w:rFonts w:ascii="Calibri" w:hAnsi="Calibri" w:eastAsia="Calibri"/>
          <w:sz w:val="24"/>
        </w:rPr>
        <w:t>(</w:t>
      </w:r>
      <w:r>
        <w:rPr>
          <w:sz w:val="24"/>
        </w:rPr>
        <w:t>甲員及四名救援者</w:t>
      </w:r>
      <w:r>
        <w:rPr>
          <w:rFonts w:ascii="Calibri" w:hAnsi="Calibri" w:eastAsia="Calibri"/>
          <w:sz w:val="24"/>
        </w:rPr>
        <w:t>)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6"/>
        <w:gridCol w:w="1154"/>
        <w:gridCol w:w="1112"/>
        <w:gridCol w:w="2556"/>
        <w:gridCol w:w="3648"/>
      </w:tblGrid>
      <w:tr>
        <w:trPr>
          <w:trHeight w:val="1037" w:hRule="atLeast"/>
        </w:trPr>
        <w:tc>
          <w:tcPr>
            <w:tcW w:w="876" w:type="dxa"/>
          </w:tcPr>
          <w:p>
            <w:pPr>
              <w:pStyle w:val="TableParagraph"/>
              <w:spacing w:line="225" w:lineRule="auto"/>
              <w:ind w:left="107" w:right="156"/>
              <w:rPr>
                <w:sz w:val="20"/>
              </w:rPr>
            </w:pPr>
            <w:r>
              <w:rPr>
                <w:sz w:val="20"/>
              </w:rPr>
              <w:t>屏障類型</w:t>
            </w:r>
          </w:p>
        </w:tc>
        <w:tc>
          <w:tcPr>
            <w:tcW w:w="1154" w:type="dxa"/>
          </w:tcPr>
          <w:p>
            <w:pPr>
              <w:pStyle w:val="TableParagraph"/>
              <w:spacing w:line="345" w:lineRule="exact"/>
              <w:rPr>
                <w:sz w:val="20"/>
              </w:rPr>
            </w:pPr>
            <w:r>
              <w:rPr>
                <w:sz w:val="20"/>
              </w:rPr>
              <w:t>屏障</w:t>
            </w:r>
          </w:p>
        </w:tc>
        <w:tc>
          <w:tcPr>
            <w:tcW w:w="1112" w:type="dxa"/>
          </w:tcPr>
          <w:p>
            <w:pPr>
              <w:pStyle w:val="TableParagraph"/>
              <w:spacing w:line="334" w:lineRule="exact"/>
              <w:rPr>
                <w:sz w:val="20"/>
              </w:rPr>
            </w:pPr>
            <w:r>
              <w:rPr>
                <w:sz w:val="20"/>
              </w:rPr>
              <w:t>屏障表現</w:t>
            </w:r>
          </w:p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rFonts w:ascii="Segoe UI" w:eastAsia="Segoe UI"/>
                <w:spacing w:val="-1"/>
                <w:sz w:val="20"/>
              </w:rPr>
              <w:t>(</w:t>
            </w:r>
            <w:r>
              <w:rPr>
                <w:sz w:val="20"/>
              </w:rPr>
              <w:t>事故時狀</w:t>
            </w:r>
          </w:p>
          <w:p>
            <w:pPr>
              <w:pStyle w:val="TableParagraph"/>
              <w:spacing w:line="338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態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556" w:type="dxa"/>
          </w:tcPr>
          <w:p>
            <w:pPr>
              <w:pStyle w:val="TableParagraph"/>
              <w:spacing w:line="345" w:lineRule="exact"/>
              <w:ind w:left="109"/>
              <w:rPr>
                <w:sz w:val="20"/>
              </w:rPr>
            </w:pPr>
            <w:r>
              <w:rPr>
                <w:sz w:val="20"/>
              </w:rPr>
              <w:t>屏障失效原因</w:t>
            </w:r>
          </w:p>
        </w:tc>
        <w:tc>
          <w:tcPr>
            <w:tcW w:w="3648" w:type="dxa"/>
          </w:tcPr>
          <w:p>
            <w:pPr>
              <w:pStyle w:val="TableParagraph"/>
              <w:spacing w:line="345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屏障如何影響事故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失效的後果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037" w:hRule="atLeast"/>
        </w:trPr>
        <w:tc>
          <w:tcPr>
            <w:tcW w:w="876" w:type="dxa"/>
          </w:tcPr>
          <w:p>
            <w:pPr>
              <w:pStyle w:val="TableParagraph"/>
              <w:spacing w:line="225" w:lineRule="auto"/>
              <w:ind w:left="107" w:right="156"/>
              <w:rPr>
                <w:b/>
                <w:sz w:val="20"/>
              </w:rPr>
            </w:pPr>
            <w:r>
              <w:rPr>
                <w:b/>
                <w:sz w:val="20"/>
              </w:rPr>
              <w:t>工程控制</w:t>
            </w:r>
          </w:p>
        </w:tc>
        <w:tc>
          <w:tcPr>
            <w:tcW w:w="1154" w:type="dxa"/>
          </w:tcPr>
          <w:p>
            <w:pPr>
              <w:pStyle w:val="TableParagraph"/>
              <w:spacing w:line="225" w:lineRule="auto"/>
              <w:ind w:left="109" w:right="164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1. </w:t>
            </w:r>
            <w:r>
              <w:rPr>
                <w:b/>
                <w:sz w:val="20"/>
              </w:rPr>
              <w:t>機械通風與換氣</w:t>
            </w:r>
          </w:p>
        </w:tc>
        <w:tc>
          <w:tcPr>
            <w:tcW w:w="1112" w:type="dxa"/>
          </w:tcPr>
          <w:p>
            <w:pPr>
              <w:pStyle w:val="TableParagraph"/>
              <w:spacing w:line="345" w:lineRule="exact"/>
              <w:rPr>
                <w:sz w:val="20"/>
              </w:rPr>
            </w:pPr>
            <w:r>
              <w:rPr>
                <w:sz w:val="20"/>
              </w:rPr>
              <w:t>不存在</w:t>
            </w:r>
          </w:p>
        </w:tc>
        <w:tc>
          <w:tcPr>
            <w:tcW w:w="2556" w:type="dxa"/>
          </w:tcPr>
          <w:p>
            <w:pPr>
              <w:pStyle w:val="TableParagraph"/>
              <w:spacing w:line="225" w:lineRule="auto"/>
              <w:ind w:left="109" w:right="432"/>
              <w:rPr>
                <w:sz w:val="20"/>
              </w:rPr>
            </w:pPr>
            <w:r>
              <w:rPr>
                <w:sz w:val="20"/>
              </w:rPr>
              <w:t>作業前未依規定實施通風，以改善內部空氣品</w:t>
            </w:r>
          </w:p>
          <w:p>
            <w:pPr>
              <w:pStyle w:val="TableParagraph"/>
              <w:spacing w:line="333" w:lineRule="exact"/>
              <w:ind w:left="109"/>
              <w:rPr>
                <w:sz w:val="20"/>
              </w:rPr>
            </w:pPr>
            <w:r>
              <w:rPr>
                <w:sz w:val="20"/>
              </w:rPr>
              <w:t>質。</w:t>
            </w:r>
          </w:p>
        </w:tc>
        <w:tc>
          <w:tcPr>
            <w:tcW w:w="3648" w:type="dxa"/>
          </w:tcPr>
          <w:p>
            <w:pPr>
              <w:pStyle w:val="TableParagraph"/>
              <w:spacing w:line="225" w:lineRule="auto"/>
              <w:ind w:right="126"/>
              <w:rPr>
                <w:sz w:val="20"/>
              </w:rPr>
            </w:pPr>
            <w:r>
              <w:rPr>
                <w:sz w:val="20"/>
              </w:rPr>
              <w:t>有毒氣體與缺氧空氣滯留於槽內，形成立即致命的作業環境。</w:t>
            </w:r>
          </w:p>
        </w:tc>
      </w:tr>
      <w:tr>
        <w:trPr>
          <w:trHeight w:val="1038" w:hRule="atLeast"/>
        </w:trPr>
        <w:tc>
          <w:tcPr>
            <w:tcW w:w="876" w:type="dxa"/>
          </w:tcPr>
          <w:p>
            <w:pPr>
              <w:pStyle w:val="TableParagraph"/>
              <w:spacing w:line="225" w:lineRule="auto"/>
              <w:ind w:left="107" w:right="156"/>
              <w:rPr>
                <w:b/>
                <w:sz w:val="20"/>
              </w:rPr>
            </w:pPr>
            <w:r>
              <w:rPr>
                <w:b/>
                <w:sz w:val="20"/>
              </w:rPr>
              <w:t>個人防護</w:t>
            </w:r>
          </w:p>
        </w:tc>
        <w:tc>
          <w:tcPr>
            <w:tcW w:w="1154" w:type="dxa"/>
          </w:tcPr>
          <w:p>
            <w:pPr>
              <w:pStyle w:val="TableParagraph"/>
              <w:spacing w:line="225" w:lineRule="auto"/>
              <w:ind w:left="109" w:right="164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2. </w:t>
            </w:r>
            <w:r>
              <w:rPr>
                <w:b/>
                <w:sz w:val="20"/>
              </w:rPr>
              <w:t>適當的呼吸防護</w:t>
            </w:r>
          </w:p>
          <w:p>
            <w:pPr>
              <w:pStyle w:val="TableParagraph"/>
              <w:spacing w:line="334" w:lineRule="exact"/>
              <w:ind w:left="109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具</w:t>
            </w:r>
          </w:p>
        </w:tc>
        <w:tc>
          <w:tcPr>
            <w:tcW w:w="1112" w:type="dxa"/>
          </w:tcPr>
          <w:p>
            <w:pPr>
              <w:pStyle w:val="TableParagraph"/>
              <w:spacing w:line="3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完全失效</w:t>
            </w:r>
          </w:p>
          <w:p>
            <w:pPr>
              <w:pStyle w:val="TableParagraph"/>
              <w:spacing w:line="346" w:lineRule="exact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關鍵屏</w:t>
            </w:r>
          </w:p>
          <w:p>
            <w:pPr>
              <w:pStyle w:val="TableParagraph"/>
              <w:spacing w:line="339" w:lineRule="exact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障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2556" w:type="dxa"/>
          </w:tcPr>
          <w:p>
            <w:pPr>
              <w:pStyle w:val="TableParagraph"/>
              <w:spacing w:line="225" w:lineRule="auto"/>
              <w:ind w:left="109" w:right="156"/>
              <w:rPr>
                <w:sz w:val="20"/>
              </w:rPr>
            </w:pPr>
            <w:r>
              <w:rPr>
                <w:sz w:val="20"/>
              </w:rPr>
              <w:t>甲員僅佩戴 </w:t>
            </w:r>
            <w:r>
              <w:rPr>
                <w:rFonts w:ascii="Segoe UI" w:eastAsia="Segoe UI"/>
                <w:sz w:val="20"/>
              </w:rPr>
              <w:t>R95 </w:t>
            </w:r>
            <w:r>
              <w:rPr>
                <w:sz w:val="20"/>
              </w:rPr>
              <w:t>口罩，此口罩對氣體、蒸氣及缺氧</w:t>
            </w:r>
          </w:p>
          <w:p>
            <w:pPr>
              <w:pStyle w:val="TableParagraph"/>
              <w:spacing w:line="334" w:lineRule="exact"/>
              <w:ind w:left="109"/>
              <w:rPr>
                <w:sz w:val="20"/>
              </w:rPr>
            </w:pPr>
            <w:r>
              <w:rPr>
                <w:sz w:val="20"/>
              </w:rPr>
              <w:t>環境完全無效。</w:t>
            </w:r>
          </w:p>
        </w:tc>
        <w:tc>
          <w:tcPr>
            <w:tcW w:w="3648" w:type="dxa"/>
          </w:tcPr>
          <w:p>
            <w:pPr>
              <w:pStyle w:val="TableParagraph"/>
              <w:spacing w:line="225" w:lineRule="auto"/>
              <w:ind w:right="226"/>
              <w:rPr>
                <w:sz w:val="20"/>
              </w:rPr>
            </w:pPr>
            <w:r>
              <w:rPr>
                <w:b/>
                <w:sz w:val="20"/>
              </w:rPr>
              <w:t>這是最致命的知識性錯誤。 </w:t>
            </w:r>
            <w:r>
              <w:rPr>
                <w:sz w:val="20"/>
              </w:rPr>
              <w:t>作業人員自以為有防護，實則完全暴露在危險</w:t>
            </w:r>
          </w:p>
          <w:p>
            <w:pPr>
              <w:pStyle w:val="TableParagraph"/>
              <w:spacing w:line="334" w:lineRule="exact"/>
              <w:rPr>
                <w:sz w:val="20"/>
              </w:rPr>
            </w:pPr>
            <w:r>
              <w:rPr>
                <w:sz w:val="20"/>
              </w:rPr>
              <w:t>中。救援者則完全無防護。</w:t>
            </w:r>
          </w:p>
        </w:tc>
      </w:tr>
    </w:tbl>
    <w:p>
      <w:pPr>
        <w:spacing w:after="0" w:line="334" w:lineRule="exact"/>
        <w:rPr>
          <w:sz w:val="20"/>
        </w:rPr>
        <w:sectPr>
          <w:pgSz w:w="11910" w:h="16840"/>
          <w:pgMar w:top="1580" w:bottom="280" w:left="1160" w:right="116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6"/>
        <w:gridCol w:w="1154"/>
        <w:gridCol w:w="1112"/>
        <w:gridCol w:w="2556"/>
        <w:gridCol w:w="3648"/>
      </w:tblGrid>
      <w:tr>
        <w:trPr>
          <w:trHeight w:val="1037" w:hRule="atLeast"/>
        </w:trPr>
        <w:tc>
          <w:tcPr>
            <w:tcW w:w="876" w:type="dxa"/>
          </w:tcPr>
          <w:p>
            <w:pPr>
              <w:pStyle w:val="TableParagraph"/>
              <w:spacing w:line="225" w:lineRule="auto" w:before="4"/>
              <w:ind w:left="107" w:right="156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</w:t>
            </w: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b/>
                <w:sz w:val="20"/>
              </w:rPr>
              <w:t>程</w:t>
            </w:r>
          </w:p>
          <w:p>
            <w:pPr>
              <w:pStyle w:val="TableParagraph"/>
              <w:spacing w:line="32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序性</w:t>
            </w:r>
          </w:p>
        </w:tc>
        <w:tc>
          <w:tcPr>
            <w:tcW w:w="1154" w:type="dxa"/>
          </w:tcPr>
          <w:p>
            <w:pPr>
              <w:pStyle w:val="TableParagraph"/>
              <w:spacing w:line="225" w:lineRule="auto" w:before="4"/>
              <w:ind w:left="109" w:right="164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3. </w:t>
            </w:r>
            <w:r>
              <w:rPr>
                <w:b/>
                <w:sz w:val="20"/>
              </w:rPr>
              <w:t>承攬商安全管理</w:t>
            </w:r>
          </w:p>
        </w:tc>
        <w:tc>
          <w:tcPr>
            <w:tcW w:w="1112" w:type="dxa"/>
          </w:tcPr>
          <w:p>
            <w:pPr>
              <w:pStyle w:val="TableParagraph"/>
              <w:spacing w:line="225" w:lineRule="auto" w:before="4"/>
              <w:ind w:right="112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失效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不存在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556" w:type="dxa"/>
          </w:tcPr>
          <w:p>
            <w:pPr>
              <w:pStyle w:val="TableParagraph"/>
              <w:spacing w:line="225" w:lineRule="auto" w:before="4"/>
              <w:ind w:left="109" w:right="233"/>
              <w:rPr>
                <w:sz w:val="20"/>
              </w:rPr>
            </w:pPr>
            <w:r>
              <w:rPr>
                <w:sz w:val="20"/>
              </w:rPr>
              <w:t>公司方未有效監督承攬商的安全作業程序與能力。</w:t>
            </w:r>
          </w:p>
        </w:tc>
        <w:tc>
          <w:tcPr>
            <w:tcW w:w="3648" w:type="dxa"/>
          </w:tcPr>
          <w:p>
            <w:pPr>
              <w:pStyle w:val="TableParagraph"/>
              <w:spacing w:line="225" w:lineRule="auto" w:before="4"/>
              <w:ind w:right="126"/>
              <w:rPr>
                <w:sz w:val="20"/>
              </w:rPr>
            </w:pPr>
            <w:r>
              <w:rPr>
                <w:sz w:val="20"/>
              </w:rPr>
              <w:t>讓不具備高風險作業能力的承攬商在廠內作業，是事故的源頭之一。</w:t>
            </w:r>
          </w:p>
        </w:tc>
      </w:tr>
      <w:tr>
        <w:trPr>
          <w:trHeight w:val="1037" w:hRule="atLeast"/>
        </w:trPr>
        <w:tc>
          <w:tcPr>
            <w:tcW w:w="87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4" w:type="dxa"/>
          </w:tcPr>
          <w:p>
            <w:pPr>
              <w:pStyle w:val="TableParagraph"/>
              <w:spacing w:line="225" w:lineRule="auto" w:before="4"/>
              <w:ind w:left="109" w:right="164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4. </w:t>
            </w:r>
            <w:r>
              <w:rPr>
                <w:b/>
                <w:sz w:val="20"/>
              </w:rPr>
              <w:t>作業前危害辨識</w:t>
            </w:r>
          </w:p>
          <w:p>
            <w:pPr>
              <w:pStyle w:val="TableParagraph"/>
              <w:spacing w:line="322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與測定</w:t>
            </w:r>
          </w:p>
        </w:tc>
        <w:tc>
          <w:tcPr>
            <w:tcW w:w="1112" w:type="dxa"/>
          </w:tcPr>
          <w:p>
            <w:pPr>
              <w:pStyle w:val="TableParagraph"/>
              <w:spacing w:line="225" w:lineRule="auto" w:before="4"/>
              <w:ind w:right="112" w:hanging="1"/>
              <w:rPr>
                <w:sz w:val="20"/>
              </w:rPr>
            </w:pPr>
            <w:r>
              <w:rPr>
                <w:sz w:val="20"/>
              </w:rPr>
              <w:t>失效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不存在</w:t>
            </w:r>
          </w:p>
        </w:tc>
        <w:tc>
          <w:tcPr>
            <w:tcW w:w="2556" w:type="dxa"/>
          </w:tcPr>
          <w:p>
            <w:pPr>
              <w:pStyle w:val="TableParagraph"/>
              <w:spacing w:line="225" w:lineRule="auto" w:before="4"/>
              <w:ind w:left="109" w:right="233"/>
              <w:rPr>
                <w:sz w:val="20"/>
              </w:rPr>
            </w:pPr>
            <w:r>
              <w:rPr>
                <w:sz w:val="20"/>
              </w:rPr>
              <w:t>未辨識出「排空不等於安全」的危害，也未執行氣</w:t>
            </w:r>
          </w:p>
          <w:p>
            <w:pPr>
              <w:pStyle w:val="TableParagraph"/>
              <w:spacing w:line="322" w:lineRule="exact"/>
              <w:ind w:left="109"/>
              <w:rPr>
                <w:sz w:val="20"/>
              </w:rPr>
            </w:pPr>
            <w:r>
              <w:rPr>
                <w:sz w:val="20"/>
              </w:rPr>
              <w:t>體測定。</w:t>
            </w:r>
          </w:p>
        </w:tc>
        <w:tc>
          <w:tcPr>
            <w:tcW w:w="3648" w:type="dxa"/>
          </w:tcPr>
          <w:p>
            <w:pPr>
              <w:pStyle w:val="TableParagraph"/>
              <w:spacing w:line="225" w:lineRule="auto" w:before="4"/>
              <w:ind w:right="126"/>
              <w:rPr>
                <w:sz w:val="20"/>
              </w:rPr>
            </w:pPr>
            <w:r>
              <w:rPr>
                <w:sz w:val="20"/>
              </w:rPr>
              <w:t>勞工在完全未知環境危險程度的情況下進入作業。</w:t>
            </w:r>
          </w:p>
        </w:tc>
      </w:tr>
      <w:tr>
        <w:trPr>
          <w:trHeight w:val="1037" w:hRule="atLeast"/>
        </w:trPr>
        <w:tc>
          <w:tcPr>
            <w:tcW w:w="87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4" w:type="dxa"/>
          </w:tcPr>
          <w:p>
            <w:pPr>
              <w:pStyle w:val="TableParagraph"/>
              <w:spacing w:line="225" w:lineRule="auto" w:before="4"/>
              <w:ind w:left="109" w:right="164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5. </w:t>
            </w:r>
            <w:r>
              <w:rPr>
                <w:b/>
                <w:sz w:val="20"/>
              </w:rPr>
              <w:t>安全教育訓練</w:t>
            </w:r>
          </w:p>
        </w:tc>
        <w:tc>
          <w:tcPr>
            <w:tcW w:w="1112" w:type="dxa"/>
          </w:tcPr>
          <w:p>
            <w:pPr>
              <w:pStyle w:val="TableParagraph"/>
              <w:spacing w:line="345" w:lineRule="exact"/>
              <w:rPr>
                <w:sz w:val="20"/>
              </w:rPr>
            </w:pPr>
            <w:r>
              <w:rPr>
                <w:sz w:val="20"/>
              </w:rPr>
              <w:t>嚴重不足</w:t>
            </w:r>
          </w:p>
          <w:p>
            <w:pPr>
              <w:pStyle w:val="TableParagraph"/>
              <w:spacing w:line="357" w:lineRule="exact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推斷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556" w:type="dxa"/>
          </w:tcPr>
          <w:p>
            <w:pPr>
              <w:pStyle w:val="TableParagraph"/>
              <w:spacing w:line="225" w:lineRule="auto" w:before="4"/>
              <w:ind w:left="109" w:right="233"/>
              <w:rPr>
                <w:sz w:val="20"/>
              </w:rPr>
            </w:pPr>
            <w:r>
              <w:rPr>
                <w:sz w:val="20"/>
              </w:rPr>
              <w:t>承攬商勞工明顯缺乏對局限空間危害、防護具選擇</w:t>
            </w:r>
          </w:p>
          <w:p>
            <w:pPr>
              <w:pStyle w:val="TableParagraph"/>
              <w:spacing w:line="322" w:lineRule="exact"/>
              <w:ind w:left="109"/>
              <w:rPr>
                <w:sz w:val="20"/>
              </w:rPr>
            </w:pPr>
            <w:r>
              <w:rPr>
                <w:sz w:val="20"/>
              </w:rPr>
              <w:t>的正確知識。</w:t>
            </w:r>
          </w:p>
        </w:tc>
        <w:tc>
          <w:tcPr>
            <w:tcW w:w="3648" w:type="dxa"/>
          </w:tcPr>
          <w:p>
            <w:pPr>
              <w:pStyle w:val="TableParagraph"/>
              <w:spacing w:line="225" w:lineRule="auto" w:before="4"/>
              <w:ind w:right="126"/>
              <w:rPr>
                <w:sz w:val="20"/>
              </w:rPr>
            </w:pPr>
            <w:r>
              <w:rPr>
                <w:sz w:val="20"/>
              </w:rPr>
              <w:t>導致從作業到救援，所有人員皆做出錯誤且致命的判斷。</w:t>
            </w:r>
          </w:p>
        </w:tc>
      </w:tr>
      <w:tr>
        <w:trPr>
          <w:trHeight w:val="1038" w:hRule="atLeast"/>
        </w:trPr>
        <w:tc>
          <w:tcPr>
            <w:tcW w:w="87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4" w:type="dxa"/>
          </w:tcPr>
          <w:p>
            <w:pPr>
              <w:pStyle w:val="TableParagraph"/>
              <w:spacing w:line="225" w:lineRule="auto" w:before="5"/>
              <w:ind w:left="109" w:right="164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6. </w:t>
            </w:r>
            <w:r>
              <w:rPr>
                <w:b/>
                <w:sz w:val="20"/>
              </w:rPr>
              <w:t>緊急應變與救援</w:t>
            </w:r>
          </w:p>
          <w:p>
            <w:pPr>
              <w:pStyle w:val="TableParagraph"/>
              <w:spacing w:line="322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計畫</w:t>
            </w:r>
          </w:p>
        </w:tc>
        <w:tc>
          <w:tcPr>
            <w:tcW w:w="1112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sz w:val="20"/>
              </w:rPr>
              <w:t>不存在</w:t>
            </w:r>
          </w:p>
          <w:p>
            <w:pPr>
              <w:pStyle w:val="TableParagraph"/>
              <w:spacing w:line="357" w:lineRule="exact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pacing w:val="-1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556" w:type="dxa"/>
          </w:tcPr>
          <w:p>
            <w:pPr>
              <w:pStyle w:val="TableParagraph"/>
              <w:spacing w:line="225" w:lineRule="auto" w:before="5"/>
              <w:ind w:left="109" w:right="233"/>
              <w:rPr>
                <w:sz w:val="20"/>
              </w:rPr>
            </w:pPr>
            <w:r>
              <w:rPr>
                <w:sz w:val="20"/>
              </w:rPr>
              <w:t>未規劃任何緊急應變程 </w:t>
            </w:r>
            <w:r>
              <w:rPr>
                <w:spacing w:val="-2"/>
                <w:sz w:val="20"/>
              </w:rPr>
              <w:t>序，未禁止非專業人員救</w:t>
            </w:r>
          </w:p>
          <w:p>
            <w:pPr>
              <w:pStyle w:val="TableParagraph"/>
              <w:spacing w:line="322" w:lineRule="exact"/>
              <w:ind w:left="109"/>
              <w:rPr>
                <w:sz w:val="20"/>
              </w:rPr>
            </w:pPr>
            <w:r>
              <w:rPr>
                <w:sz w:val="20"/>
              </w:rPr>
              <w:t>援。</w:t>
            </w:r>
          </w:p>
        </w:tc>
        <w:tc>
          <w:tcPr>
            <w:tcW w:w="3648" w:type="dxa"/>
          </w:tcPr>
          <w:p>
            <w:pPr>
              <w:pStyle w:val="TableParagraph"/>
              <w:spacing w:line="225" w:lineRule="auto" w:before="5"/>
              <w:ind w:right="70"/>
              <w:rPr>
                <w:b/>
                <w:sz w:val="20"/>
              </w:rPr>
            </w:pPr>
            <w:r>
              <w:rPr>
                <w:b/>
                <w:sz w:val="20"/>
              </w:rPr>
              <w:t>直接導致 </w:t>
            </w:r>
            <w:r>
              <w:rPr>
                <w:rFonts w:ascii="Segoe UI" w:eastAsia="Segoe UI"/>
                <w:b/>
                <w:sz w:val="20"/>
              </w:rPr>
              <w:t>4 </w:t>
            </w:r>
            <w:r>
              <w:rPr>
                <w:b/>
                <w:sz w:val="20"/>
              </w:rPr>
              <w:t>名救援者跟進受害，使單一事故演變為群聚災難。</w:t>
            </w:r>
          </w:p>
        </w:tc>
      </w:tr>
    </w:tbl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13"/>
        </w:rPr>
      </w:pPr>
      <w:r>
        <w:rPr/>
        <w:pict>
          <v:group style="position:absolute;margin-left:63.779999pt;margin-top:10.413969pt;width:467.85pt;height:1.55pt;mso-position-horizontal-relative:page;mso-position-vertical-relative:paragraph;z-index:-880;mso-wrap-distance-left:0;mso-wrap-distance-right:0" coordorigin="1276,208" coordsize="9357,31">
            <v:line style="position:absolute" from="1276,224" to="10632,224" stroked="true" strokeweight="1.5pt" strokecolor="#9f9f9f">
              <v:stroke dashstyle="solid"/>
            </v:line>
            <v:rect style="position:absolute;left:1275;top:208;width:5;height:5" filled="true" fillcolor="#9f9f9f" stroked="false">
              <v:fill type="solid"/>
            </v:rect>
            <v:rect style="position:absolute;left:1275;top:208;width:5;height:5" filled="true" fillcolor="#9f9f9f" stroked="false">
              <v:fill type="solid"/>
            </v:rect>
            <v:line style="position:absolute" from="1280,211" to="10627,211" stroked="true" strokeweight=".239pt" strokecolor="#9f9f9f">
              <v:stroke dashstyle="solid"/>
            </v:line>
            <v:rect style="position:absolute;left:10627;top:208;width:5;height:5" filled="true" fillcolor="#e2e2e2" stroked="false">
              <v:fill type="solid"/>
            </v:rect>
            <v:rect style="position:absolute;left:10627;top:208;width:5;height:5" filled="true" fillcolor="#9f9f9f" stroked="false">
              <v:fill type="solid"/>
            </v:rect>
            <v:rect style="position:absolute;left:1275;top:213;width:5;height:21" filled="true" fillcolor="#9f9f9f" stroked="false">
              <v:fill type="solid"/>
            </v:rect>
            <v:rect style="position:absolute;left:10627;top:213;width:5;height:21" filled="true" fillcolor="#e2e2e2" stroked="false">
              <v:fill type="solid"/>
            </v:rect>
            <v:rect style="position:absolute;left:1275;top:233;width:5;height:5" filled="true" fillcolor="#9f9f9f" stroked="false">
              <v:fill type="solid"/>
            </v:rect>
            <v:rect style="position:absolute;left:1275;top:233;width:5;height:5" filled="true" fillcolor="#e2e2e2" stroked="false">
              <v:fill type="solid"/>
            </v:rect>
            <v:line style="position:absolute" from="1280,236" to="10627,236" stroked="true" strokeweight=".239pt" strokecolor="#e2e2e2">
              <v:stroke dashstyle="solid"/>
            </v:line>
            <v:rect style="position:absolute;left:10627;top:233;width:5;height:5" filled="true" fillcolor="#e2e2e2" stroked="false">
              <v:fill type="solid"/>
            </v:rect>
            <v:rect style="position:absolute;left:10627;top:233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</w:pPr>
      <w:r>
        <w:rPr/>
        <w:t>五</w:t>
      </w:r>
      <w:r>
        <w:rPr>
          <w:rFonts w:ascii="Calibri" w:eastAsia="Calibri"/>
        </w:rPr>
        <w:t>. </w:t>
      </w:r>
      <w:r>
        <w:rPr/>
        <w:t>變更分析</w:t>
      </w:r>
    </w:p>
    <w:p>
      <w:pPr>
        <w:pStyle w:val="BodyText"/>
        <w:spacing w:line="428" w:lineRule="exact"/>
        <w:ind w:left="475"/>
      </w:pPr>
      <w:r>
        <w:rPr/>
        <w:t>本分析比較「事故狀況」與「理想的無事故狀況」，以識別導致事故的關鍵差異。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2192"/>
        <w:gridCol w:w="1903"/>
        <w:gridCol w:w="2309"/>
        <w:gridCol w:w="1887"/>
      </w:tblGrid>
      <w:tr>
        <w:trPr>
          <w:trHeight w:val="690" w:hRule="atLeast"/>
        </w:trPr>
        <w:tc>
          <w:tcPr>
            <w:tcW w:w="1056" w:type="dxa"/>
          </w:tcPr>
          <w:p>
            <w:pPr>
              <w:pStyle w:val="TableParagraph"/>
              <w:spacing w:line="344" w:lineRule="exact"/>
              <w:ind w:left="107"/>
              <w:rPr>
                <w:sz w:val="20"/>
              </w:rPr>
            </w:pPr>
            <w:r>
              <w:rPr>
                <w:sz w:val="20"/>
              </w:rPr>
              <w:t>因素</w:t>
            </w:r>
          </w:p>
        </w:tc>
        <w:tc>
          <w:tcPr>
            <w:tcW w:w="2192" w:type="dxa"/>
          </w:tcPr>
          <w:p>
            <w:pPr>
              <w:pStyle w:val="TableParagraph"/>
              <w:spacing w:line="344" w:lineRule="exact"/>
              <w:ind w:left="109"/>
              <w:rPr>
                <w:sz w:val="20"/>
              </w:rPr>
            </w:pPr>
            <w:r>
              <w:rPr>
                <w:sz w:val="20"/>
              </w:rPr>
              <w:t>事故狀況</w:t>
            </w:r>
          </w:p>
        </w:tc>
        <w:tc>
          <w:tcPr>
            <w:tcW w:w="1903" w:type="dxa"/>
          </w:tcPr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先前、理想或未發</w:t>
            </w:r>
          </w:p>
          <w:p>
            <w:pPr>
              <w:pStyle w:val="TableParagraph"/>
              <w:spacing w:line="338" w:lineRule="exact"/>
              <w:rPr>
                <w:rFonts w:ascii="Segoe UI" w:eastAsia="Segoe UI"/>
                <w:sz w:val="20"/>
              </w:rPr>
            </w:pPr>
            <w:r>
              <w:rPr>
                <w:spacing w:val="8"/>
                <w:sz w:val="20"/>
              </w:rPr>
              <w:t>生事故狀況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309" w:type="dxa"/>
          </w:tcPr>
          <w:p>
            <w:pPr>
              <w:pStyle w:val="TableParagraph"/>
              <w:spacing w:line="344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差異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變更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887" w:type="dxa"/>
          </w:tcPr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sz w:val="20"/>
              </w:rPr>
              <w:t>效果評估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差異對</w:t>
            </w:r>
          </w:p>
          <w:p>
            <w:pPr>
              <w:pStyle w:val="TableParagraph"/>
              <w:spacing w:line="338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事故的影響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037" w:hRule="atLeast"/>
        </w:trPr>
        <w:tc>
          <w:tcPr>
            <w:tcW w:w="1056" w:type="dxa"/>
          </w:tcPr>
          <w:p>
            <w:pPr>
              <w:pStyle w:val="TableParagraph"/>
              <w:spacing w:line="248" w:lineRule="exact"/>
              <w:ind w:left="107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WHAT</w:t>
            </w:r>
          </w:p>
          <w:p>
            <w:pPr>
              <w:pStyle w:val="TableParagraph"/>
              <w:spacing w:line="362" w:lineRule="exact"/>
              <w:ind w:left="107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什麼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2192" w:type="dxa"/>
          </w:tcPr>
          <w:p>
            <w:pPr>
              <w:pStyle w:val="TableParagraph"/>
              <w:spacing w:line="225" w:lineRule="auto"/>
              <w:ind w:right="269"/>
              <w:rPr>
                <w:sz w:val="20"/>
              </w:rPr>
            </w:pPr>
            <w:r>
              <w:rPr>
                <w:sz w:val="20"/>
              </w:rPr>
              <w:t>進入「排空後」的桶槽檢查。</w:t>
            </w:r>
          </w:p>
        </w:tc>
        <w:tc>
          <w:tcPr>
            <w:tcW w:w="1903" w:type="dxa"/>
          </w:tcPr>
          <w:p>
            <w:pPr>
              <w:pStyle w:val="TableParagraph"/>
              <w:spacing w:line="225" w:lineRule="auto"/>
              <w:ind w:right="182"/>
              <w:rPr>
                <w:sz w:val="20"/>
              </w:rPr>
            </w:pPr>
            <w:r>
              <w:rPr>
                <w:sz w:val="20"/>
              </w:rPr>
              <w:t>進入經「通風、測定、確認安全」後</w:t>
            </w:r>
          </w:p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sz w:val="20"/>
              </w:rPr>
              <w:t>的桶槽檢查。</w:t>
            </w:r>
          </w:p>
        </w:tc>
        <w:tc>
          <w:tcPr>
            <w:tcW w:w="2309" w:type="dxa"/>
          </w:tcPr>
          <w:p>
            <w:pPr>
              <w:pStyle w:val="TableParagraph"/>
              <w:spacing w:line="225" w:lineRule="auto"/>
              <w:ind w:right="187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對桶槽狀態的「認知」發生偏差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以為排空</w:t>
            </w:r>
            <w:r>
              <w:rPr>
                <w:rFonts w:ascii="Segoe UI" w:eastAsia="Segoe UI"/>
                <w:sz w:val="20"/>
              </w:rPr>
              <w:t>=</w:t>
            </w:r>
          </w:p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sz w:val="20"/>
              </w:rPr>
              <w:t>安全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1887" w:type="dxa"/>
          </w:tcPr>
          <w:p>
            <w:pPr>
              <w:pStyle w:val="TableParagraph"/>
              <w:spacing w:line="225" w:lineRule="auto"/>
              <w:ind w:right="166"/>
              <w:rPr>
                <w:sz w:val="20"/>
              </w:rPr>
            </w:pPr>
            <w:r>
              <w:rPr>
                <w:sz w:val="20"/>
              </w:rPr>
              <w:t>錯誤的認知導致所有安全措施都被忽</w:t>
            </w:r>
          </w:p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sz w:val="20"/>
              </w:rPr>
              <w:t>略。</w:t>
            </w:r>
          </w:p>
        </w:tc>
      </w:tr>
      <w:tr>
        <w:trPr>
          <w:trHeight w:val="1038" w:hRule="atLeast"/>
        </w:trPr>
        <w:tc>
          <w:tcPr>
            <w:tcW w:w="1056" w:type="dxa"/>
          </w:tcPr>
          <w:p>
            <w:pPr>
              <w:pStyle w:val="TableParagraph"/>
              <w:spacing w:line="249" w:lineRule="exact"/>
              <w:ind w:left="107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WHERE</w:t>
            </w:r>
          </w:p>
          <w:p>
            <w:pPr>
              <w:pStyle w:val="TableParagraph"/>
              <w:spacing w:line="362" w:lineRule="exact"/>
              <w:ind w:left="107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何地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2192" w:type="dxa"/>
          </w:tcPr>
          <w:p>
            <w:pPr>
              <w:pStyle w:val="TableParagraph"/>
              <w:spacing w:line="334" w:lineRule="exact"/>
              <w:rPr>
                <w:sz w:val="20"/>
              </w:rPr>
            </w:pPr>
            <w:r>
              <w:rPr>
                <w:sz w:val="20"/>
              </w:rPr>
              <w:t>於一個氧氣濃度僅</w:t>
            </w:r>
          </w:p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5%~14%</w:t>
            </w:r>
            <w:r>
              <w:rPr>
                <w:sz w:val="20"/>
              </w:rPr>
              <w:t>且含毒氣的</w:t>
            </w:r>
          </w:p>
          <w:p>
            <w:pPr>
              <w:pStyle w:val="TableParagraph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密閉空間。</w:t>
            </w:r>
          </w:p>
        </w:tc>
        <w:tc>
          <w:tcPr>
            <w:tcW w:w="1903" w:type="dxa"/>
          </w:tcPr>
          <w:p>
            <w:pPr>
              <w:pStyle w:val="TableParagraph"/>
              <w:spacing w:line="334" w:lineRule="exact"/>
              <w:rPr>
                <w:sz w:val="20"/>
              </w:rPr>
            </w:pPr>
            <w:r>
              <w:rPr>
                <w:sz w:val="20"/>
              </w:rPr>
              <w:t>於一個氧氣濃度</w:t>
            </w:r>
          </w:p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&gt;19.5%</w:t>
            </w:r>
            <w:r>
              <w:rPr>
                <w:sz w:val="20"/>
              </w:rPr>
              <w:t>且無毒氣的</w:t>
            </w:r>
          </w:p>
          <w:p>
            <w:pPr>
              <w:pStyle w:val="TableParagraph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作業空間。</w:t>
            </w:r>
          </w:p>
        </w:tc>
        <w:tc>
          <w:tcPr>
            <w:tcW w:w="2309" w:type="dxa"/>
          </w:tcPr>
          <w:p>
            <w:pPr>
              <w:pStyle w:val="TableParagraph"/>
              <w:spacing w:line="225" w:lineRule="auto"/>
              <w:ind w:right="187"/>
              <w:rPr>
                <w:b/>
                <w:sz w:val="20"/>
              </w:rPr>
            </w:pPr>
            <w:r>
              <w:rPr>
                <w:sz w:val="20"/>
              </w:rPr>
              <w:t>作業環境由「可作業」變為「</w:t>
            </w:r>
            <w:r>
              <w:rPr>
                <w:b/>
                <w:sz w:val="20"/>
              </w:rPr>
              <w:t>立即致死或危害</w:t>
            </w:r>
          </w:p>
          <w:p>
            <w:pPr>
              <w:pStyle w:val="TableParagraph"/>
              <w:spacing w:line="334" w:lineRule="exact"/>
              <w:rPr>
                <w:sz w:val="20"/>
              </w:rPr>
            </w:pPr>
            <w:r>
              <w:rPr>
                <w:b/>
                <w:sz w:val="20"/>
              </w:rPr>
              <w:t>健康</w:t>
            </w:r>
            <w:r>
              <w:rPr>
                <w:rFonts w:ascii="Segoe UI" w:eastAsia="Segoe UI"/>
                <w:b/>
                <w:sz w:val="20"/>
              </w:rPr>
              <w:t>(IDLH)</w:t>
            </w:r>
            <w:r>
              <w:rPr>
                <w:sz w:val="20"/>
              </w:rPr>
              <w:t>」。</w:t>
            </w:r>
          </w:p>
        </w:tc>
        <w:tc>
          <w:tcPr>
            <w:tcW w:w="1887" w:type="dxa"/>
          </w:tcPr>
          <w:p>
            <w:pPr>
              <w:pStyle w:val="TableParagraph"/>
              <w:spacing w:line="225" w:lineRule="auto"/>
              <w:ind w:right="166"/>
              <w:rPr>
                <w:sz w:val="20"/>
              </w:rPr>
            </w:pPr>
            <w:r>
              <w:rPr>
                <w:sz w:val="20"/>
              </w:rPr>
              <w:t>在此環境下，任何防護錯誤都是致命</w:t>
            </w:r>
          </w:p>
          <w:p>
            <w:pPr>
              <w:pStyle w:val="TableParagraph"/>
              <w:spacing w:line="334" w:lineRule="exact"/>
              <w:rPr>
                <w:sz w:val="20"/>
              </w:rPr>
            </w:pPr>
            <w:r>
              <w:rPr>
                <w:sz w:val="20"/>
              </w:rPr>
              <w:t>的。</w:t>
            </w:r>
          </w:p>
        </w:tc>
      </w:tr>
      <w:tr>
        <w:trPr>
          <w:trHeight w:val="1383" w:hRule="atLeast"/>
        </w:trPr>
        <w:tc>
          <w:tcPr>
            <w:tcW w:w="1056" w:type="dxa"/>
          </w:tcPr>
          <w:p>
            <w:pPr>
              <w:pStyle w:val="TableParagraph"/>
              <w:spacing w:line="333" w:lineRule="exact"/>
              <w:ind w:left="107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WHO (</w:t>
            </w:r>
            <w:r>
              <w:rPr>
                <w:b/>
                <w:sz w:val="20"/>
              </w:rPr>
              <w:t>何</w:t>
            </w:r>
          </w:p>
          <w:p>
            <w:pPr>
              <w:pStyle w:val="TableParagraph"/>
              <w:spacing w:line="357" w:lineRule="exact"/>
              <w:ind w:left="107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人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2192" w:type="dxa"/>
          </w:tcPr>
          <w:p>
            <w:pPr>
              <w:pStyle w:val="TableParagraph"/>
              <w:spacing w:line="225" w:lineRule="auto"/>
              <w:ind w:right="269"/>
              <w:rPr>
                <w:sz w:val="20"/>
              </w:rPr>
            </w:pPr>
            <w:r>
              <w:rPr>
                <w:sz w:val="20"/>
              </w:rPr>
              <w:t>一群缺乏危害認知與防護知識的勞工。</w:t>
            </w:r>
          </w:p>
        </w:tc>
        <w:tc>
          <w:tcPr>
            <w:tcW w:w="1903" w:type="dxa"/>
          </w:tcPr>
          <w:p>
            <w:pPr>
              <w:pStyle w:val="TableParagraph"/>
              <w:spacing w:line="225" w:lineRule="auto"/>
              <w:ind w:right="182"/>
              <w:jc w:val="both"/>
              <w:rPr>
                <w:sz w:val="20"/>
              </w:rPr>
            </w:pPr>
            <w:r>
              <w:rPr>
                <w:sz w:val="20"/>
              </w:rPr>
              <w:t>受過完整訓練、能正確選用防護具的合格作業人員。</w:t>
            </w:r>
          </w:p>
        </w:tc>
        <w:tc>
          <w:tcPr>
            <w:tcW w:w="2309" w:type="dxa"/>
          </w:tcPr>
          <w:p>
            <w:pPr>
              <w:pStyle w:val="TableParagraph"/>
              <w:spacing w:line="225" w:lineRule="auto"/>
              <w:ind w:right="187"/>
              <w:rPr>
                <w:sz w:val="20"/>
              </w:rPr>
            </w:pPr>
            <w:r>
              <w:rPr>
                <w:sz w:val="20"/>
              </w:rPr>
              <w:t>作業人員的「專業知 識」由具備變為</w:t>
            </w:r>
            <w:r>
              <w:rPr>
                <w:b/>
                <w:spacing w:val="-6"/>
                <w:sz w:val="20"/>
              </w:rPr>
              <w:t>嚴重不</w:t>
            </w:r>
            <w:r>
              <w:rPr>
                <w:b/>
                <w:sz w:val="20"/>
              </w:rPr>
              <w:t>足</w:t>
            </w:r>
            <w:r>
              <w:rPr>
                <w:sz w:val="20"/>
              </w:rPr>
              <w:t>。</w:t>
            </w:r>
          </w:p>
        </w:tc>
        <w:tc>
          <w:tcPr>
            <w:tcW w:w="1887" w:type="dxa"/>
          </w:tcPr>
          <w:p>
            <w:pPr>
              <w:pStyle w:val="TableParagraph"/>
              <w:spacing w:line="225" w:lineRule="auto"/>
              <w:ind w:right="166"/>
              <w:jc w:val="both"/>
              <w:rPr>
                <w:sz w:val="20"/>
              </w:rPr>
            </w:pPr>
            <w:r>
              <w:rPr>
                <w:sz w:val="20"/>
              </w:rPr>
              <w:t>導致選用了完全無效的防護具，並採取了最錯誤的救援</w:t>
            </w:r>
          </w:p>
          <w:p>
            <w:pPr>
              <w:pStyle w:val="TableParagraph"/>
              <w:spacing w:line="334" w:lineRule="exact"/>
              <w:jc w:val="both"/>
              <w:rPr>
                <w:sz w:val="20"/>
              </w:rPr>
            </w:pPr>
            <w:r>
              <w:rPr>
                <w:sz w:val="20"/>
              </w:rPr>
              <w:t>方式。</w:t>
            </w:r>
          </w:p>
        </w:tc>
      </w:tr>
      <w:tr>
        <w:trPr>
          <w:trHeight w:val="1384" w:hRule="atLeast"/>
        </w:trPr>
        <w:tc>
          <w:tcPr>
            <w:tcW w:w="1056" w:type="dxa"/>
          </w:tcPr>
          <w:p>
            <w:pPr>
              <w:pStyle w:val="TableParagraph"/>
              <w:spacing w:line="333" w:lineRule="exact"/>
              <w:ind w:left="107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HOW (</w:t>
            </w:r>
            <w:r>
              <w:rPr>
                <w:b/>
                <w:sz w:val="20"/>
              </w:rPr>
              <w:t>如</w:t>
            </w:r>
          </w:p>
          <w:p>
            <w:pPr>
              <w:pStyle w:val="TableParagraph"/>
              <w:spacing w:line="357" w:lineRule="exact"/>
              <w:ind w:left="107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何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2192" w:type="dxa"/>
          </w:tcPr>
          <w:p>
            <w:pPr>
              <w:pStyle w:val="TableParagraph"/>
              <w:spacing w:line="225" w:lineRule="auto"/>
              <w:ind w:right="236" w:hanging="1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佩戴了錯誤的 </w:t>
            </w:r>
            <w:r>
              <w:rPr>
                <w:rFonts w:ascii="Segoe UI" w:eastAsia="Segoe UI"/>
                <w:sz w:val="20"/>
              </w:rPr>
              <w:t>R95 </w:t>
            </w:r>
            <w:r>
              <w:rPr>
                <w:spacing w:val="-14"/>
                <w:sz w:val="20"/>
              </w:rPr>
              <w:t>口</w:t>
            </w:r>
            <w:r>
              <w:rPr>
                <w:sz w:val="20"/>
              </w:rPr>
              <w:t>罩進入，並在事故後由同事們「徒手」救</w:t>
            </w:r>
          </w:p>
          <w:p>
            <w:pPr>
              <w:pStyle w:val="TableParagraph"/>
              <w:spacing w:line="335" w:lineRule="exact"/>
              <w:jc w:val="both"/>
              <w:rPr>
                <w:sz w:val="20"/>
              </w:rPr>
            </w:pPr>
            <w:r>
              <w:rPr>
                <w:sz w:val="20"/>
              </w:rPr>
              <w:t>援。</w:t>
            </w:r>
          </w:p>
        </w:tc>
        <w:tc>
          <w:tcPr>
            <w:tcW w:w="1903" w:type="dxa"/>
          </w:tcPr>
          <w:p>
            <w:pPr>
              <w:pStyle w:val="TableParagraph"/>
              <w:spacing w:line="225" w:lineRule="auto"/>
              <w:ind w:right="182"/>
              <w:jc w:val="both"/>
              <w:rPr>
                <w:sz w:val="20"/>
              </w:rPr>
            </w:pPr>
            <w:r>
              <w:rPr>
                <w:sz w:val="20"/>
              </w:rPr>
              <w:t>佩戴供氣式呼吸防護具進入，並有專業救援隊在旁待</w:t>
            </w:r>
          </w:p>
          <w:p>
            <w:pPr>
              <w:pStyle w:val="TableParagraph"/>
              <w:spacing w:line="335" w:lineRule="exact"/>
              <w:jc w:val="both"/>
              <w:rPr>
                <w:sz w:val="20"/>
              </w:rPr>
            </w:pPr>
            <w:r>
              <w:rPr>
                <w:sz w:val="20"/>
              </w:rPr>
              <w:t>命。</w:t>
            </w:r>
          </w:p>
        </w:tc>
        <w:tc>
          <w:tcPr>
            <w:tcW w:w="2309" w:type="dxa"/>
          </w:tcPr>
          <w:p>
            <w:pPr>
              <w:pStyle w:val="TableParagraph"/>
              <w:spacing w:line="225" w:lineRule="auto"/>
              <w:ind w:right="187"/>
              <w:jc w:val="both"/>
              <w:rPr>
                <w:sz w:val="20"/>
              </w:rPr>
            </w:pPr>
            <w:r>
              <w:rPr>
                <w:sz w:val="20"/>
              </w:rPr>
              <w:t>作業與救援的「方法」由安全程序變為</w:t>
            </w:r>
            <w:r>
              <w:rPr>
                <w:b/>
                <w:sz w:val="20"/>
              </w:rPr>
              <w:t>錯誤的認知與本能反應</w:t>
            </w:r>
            <w:r>
              <w:rPr>
                <w:sz w:val="20"/>
              </w:rPr>
              <w:t>。</w:t>
            </w:r>
          </w:p>
        </w:tc>
        <w:tc>
          <w:tcPr>
            <w:tcW w:w="1887" w:type="dxa"/>
          </w:tcPr>
          <w:p>
            <w:pPr>
              <w:pStyle w:val="TableParagraph"/>
              <w:spacing w:line="225" w:lineRule="auto"/>
              <w:ind w:right="167"/>
              <w:rPr>
                <w:sz w:val="20"/>
              </w:rPr>
            </w:pPr>
            <w:r>
              <w:rPr>
                <w:spacing w:val="-3"/>
                <w:sz w:val="20"/>
              </w:rPr>
              <w:t>錯誤的方法讓第一</w:t>
            </w:r>
            <w:r>
              <w:rPr>
                <w:sz w:val="20"/>
              </w:rPr>
              <w:t>位罹災者無法自 </w:t>
            </w:r>
            <w:r>
              <w:rPr>
                <w:spacing w:val="-3"/>
                <w:sz w:val="20"/>
              </w:rPr>
              <w:t>保，並讓後續四人</w:t>
            </w:r>
          </w:p>
          <w:p>
            <w:pPr>
              <w:pStyle w:val="TableParagraph"/>
              <w:spacing w:line="335" w:lineRule="exact"/>
              <w:rPr>
                <w:sz w:val="20"/>
              </w:rPr>
            </w:pPr>
            <w:r>
              <w:rPr>
                <w:sz w:val="20"/>
              </w:rPr>
              <w:t>也陷入險境。</w:t>
            </w:r>
          </w:p>
        </w:tc>
      </w:tr>
    </w:tbl>
    <w:p>
      <w:pPr>
        <w:pStyle w:val="BodyText"/>
        <w:spacing w:before="14"/>
        <w:rPr>
          <w:sz w:val="21"/>
        </w:rPr>
      </w:pPr>
      <w:r>
        <w:rPr/>
        <w:pict>
          <v:group style="position:absolute;margin-left:63.779999pt;margin-top:21.993114pt;width:467.85pt;height:1.55pt;mso-position-horizontal-relative:page;mso-position-vertical-relative:paragraph;z-index:-856;mso-wrap-distance-left:0;mso-wrap-distance-right:0" coordorigin="1276,440" coordsize="9357,31">
            <v:line style="position:absolute" from="1276,455" to="10632,455" stroked="true" strokeweight="1.5pt" strokecolor="#9f9f9f">
              <v:stroke dashstyle="solid"/>
            </v:line>
            <v:rect style="position:absolute;left:1275;top:440;width:5;height:5" filled="true" fillcolor="#9f9f9f" stroked="false">
              <v:fill type="solid"/>
            </v:rect>
            <v:rect style="position:absolute;left:1275;top:440;width:5;height:5" filled="true" fillcolor="#9f9f9f" stroked="false">
              <v:fill type="solid"/>
            </v:rect>
            <v:line style="position:absolute" from="1280,442" to="10627,442" stroked="true" strokeweight=".24pt" strokecolor="#9f9f9f">
              <v:stroke dashstyle="solid"/>
            </v:line>
            <v:rect style="position:absolute;left:10627;top:440;width:5;height:5" filled="true" fillcolor="#e2e2e2" stroked="false">
              <v:fill type="solid"/>
            </v:rect>
            <v:rect style="position:absolute;left:10627;top:440;width:5;height:5" filled="true" fillcolor="#9f9f9f" stroked="false">
              <v:fill type="solid"/>
            </v:rect>
            <v:rect style="position:absolute;left:1275;top:444;width:5;height:21" filled="true" fillcolor="#9f9f9f" stroked="false">
              <v:fill type="solid"/>
            </v:rect>
            <v:rect style="position:absolute;left:10627;top:444;width:5;height:21" filled="true" fillcolor="#e2e2e2" stroked="false">
              <v:fill type="solid"/>
            </v:rect>
            <v:rect style="position:absolute;left:1275;top:465;width:5;height:5" filled="true" fillcolor="#9f9f9f" stroked="false">
              <v:fill type="solid"/>
            </v:rect>
            <v:rect style="position:absolute;left:1275;top:465;width:5;height:5" filled="true" fillcolor="#e2e2e2" stroked="false">
              <v:fill type="solid"/>
            </v:rect>
            <v:line style="position:absolute" from="1280,468" to="10627,468" stroked="true" strokeweight=".24pt" strokecolor="#e2e2e2">
              <v:stroke dashstyle="solid"/>
            </v:line>
            <v:rect style="position:absolute;left:10627;top:465;width:5;height:5" filled="true" fillcolor="#e2e2e2" stroked="false">
              <v:fill type="solid"/>
            </v:rect>
            <v:rect style="position:absolute;left:10627;top:465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</w:pPr>
      <w:r>
        <w:rPr/>
        <w:t>六</w:t>
      </w:r>
      <w:r>
        <w:rPr>
          <w:rFonts w:ascii="Calibri" w:eastAsia="Calibri"/>
        </w:rPr>
        <w:t>. </w:t>
      </w:r>
      <w:r>
        <w:rPr/>
        <w:t>人為失誤分析</w:t>
      </w:r>
    </w:p>
    <w:p>
      <w:pPr>
        <w:pStyle w:val="BodyText"/>
        <w:spacing w:line="428" w:lineRule="exact"/>
        <w:ind w:left="475"/>
      </w:pPr>
      <w:r>
        <w:rPr/>
        <w:t>本分析探討影響人員行為的深層次原因，而非僅歸咎於個人。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7"/>
        <w:gridCol w:w="3552"/>
        <w:gridCol w:w="3708"/>
      </w:tblGrid>
      <w:tr>
        <w:trPr>
          <w:trHeight w:val="345" w:hRule="atLeast"/>
        </w:trPr>
        <w:tc>
          <w:tcPr>
            <w:tcW w:w="2087" w:type="dxa"/>
          </w:tcPr>
          <w:p>
            <w:pPr>
              <w:pStyle w:val="TableParagraph"/>
              <w:spacing w:line="325" w:lineRule="exact"/>
              <w:ind w:left="107"/>
              <w:rPr>
                <w:sz w:val="20"/>
              </w:rPr>
            </w:pPr>
            <w:r>
              <w:rPr>
                <w:sz w:val="20"/>
              </w:rPr>
              <w:t>失誤類型</w:t>
            </w:r>
          </w:p>
        </w:tc>
        <w:tc>
          <w:tcPr>
            <w:tcW w:w="3552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主要不安全行為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失誤</w:t>
            </w:r>
          </w:p>
        </w:tc>
        <w:tc>
          <w:tcPr>
            <w:tcW w:w="3708" w:type="dxa"/>
          </w:tcPr>
          <w:p>
            <w:pPr>
              <w:pStyle w:val="TableParagraph"/>
              <w:spacing w:line="325" w:lineRule="exact"/>
              <w:ind w:left="107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根本原因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組織與系統層面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038" w:hRule="atLeast"/>
        </w:trPr>
        <w:tc>
          <w:tcPr>
            <w:tcW w:w="2087" w:type="dxa"/>
          </w:tcPr>
          <w:p>
            <w:pPr>
              <w:pStyle w:val="TableParagraph"/>
              <w:spacing w:line="33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知識性錯誤</w:t>
            </w:r>
          </w:p>
          <w:p>
            <w:pPr>
              <w:pStyle w:val="TableParagraph"/>
              <w:ind w:left="107" w:right="190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(Knowledge-based mistake)</w:t>
            </w:r>
          </w:p>
        </w:tc>
        <w:tc>
          <w:tcPr>
            <w:tcW w:w="3552" w:type="dxa"/>
          </w:tcPr>
          <w:p>
            <w:pPr>
              <w:pStyle w:val="TableParagraph"/>
              <w:spacing w:line="225" w:lineRule="auto"/>
              <w:ind w:right="130"/>
              <w:rPr>
                <w:sz w:val="20"/>
              </w:rPr>
            </w:pPr>
            <w:r>
              <w:rPr>
                <w:b/>
                <w:spacing w:val="3"/>
                <w:sz w:val="20"/>
              </w:rPr>
              <w:t>承攬商勞工甲員及其主管： </w:t>
            </w:r>
            <w:r>
              <w:rPr>
                <w:spacing w:val="-4"/>
                <w:sz w:val="20"/>
              </w:rPr>
              <w:t>選擇了完</w:t>
            </w:r>
            <w:r>
              <w:rPr>
                <w:spacing w:val="-1"/>
                <w:sz w:val="20"/>
              </w:rPr>
              <w:t>全錯誤的 </w:t>
            </w:r>
            <w:r>
              <w:rPr>
                <w:rFonts w:ascii="Segoe UI" w:eastAsia="Segoe UI"/>
                <w:sz w:val="20"/>
              </w:rPr>
              <w:t>R95</w:t>
            </w:r>
            <w:r>
              <w:rPr>
                <w:rFonts w:ascii="Segoe UI" w:eastAsia="Segoe UI"/>
                <w:spacing w:val="-6"/>
                <w:sz w:val="20"/>
              </w:rPr>
              <w:t> </w:t>
            </w:r>
            <w:r>
              <w:rPr>
                <w:sz w:val="20"/>
              </w:rPr>
              <w:t>口罩。這顯示他們可能</w:t>
            </w:r>
          </w:p>
          <w:p>
            <w:pPr>
              <w:pStyle w:val="TableParagraph"/>
              <w:spacing w:line="336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知道「有危險」，但完全不了解危害</w:t>
            </w:r>
          </w:p>
        </w:tc>
        <w:tc>
          <w:tcPr>
            <w:tcW w:w="3708" w:type="dxa"/>
          </w:tcPr>
          <w:p>
            <w:pPr>
              <w:pStyle w:val="TableParagraph"/>
              <w:spacing w:line="33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訓練與資格管理：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90" w:val="left" w:leader="none"/>
              </w:tabs>
              <w:spacing w:line="346" w:lineRule="exact" w:before="0" w:after="0"/>
              <w:ind w:left="290" w:right="0" w:hanging="183"/>
              <w:jc w:val="left"/>
              <w:rPr>
                <w:sz w:val="20"/>
              </w:rPr>
            </w:pPr>
            <w:r>
              <w:rPr>
                <w:sz w:val="20"/>
              </w:rPr>
              <w:t>公司方及承攬商的教育訓練系統完全</w:t>
            </w:r>
          </w:p>
          <w:p>
            <w:pPr>
              <w:pStyle w:val="TableParagraph"/>
              <w:spacing w:line="339" w:lineRule="exact"/>
              <w:ind w:left="107"/>
              <w:rPr>
                <w:sz w:val="20"/>
              </w:rPr>
            </w:pPr>
            <w:r>
              <w:rPr>
                <w:sz w:val="20"/>
              </w:rPr>
              <w:t>失敗，未能提供勞工正確的危害辨識與</w:t>
            </w:r>
          </w:p>
        </w:tc>
      </w:tr>
    </w:tbl>
    <w:p>
      <w:pPr>
        <w:spacing w:after="0" w:line="339" w:lineRule="exact"/>
        <w:rPr>
          <w:sz w:val="20"/>
        </w:rPr>
        <w:sectPr>
          <w:pgSz w:w="11910" w:h="16840"/>
          <w:pgMar w:top="1420" w:bottom="280" w:left="1160" w:right="116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7"/>
        <w:gridCol w:w="3552"/>
        <w:gridCol w:w="3708"/>
      </w:tblGrid>
      <w:tr>
        <w:trPr>
          <w:trHeight w:val="1037" w:hRule="atLeast"/>
        </w:trPr>
        <w:tc>
          <w:tcPr>
            <w:tcW w:w="208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52" w:type="dxa"/>
          </w:tcPr>
          <w:p>
            <w:pPr>
              <w:pStyle w:val="TableParagraph"/>
              <w:spacing w:line="225" w:lineRule="auto" w:before="4"/>
              <w:ind w:right="230"/>
              <w:rPr>
                <w:sz w:val="20"/>
              </w:rPr>
            </w:pPr>
            <w:r>
              <w:rPr>
                <w:sz w:val="20"/>
              </w:rPr>
              <w:t>的「類型」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氣體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缺氧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與「等級」， 因此做出了基於錯誤知識的判斷。</w:t>
            </w:r>
          </w:p>
        </w:tc>
        <w:tc>
          <w:tcPr>
            <w:tcW w:w="3708" w:type="dxa"/>
          </w:tcPr>
          <w:p>
            <w:pPr>
              <w:pStyle w:val="TableParagraph"/>
              <w:spacing w:line="345" w:lineRule="exact"/>
              <w:ind w:left="107"/>
              <w:rPr>
                <w:sz w:val="20"/>
              </w:rPr>
            </w:pPr>
            <w:r>
              <w:rPr>
                <w:sz w:val="20"/>
              </w:rPr>
              <w:t>防護具選擇知識。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90" w:val="left" w:leader="none"/>
              </w:tabs>
              <w:spacing w:line="346" w:lineRule="exact" w:before="0" w:after="0"/>
              <w:ind w:left="290" w:right="0" w:hanging="183"/>
              <w:jc w:val="left"/>
              <w:rPr>
                <w:sz w:val="20"/>
              </w:rPr>
            </w:pPr>
            <w:r>
              <w:rPr>
                <w:sz w:val="20"/>
              </w:rPr>
              <w:t>可能未建立合格人員授權制度，任何</w:t>
            </w:r>
          </w:p>
          <w:p>
            <w:pPr>
              <w:pStyle w:val="TableParagraph"/>
              <w:spacing w:line="326" w:lineRule="exact"/>
              <w:ind w:left="107"/>
              <w:rPr>
                <w:sz w:val="20"/>
              </w:rPr>
            </w:pPr>
            <w:r>
              <w:rPr>
                <w:sz w:val="20"/>
              </w:rPr>
              <w:t>人都能執行高風險作業。</w:t>
            </w:r>
          </w:p>
        </w:tc>
      </w:tr>
      <w:tr>
        <w:trPr>
          <w:trHeight w:val="2421" w:hRule="atLeast"/>
        </w:trPr>
        <w:tc>
          <w:tcPr>
            <w:tcW w:w="2087" w:type="dxa"/>
          </w:tcPr>
          <w:p>
            <w:pPr>
              <w:pStyle w:val="TableParagraph"/>
              <w:spacing w:line="225" w:lineRule="auto" w:before="4"/>
              <w:ind w:left="107" w:right="277" w:hanging="1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pacing w:val="8"/>
                <w:sz w:val="20"/>
              </w:rPr>
              <w:t>知識性錯誤 </w:t>
            </w:r>
            <w:r>
              <w:rPr>
                <w:rFonts w:ascii="Segoe UI" w:eastAsia="Segoe UI"/>
                <w:b/>
                <w:sz w:val="20"/>
              </w:rPr>
              <w:t>/ </w:t>
            </w:r>
            <w:r>
              <w:rPr>
                <w:b/>
                <w:spacing w:val="-7"/>
                <w:sz w:val="20"/>
              </w:rPr>
              <w:t>違規</w:t>
            </w:r>
            <w:r>
              <w:rPr>
                <w:b/>
                <w:sz w:val="20"/>
              </w:rPr>
              <w:t>行為</w:t>
            </w: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例外性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3552" w:type="dxa"/>
          </w:tcPr>
          <w:p>
            <w:pPr>
              <w:pStyle w:val="TableParagraph"/>
              <w:spacing w:line="225" w:lineRule="auto" w:before="4"/>
              <w:ind w:right="13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四名救援同事： </w:t>
            </w:r>
            <w:r>
              <w:rPr>
                <w:sz w:val="20"/>
              </w:rPr>
              <w:t>看到同事倒下後，在未思考危害的情況下本能地進入救</w:t>
            </w:r>
          </w:p>
          <w:p>
            <w:pPr>
              <w:pStyle w:val="TableParagraph"/>
              <w:spacing w:line="225" w:lineRule="auto" w:before="1"/>
              <w:ind w:right="229"/>
              <w:jc w:val="both"/>
              <w:rPr>
                <w:sz w:val="20"/>
              </w:rPr>
            </w:pPr>
            <w:r>
              <w:rPr>
                <w:sz w:val="20"/>
              </w:rPr>
              <w:t>援。這既是出於對危害的無知，也是一種在緊急情況下，不顧一切的例外性違規行為。</w:t>
            </w:r>
          </w:p>
        </w:tc>
        <w:tc>
          <w:tcPr>
            <w:tcW w:w="3708" w:type="dxa"/>
          </w:tcPr>
          <w:p>
            <w:pPr>
              <w:pStyle w:val="TableParagraph"/>
              <w:spacing w:line="34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緊急應變制度：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90" w:val="left" w:leader="none"/>
              </w:tabs>
              <w:spacing w:line="225" w:lineRule="auto" w:before="5" w:after="0"/>
              <w:ind w:left="107" w:right="187" w:firstLine="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完全沒有緊急應變計畫</w:t>
            </w:r>
            <w:r>
              <w:rPr>
                <w:sz w:val="20"/>
              </w:rPr>
              <w:t>，未教導員工</w:t>
            </w:r>
            <w:r>
              <w:rPr>
                <w:spacing w:val="-1"/>
                <w:sz w:val="20"/>
              </w:rPr>
              <w:t>在面對他人倒臥於局限空間時，應採取的唯一正確行動是「確保自身安全並立</w:t>
            </w:r>
            <w:r>
              <w:rPr>
                <w:sz w:val="20"/>
              </w:rPr>
              <w:t>即向外求援」。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90" w:val="left" w:leader="none"/>
              </w:tabs>
              <w:spacing w:line="342" w:lineRule="exact" w:before="0" w:after="0"/>
              <w:ind w:left="290" w:right="0" w:hanging="183"/>
              <w:jc w:val="both"/>
              <w:rPr>
                <w:sz w:val="20"/>
              </w:rPr>
            </w:pPr>
            <w:r>
              <w:rPr>
                <w:sz w:val="20"/>
              </w:rPr>
              <w:t>安全文化中，未能建立「專業救援」</w:t>
            </w:r>
          </w:p>
          <w:p>
            <w:pPr>
              <w:pStyle w:val="TableParagraph"/>
              <w:spacing w:line="326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取代「本能救援」的觀念。</w:t>
            </w:r>
          </w:p>
        </w:tc>
      </w:tr>
    </w:tbl>
    <w:p>
      <w:pPr>
        <w:pStyle w:val="BodyText"/>
        <w:spacing w:before="9"/>
        <w:rPr>
          <w:sz w:val="22"/>
        </w:rPr>
      </w:pPr>
      <w:r>
        <w:rPr/>
        <w:pict>
          <v:group style="position:absolute;margin-left:63.779999pt;margin-top:22.68pt;width:467.85pt;height:1.5pt;mso-position-horizontal-relative:page;mso-position-vertical-relative:paragraph;z-index:-832;mso-wrap-distance-left:0;mso-wrap-distance-right:0" coordorigin="1276,454" coordsize="9357,30">
            <v:line style="position:absolute" from="1276,469" to="10632,469" stroked="true" strokeweight="1.5pt" strokecolor="#9f9f9f">
              <v:stroke dashstyle="solid"/>
            </v:line>
            <v:rect style="position:absolute;left:1275;top:453;width:5;height:5" filled="true" fillcolor="#9f9f9f" stroked="false">
              <v:fill type="solid"/>
            </v:rect>
            <v:rect style="position:absolute;left:1275;top:453;width:5;height:5" filled="true" fillcolor="#9f9f9f" stroked="false">
              <v:fill type="solid"/>
            </v:rect>
            <v:line style="position:absolute" from="1280,456" to="10627,456" stroked="true" strokeweight=".24pt" strokecolor="#9f9f9f">
              <v:stroke dashstyle="solid"/>
            </v:line>
            <v:rect style="position:absolute;left:10627;top:453;width:5;height:5" filled="true" fillcolor="#e2e2e2" stroked="false">
              <v:fill type="solid"/>
            </v:rect>
            <v:rect style="position:absolute;left:10627;top:453;width:5;height:5" filled="true" fillcolor="#9f9f9f" stroked="false">
              <v:fill type="solid"/>
            </v:rect>
            <v:rect style="position:absolute;left:1275;top:458;width:5;height:21" filled="true" fillcolor="#9f9f9f" stroked="false">
              <v:fill type="solid"/>
            </v:rect>
            <v:rect style="position:absolute;left:10627;top:458;width:5;height:21" filled="true" fillcolor="#e2e2e2" stroked="false">
              <v:fill type="solid"/>
            </v:rect>
            <v:rect style="position:absolute;left:1275;top:478;width:5;height:5" filled="true" fillcolor="#9f9f9f" stroked="false">
              <v:fill type="solid"/>
            </v:rect>
            <v:rect style="position:absolute;left:1275;top:478;width:5;height:5" filled="true" fillcolor="#e2e2e2" stroked="false">
              <v:fill type="solid"/>
            </v:rect>
            <v:line style="position:absolute" from="1280,481" to="10627,481" stroked="true" strokeweight=".24pt" strokecolor="#e2e2e2">
              <v:stroke dashstyle="solid"/>
            </v:line>
            <v:rect style="position:absolute;left:10627;top:478;width:5;height:5" filled="true" fillcolor="#e2e2e2" stroked="false">
              <v:fill type="solid"/>
            </v:rect>
            <v:rect style="position:absolute;left:10627;top:478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</w:pPr>
      <w:r>
        <w:rPr/>
        <w:t>七</w:t>
      </w:r>
      <w:r>
        <w:rPr>
          <w:rFonts w:ascii="Calibri" w:eastAsia="Calibri"/>
        </w:rPr>
        <w:t>. </w:t>
      </w:r>
      <w:r>
        <w:rPr/>
        <w:t>根本原因分析與改善措施</w:t>
      </w:r>
    </w:p>
    <w:p>
      <w:pPr>
        <w:spacing w:line="415" w:lineRule="exact" w:before="0"/>
        <w:ind w:left="475" w:right="0" w:firstLine="0"/>
        <w:jc w:val="left"/>
        <w:rPr>
          <w:b/>
          <w:sz w:val="24"/>
        </w:rPr>
      </w:pPr>
      <w:r>
        <w:rPr>
          <w:rFonts w:ascii="Calibri" w:eastAsia="Calibri"/>
          <w:b/>
          <w:sz w:val="24"/>
        </w:rPr>
        <w:t>(</w:t>
      </w:r>
      <w:r>
        <w:rPr>
          <w:b/>
          <w:sz w:val="24"/>
        </w:rPr>
        <w:t>一</w:t>
      </w:r>
      <w:r>
        <w:rPr>
          <w:rFonts w:ascii="Calibri" w:eastAsia="Calibri"/>
          <w:b/>
          <w:sz w:val="24"/>
        </w:rPr>
        <w:t>) </w:t>
      </w:r>
      <w:r>
        <w:rPr>
          <w:b/>
          <w:sz w:val="24"/>
        </w:rPr>
        <w:t>立即原因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25" w:lineRule="auto" w:before="6" w:after="0"/>
        <w:ind w:left="835" w:right="228" w:hanging="360"/>
        <w:jc w:val="left"/>
        <w:rPr>
          <w:sz w:val="24"/>
        </w:rPr>
      </w:pPr>
      <w:r>
        <w:rPr>
          <w:b/>
          <w:sz w:val="24"/>
        </w:rPr>
        <w:t>不安全的狀況： </w:t>
      </w:r>
      <w:r>
        <w:rPr>
          <w:spacing w:val="-1"/>
          <w:sz w:val="24"/>
        </w:rPr>
        <w:t>顯影液桶槽內部因殘留物揮發及空氣置換，形成有毒且嚴重缺氧</w:t>
      </w:r>
      <w:r>
        <w:rPr>
          <w:sz w:val="24"/>
        </w:rPr>
        <w:t>的致命環境。</w:t>
      </w:r>
    </w:p>
    <w:p>
      <w:pPr>
        <w:pStyle w:val="Heading1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0" w:lineRule="exact" w:before="0" w:after="0"/>
        <w:ind w:left="835" w:right="0" w:hanging="360"/>
        <w:jc w:val="left"/>
      </w:pPr>
      <w:r>
        <w:rPr/>
        <w:t>不安全的行為：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25" w:lineRule="auto" w:before="6" w:after="0"/>
        <w:ind w:left="1555" w:right="335" w:hanging="360"/>
        <w:jc w:val="left"/>
        <w:rPr>
          <w:sz w:val="24"/>
        </w:rPr>
      </w:pPr>
      <w:r>
        <w:rPr>
          <w:spacing w:val="-1"/>
          <w:sz w:val="24"/>
        </w:rPr>
        <w:t>勞工甲員在未經通風、測定下，佩戴完全無效的 </w:t>
      </w:r>
      <w:r>
        <w:rPr>
          <w:rFonts w:ascii="Calibri" w:eastAsia="Calibri"/>
          <w:sz w:val="24"/>
        </w:rPr>
        <w:t>R95</w:t>
      </w:r>
      <w:r>
        <w:rPr>
          <w:rFonts w:ascii="Calibri" w:eastAsia="Calibri"/>
          <w:spacing w:val="5"/>
          <w:sz w:val="24"/>
        </w:rPr>
        <w:t> </w:t>
      </w:r>
      <w:r>
        <w:rPr>
          <w:spacing w:val="-2"/>
          <w:sz w:val="24"/>
        </w:rPr>
        <w:t>口罩進入局限空間作</w:t>
      </w:r>
      <w:r>
        <w:rPr>
          <w:sz w:val="24"/>
        </w:rPr>
        <w:t>業。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410" w:lineRule="exact" w:before="0" w:after="0"/>
        <w:ind w:left="1555" w:right="0" w:hanging="360"/>
        <w:jc w:val="left"/>
        <w:rPr>
          <w:sz w:val="24"/>
        </w:rPr>
      </w:pPr>
      <w:r>
        <w:rPr>
          <w:sz w:val="24"/>
        </w:rPr>
        <w:t>其餘四名同事在無任何防護下，貿然進入局限空間實施救援。</w:t>
      </w:r>
    </w:p>
    <w:p>
      <w:pPr>
        <w:pStyle w:val="Heading1"/>
        <w:spacing w:line="415" w:lineRule="exact"/>
        <w:ind w:left="475"/>
      </w:pPr>
      <w:r>
        <w:rPr>
          <w:rFonts w:ascii="Calibri" w:eastAsia="Calibri"/>
        </w:rPr>
        <w:t>(</w:t>
      </w:r>
      <w:r>
        <w:rPr/>
        <w:t>二</w:t>
      </w:r>
      <w:r>
        <w:rPr>
          <w:rFonts w:ascii="Calibri" w:eastAsia="Calibri"/>
        </w:rPr>
        <w:t>) </w:t>
      </w:r>
      <w:r>
        <w:rPr/>
        <w:t>根本原因</w:t>
      </w:r>
    </w:p>
    <w:p>
      <w:pPr>
        <w:pStyle w:val="ListParagraph"/>
        <w:numPr>
          <w:ilvl w:val="0"/>
          <w:numId w:val="7"/>
        </w:numPr>
        <w:tabs>
          <w:tab w:pos="836" w:val="left" w:leader="none"/>
        </w:tabs>
        <w:spacing w:line="415" w:lineRule="exact" w:before="0" w:after="0"/>
        <w:ind w:left="835" w:right="0" w:hanging="360"/>
        <w:jc w:val="left"/>
        <w:rPr>
          <w:b/>
          <w:sz w:val="24"/>
        </w:rPr>
      </w:pPr>
      <w:r>
        <w:rPr>
          <w:b/>
          <w:sz w:val="24"/>
        </w:rPr>
        <w:t>安全衛生教育訓練的徹底失敗：</w:t>
      </w:r>
    </w:p>
    <w:p>
      <w:pPr>
        <w:pStyle w:val="ListParagraph"/>
        <w:numPr>
          <w:ilvl w:val="1"/>
          <w:numId w:val="7"/>
        </w:numPr>
        <w:tabs>
          <w:tab w:pos="1556" w:val="left" w:leader="none"/>
        </w:tabs>
        <w:spacing w:line="225" w:lineRule="auto" w:before="7" w:after="0"/>
        <w:ind w:left="1555" w:right="190" w:hanging="360"/>
        <w:jc w:val="both"/>
        <w:rPr>
          <w:b/>
          <w:sz w:val="24"/>
        </w:rPr>
      </w:pPr>
      <w:r>
        <w:rPr>
          <w:sz w:val="24"/>
        </w:rPr>
        <w:t>從危害辨識</w:t>
      </w:r>
      <w:r>
        <w:rPr>
          <w:rFonts w:ascii="Calibri" w:hAnsi="Calibri" w:eastAsia="Calibri"/>
          <w:sz w:val="24"/>
        </w:rPr>
        <w:t>(</w:t>
      </w:r>
      <w:r>
        <w:rPr>
          <w:sz w:val="24"/>
        </w:rPr>
        <w:t>不知排空不等於安全</w:t>
      </w:r>
      <w:r>
        <w:rPr>
          <w:rFonts w:ascii="Calibri" w:hAnsi="Calibri" w:eastAsia="Calibri"/>
          <w:sz w:val="24"/>
        </w:rPr>
        <w:t>)</w:t>
      </w:r>
      <w:r>
        <w:rPr>
          <w:sz w:val="24"/>
        </w:rPr>
        <w:t>、風險認知</w:t>
      </w:r>
      <w:r>
        <w:rPr>
          <w:rFonts w:ascii="Calibri" w:hAnsi="Calibri" w:eastAsia="Calibri"/>
          <w:sz w:val="24"/>
        </w:rPr>
        <w:t>(</w:t>
      </w:r>
      <w:r>
        <w:rPr>
          <w:sz w:val="24"/>
        </w:rPr>
        <w:t>不知缺氧</w:t>
      </w:r>
      <w:r>
        <w:rPr>
          <w:rFonts w:ascii="Calibri" w:hAnsi="Calibri" w:eastAsia="Calibri"/>
          <w:sz w:val="24"/>
        </w:rPr>
        <w:t>/</w:t>
      </w:r>
      <w:r>
        <w:rPr>
          <w:sz w:val="24"/>
        </w:rPr>
        <w:t>毒氣危害</w:t>
      </w:r>
      <w:r>
        <w:rPr>
          <w:rFonts w:ascii="Calibri" w:hAnsi="Calibri" w:eastAsia="Calibri"/>
          <w:sz w:val="24"/>
        </w:rPr>
        <w:t>)</w:t>
      </w:r>
      <w:r>
        <w:rPr>
          <w:sz w:val="24"/>
        </w:rPr>
        <w:t>到防護具選用</w:t>
      </w:r>
      <w:r>
        <w:rPr>
          <w:rFonts w:ascii="Calibri" w:hAnsi="Calibri" w:eastAsia="Calibri"/>
          <w:sz w:val="24"/>
        </w:rPr>
        <w:t>(</w:t>
      </w:r>
      <w:r>
        <w:rPr>
          <w:spacing w:val="-1"/>
          <w:sz w:val="24"/>
        </w:rPr>
        <w:t>錯用 </w:t>
      </w:r>
      <w:r>
        <w:rPr>
          <w:rFonts w:ascii="Calibri" w:hAnsi="Calibri" w:eastAsia="Calibri"/>
          <w:sz w:val="24"/>
        </w:rPr>
        <w:t>R95</w:t>
      </w:r>
      <w:r>
        <w:rPr>
          <w:rFonts w:ascii="Calibri" w:hAnsi="Calibri" w:eastAsia="Calibri"/>
          <w:spacing w:val="4"/>
          <w:sz w:val="24"/>
        </w:rPr>
        <w:t> </w:t>
      </w:r>
      <w:r>
        <w:rPr>
          <w:sz w:val="24"/>
        </w:rPr>
        <w:t>口罩</w:t>
      </w:r>
      <w:r>
        <w:rPr>
          <w:rFonts w:ascii="Calibri" w:hAnsi="Calibri" w:eastAsia="Calibri"/>
          <w:sz w:val="24"/>
        </w:rPr>
        <w:t>)</w:t>
      </w:r>
      <w:r>
        <w:rPr>
          <w:sz w:val="24"/>
        </w:rPr>
        <w:t>，顯示承攬商及現場人員的相關知識完全是空白的。</w:t>
      </w:r>
      <w:r>
        <w:rPr>
          <w:b/>
          <w:spacing w:val="-15"/>
          <w:sz w:val="24"/>
        </w:rPr>
        <w:t>這</w:t>
      </w:r>
      <w:r>
        <w:rPr>
          <w:b/>
          <w:sz w:val="24"/>
        </w:rPr>
        <w:t>是導致首位罹災者倒下的直接根本原因。</w:t>
      </w:r>
    </w:p>
    <w:p>
      <w:pPr>
        <w:pStyle w:val="Heading1"/>
        <w:numPr>
          <w:ilvl w:val="0"/>
          <w:numId w:val="7"/>
        </w:numPr>
        <w:tabs>
          <w:tab w:pos="836" w:val="left" w:leader="none"/>
        </w:tabs>
        <w:spacing w:line="409" w:lineRule="exact" w:before="0" w:after="0"/>
        <w:ind w:left="835" w:right="0" w:hanging="360"/>
        <w:jc w:val="left"/>
      </w:pPr>
      <w:r>
        <w:rPr/>
        <w:t>緊急應變計畫的完全真空：</w:t>
      </w:r>
    </w:p>
    <w:p>
      <w:pPr>
        <w:pStyle w:val="ListParagraph"/>
        <w:numPr>
          <w:ilvl w:val="1"/>
          <w:numId w:val="7"/>
        </w:numPr>
        <w:tabs>
          <w:tab w:pos="1555" w:val="left" w:leader="none"/>
          <w:tab w:pos="1556" w:val="left" w:leader="none"/>
        </w:tabs>
        <w:spacing w:line="225" w:lineRule="auto" w:before="6" w:after="0"/>
        <w:ind w:left="1555" w:right="347" w:hanging="360"/>
        <w:jc w:val="left"/>
        <w:rPr>
          <w:b/>
          <w:sz w:val="24"/>
        </w:rPr>
      </w:pPr>
      <w:r>
        <w:rPr>
          <w:sz w:val="24"/>
        </w:rPr>
        <w:t>面對突發狀況，現場人員沒有任何應變程序可遵循，導致只能採取最原 始、最危險的本能救援，造成災情毀滅性擴大。</w:t>
      </w:r>
      <w:r>
        <w:rPr>
          <w:b/>
          <w:sz w:val="24"/>
        </w:rPr>
        <w:t>這是導致災害由 </w:t>
      </w:r>
      <w:r>
        <w:rPr>
          <w:rFonts w:ascii="Calibri" w:hAnsi="Calibri" w:eastAsia="Calibri"/>
          <w:b/>
          <w:sz w:val="24"/>
        </w:rPr>
        <w:t>1</w:t>
      </w:r>
      <w:r>
        <w:rPr>
          <w:rFonts w:ascii="Calibri" w:hAnsi="Calibri" w:eastAsia="Calibri"/>
          <w:b/>
          <w:spacing w:val="5"/>
          <w:sz w:val="24"/>
        </w:rPr>
        <w:t> </w:t>
      </w:r>
      <w:r>
        <w:rPr>
          <w:b/>
          <w:spacing w:val="-6"/>
          <w:sz w:val="24"/>
        </w:rPr>
        <w:t>人擴大</w:t>
      </w:r>
    </w:p>
    <w:p>
      <w:pPr>
        <w:pStyle w:val="Heading1"/>
        <w:spacing w:line="410" w:lineRule="exact"/>
        <w:ind w:left="1555"/>
      </w:pPr>
      <w:r>
        <w:rPr/>
        <w:t>至 </w:t>
      </w:r>
      <w:r>
        <w:rPr>
          <w:rFonts w:ascii="Calibri" w:eastAsia="Calibri"/>
        </w:rPr>
        <w:t>5 </w:t>
      </w:r>
      <w:r>
        <w:rPr/>
        <w:t>人的關鍵根本原因。</w:t>
      </w:r>
    </w:p>
    <w:p>
      <w:pPr>
        <w:pStyle w:val="ListParagraph"/>
        <w:numPr>
          <w:ilvl w:val="0"/>
          <w:numId w:val="7"/>
        </w:numPr>
        <w:tabs>
          <w:tab w:pos="836" w:val="left" w:leader="none"/>
        </w:tabs>
        <w:spacing w:line="415" w:lineRule="exact" w:before="0" w:after="0"/>
        <w:ind w:left="835" w:right="0" w:hanging="360"/>
        <w:jc w:val="left"/>
        <w:rPr>
          <w:b/>
          <w:sz w:val="24"/>
        </w:rPr>
      </w:pPr>
      <w:r>
        <w:rPr>
          <w:b/>
          <w:sz w:val="24"/>
        </w:rPr>
        <w:t>承攬商安全管理的監督失效：</w:t>
      </w:r>
    </w:p>
    <w:p>
      <w:pPr>
        <w:pStyle w:val="ListParagraph"/>
        <w:numPr>
          <w:ilvl w:val="1"/>
          <w:numId w:val="7"/>
        </w:numPr>
        <w:tabs>
          <w:tab w:pos="1555" w:val="left" w:leader="none"/>
          <w:tab w:pos="1556" w:val="left" w:leader="none"/>
        </w:tabs>
        <w:spacing w:line="225" w:lineRule="auto" w:before="6" w:after="0"/>
        <w:ind w:left="1555" w:right="203" w:hanging="360"/>
        <w:jc w:val="left"/>
        <w:rPr>
          <w:sz w:val="24"/>
        </w:rPr>
      </w:pPr>
      <w:r>
        <w:rPr>
          <w:sz w:val="24"/>
        </w:rPr>
        <w:t>原事業單位</w:t>
      </w:r>
      <w:r>
        <w:rPr>
          <w:rFonts w:ascii="Calibri" w:hAnsi="Calibri" w:eastAsia="Calibri"/>
          <w:sz w:val="24"/>
        </w:rPr>
        <w:t>(</w:t>
      </w:r>
      <w:r>
        <w:rPr>
          <w:sz w:val="24"/>
        </w:rPr>
        <w:t>電子廠</w:t>
      </w:r>
      <w:r>
        <w:rPr>
          <w:rFonts w:ascii="Calibri" w:hAnsi="Calibri" w:eastAsia="Calibri"/>
          <w:sz w:val="24"/>
        </w:rPr>
        <w:t>)</w:t>
      </w:r>
      <w:r>
        <w:rPr>
          <w:spacing w:val="-1"/>
          <w:sz w:val="24"/>
        </w:rPr>
        <w:t>未能有效監督承攬商，放任安全知識與設備皆嚴重不足</w:t>
      </w:r>
      <w:r>
        <w:rPr>
          <w:sz w:val="24"/>
        </w:rPr>
        <w:t>的承攬商從事高風險作業，未盡到指揮、監督與管理的責任。</w:t>
      </w:r>
    </w:p>
    <w:p>
      <w:pPr>
        <w:pStyle w:val="Heading1"/>
        <w:spacing w:line="409" w:lineRule="exact"/>
        <w:ind w:left="475"/>
      </w:pPr>
      <w:r>
        <w:rPr>
          <w:rFonts w:ascii="Calibri" w:eastAsia="Calibri"/>
        </w:rPr>
        <w:t>(</w:t>
      </w:r>
      <w:r>
        <w:rPr/>
        <w:t>三</w:t>
      </w:r>
      <w:r>
        <w:rPr>
          <w:rFonts w:ascii="Calibri" w:eastAsia="Calibri"/>
          <w:spacing w:val="3"/>
        </w:rPr>
        <w:t>)  </w:t>
      </w:r>
      <w:r>
        <w:rPr/>
        <w:t>矯正改善措施建議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28" w:lineRule="exact" w:before="0" w:after="0"/>
        <w:ind w:left="835" w:right="0" w:hanging="360"/>
        <w:jc w:val="left"/>
        <w:rPr>
          <w:b/>
          <w:sz w:val="24"/>
        </w:rPr>
      </w:pPr>
      <w:r>
        <w:rPr>
          <w:b/>
          <w:sz w:val="24"/>
        </w:rPr>
        <w:t>制度層面：</w:t>
      </w:r>
    </w:p>
    <w:p>
      <w:pPr>
        <w:spacing w:after="0" w:line="428" w:lineRule="exact"/>
        <w:jc w:val="left"/>
        <w:rPr>
          <w:sz w:val="24"/>
        </w:rPr>
        <w:sectPr>
          <w:pgSz w:w="11910" w:h="16840"/>
          <w:pgMar w:top="1420" w:bottom="280" w:left="1160" w:right="1160"/>
        </w:sectPr>
      </w:pPr>
    </w:p>
    <w:p>
      <w:pPr>
        <w:pStyle w:val="ListParagraph"/>
        <w:numPr>
          <w:ilvl w:val="0"/>
          <w:numId w:val="8"/>
        </w:numPr>
        <w:tabs>
          <w:tab w:pos="1556" w:val="left" w:leader="none"/>
        </w:tabs>
        <w:spacing w:line="225" w:lineRule="auto" w:before="47" w:after="0"/>
        <w:ind w:left="1555" w:right="228" w:hanging="360"/>
        <w:jc w:val="left"/>
        <w:rPr>
          <w:sz w:val="24"/>
        </w:rPr>
      </w:pPr>
      <w:r>
        <w:rPr>
          <w:b/>
          <w:sz w:val="24"/>
        </w:rPr>
        <w:t>立即建立並嚴格執行「承攬商安全衛生管理計畫」與「局限空間安全衛生管理計畫」： </w:t>
      </w:r>
      <w:r>
        <w:rPr>
          <w:spacing w:val="-1"/>
          <w:sz w:val="24"/>
        </w:rPr>
        <w:t>雙重計畫必須同時建立。尤其承攬管理需將「安全能力」作</w:t>
      </w:r>
      <w:r>
        <w:rPr>
          <w:sz w:val="24"/>
        </w:rPr>
        <w:t>為選商及作業許可的必要條件。</w:t>
      </w:r>
    </w:p>
    <w:p>
      <w:pPr>
        <w:pStyle w:val="ListParagraph"/>
        <w:numPr>
          <w:ilvl w:val="0"/>
          <w:numId w:val="8"/>
        </w:numPr>
        <w:tabs>
          <w:tab w:pos="1556" w:val="left" w:leader="none"/>
        </w:tabs>
        <w:spacing w:line="225" w:lineRule="auto" w:before="1" w:after="0"/>
        <w:ind w:left="1555" w:right="348" w:hanging="360"/>
        <w:jc w:val="left"/>
        <w:rPr>
          <w:sz w:val="24"/>
        </w:rPr>
      </w:pPr>
      <w:r>
        <w:rPr>
          <w:b/>
          <w:sz w:val="24"/>
        </w:rPr>
        <w:t>建立「不動手救援」的緊急應變最高原則： </w:t>
      </w:r>
      <w:r>
        <w:rPr>
          <w:sz w:val="24"/>
        </w:rPr>
        <w:t>應變計畫的核心必須是「通</w:t>
      </w:r>
      <w:r>
        <w:rPr>
          <w:spacing w:val="-1"/>
          <w:sz w:val="24"/>
        </w:rPr>
        <w:t>報、管制、等待專業救援」，並將此原則透過各種方式強力宣導，深植於</w:t>
      </w:r>
      <w:r>
        <w:rPr>
          <w:sz w:val="24"/>
        </w:rPr>
        <w:t>每位員工心中。</w:t>
      </w:r>
    </w:p>
    <w:p>
      <w:pPr>
        <w:pStyle w:val="Heading1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09" w:lineRule="exact" w:before="0" w:after="0"/>
        <w:ind w:left="835" w:right="0" w:hanging="360"/>
        <w:jc w:val="left"/>
      </w:pPr>
      <w:r>
        <w:rPr/>
        <w:t>設備層面：</w:t>
      </w:r>
    </w:p>
    <w:p>
      <w:pPr>
        <w:spacing w:line="225" w:lineRule="auto" w:before="6"/>
        <w:ind w:left="1555" w:right="228" w:hanging="360"/>
        <w:jc w:val="left"/>
        <w:rPr>
          <w:sz w:val="24"/>
        </w:rPr>
      </w:pPr>
      <w:r>
        <w:rPr>
          <w:rFonts w:ascii="Calibri" w:eastAsia="Calibri"/>
          <w:sz w:val="24"/>
        </w:rPr>
        <w:t>1. </w:t>
      </w:r>
      <w:r>
        <w:rPr>
          <w:b/>
          <w:sz w:val="24"/>
        </w:rPr>
        <w:t>清點並配足安全與救援設備：  </w:t>
      </w:r>
      <w:r>
        <w:rPr>
          <w:sz w:val="24"/>
        </w:rPr>
        <w:t>必須強制要求作業場所備妥並會使用氣體偵測器、通風設備、</w:t>
      </w:r>
      <w:r>
        <w:rPr>
          <w:b/>
          <w:sz w:val="24"/>
        </w:rPr>
        <w:t>供氣式呼吸防護具</w:t>
      </w:r>
      <w:r>
        <w:rPr>
          <w:rFonts w:ascii="Calibri" w:eastAsia="Calibri"/>
          <w:b/>
          <w:sz w:val="24"/>
        </w:rPr>
        <w:t>(SCBA)</w:t>
      </w:r>
      <w:r>
        <w:rPr>
          <w:sz w:val="24"/>
        </w:rPr>
        <w:t>、救援裝備等。</w:t>
      </w:r>
    </w:p>
    <w:p>
      <w:pPr>
        <w:pStyle w:val="Heading1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410" w:lineRule="exact" w:before="0" w:after="0"/>
        <w:ind w:left="835" w:right="0" w:hanging="360"/>
        <w:jc w:val="left"/>
      </w:pPr>
      <w:r>
        <w:rPr/>
        <w:t>人員層面：</w:t>
      </w:r>
    </w:p>
    <w:p>
      <w:pPr>
        <w:pStyle w:val="ListParagraph"/>
        <w:numPr>
          <w:ilvl w:val="0"/>
          <w:numId w:val="9"/>
        </w:numPr>
        <w:tabs>
          <w:tab w:pos="1556" w:val="left" w:leader="none"/>
        </w:tabs>
        <w:spacing w:line="225" w:lineRule="auto" w:before="6" w:after="0"/>
        <w:ind w:left="1555" w:right="228" w:hanging="360"/>
        <w:jc w:val="left"/>
        <w:rPr>
          <w:sz w:val="24"/>
        </w:rPr>
      </w:pPr>
      <w:r>
        <w:rPr>
          <w:b/>
          <w:sz w:val="24"/>
        </w:rPr>
        <w:t>實施包含「防護具選擇」的專業訓練： </w:t>
      </w:r>
      <w:r>
        <w:rPr>
          <w:spacing w:val="-2"/>
          <w:sz w:val="24"/>
        </w:rPr>
        <w:t>訓練內容必須極度務實，要讓勞工</w:t>
      </w:r>
      <w:r>
        <w:rPr>
          <w:sz w:val="24"/>
        </w:rPr>
        <w:t>清楚知道「什麼情況下，該用什麼等級的防護具」，特別要強調過濾式口罩</w:t>
      </w:r>
      <w:r>
        <w:rPr>
          <w:rFonts w:ascii="Calibri" w:eastAsia="Calibri"/>
          <w:sz w:val="24"/>
        </w:rPr>
        <w:t>(</w:t>
      </w:r>
      <w:r>
        <w:rPr>
          <w:spacing w:val="-1"/>
          <w:sz w:val="24"/>
        </w:rPr>
        <w:t>如 </w:t>
      </w:r>
      <w:r>
        <w:rPr>
          <w:rFonts w:ascii="Calibri" w:eastAsia="Calibri"/>
          <w:sz w:val="24"/>
        </w:rPr>
        <w:t>N95/R95)</w:t>
      </w:r>
      <w:r>
        <w:rPr>
          <w:sz w:val="24"/>
        </w:rPr>
        <w:t>與供氣式呼吸防護具</w:t>
      </w:r>
      <w:r>
        <w:rPr>
          <w:rFonts w:ascii="Calibri" w:eastAsia="Calibri"/>
          <w:sz w:val="24"/>
        </w:rPr>
        <w:t>(SCBA)</w:t>
      </w:r>
      <w:r>
        <w:rPr>
          <w:sz w:val="24"/>
        </w:rPr>
        <w:t>的天壤之別。</w:t>
      </w:r>
    </w:p>
    <w:p>
      <w:pPr>
        <w:pStyle w:val="ListParagraph"/>
        <w:numPr>
          <w:ilvl w:val="0"/>
          <w:numId w:val="9"/>
        </w:numPr>
        <w:tabs>
          <w:tab w:pos="1556" w:val="left" w:leader="none"/>
        </w:tabs>
        <w:spacing w:line="410" w:lineRule="exact" w:before="0" w:after="0"/>
        <w:ind w:left="1555" w:right="0" w:hanging="360"/>
        <w:jc w:val="left"/>
        <w:rPr>
          <w:sz w:val="24"/>
        </w:rPr>
      </w:pPr>
      <w:r>
        <w:rPr>
          <w:b/>
          <w:sz w:val="24"/>
        </w:rPr>
        <w:t>定期舉辦包含「救援失敗」情境的演練： </w:t>
      </w:r>
      <w:r>
        <w:rPr>
          <w:sz w:val="24"/>
        </w:rPr>
        <w:t>演練不只要演練成功，更要模擬</w:t>
      </w:r>
    </w:p>
    <w:p>
      <w:pPr>
        <w:pStyle w:val="BodyText"/>
        <w:spacing w:line="225" w:lineRule="auto" w:before="6"/>
        <w:ind w:left="1555" w:right="348"/>
      </w:pPr>
      <w:r>
        <w:rPr/>
        <w:t>「貿然救援導致傷亡擴大」的情境，以最真實的衝擊，建立人員「禁止盲目救援」的正確觀念。</w:t>
      </w:r>
    </w:p>
    <w:sectPr>
      <w:pgSz w:w="11910" w:h="16840"/>
      <w:pgMar w:top="1380" w:bottom="280" w:left="11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">
    <w:altName w:val="Segoe U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微軟正黑體">
    <w:altName w:val="微軟正黑體"/>
    <w:charset w:val="88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1555" w:hanging="360"/>
        <w:jc w:val="left"/>
      </w:pPr>
      <w:rPr>
        <w:rFonts w:hint="default" w:ascii="Calibri" w:hAnsi="Calibri" w:eastAsia="Calibri" w:cs="Calibri"/>
        <w:spacing w:val="-16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6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6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6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7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7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7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7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81" w:hanging="36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555" w:hanging="360"/>
        <w:jc w:val="left"/>
      </w:pPr>
      <w:rPr>
        <w:rFonts w:hint="default" w:ascii="Calibri" w:hAnsi="Calibri" w:eastAsia="Calibri" w:cs="Calibri"/>
        <w:spacing w:val="-17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6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6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6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7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7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7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7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81" w:hanging="36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35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ind w:left="1555" w:hanging="360"/>
      </w:pPr>
      <w:rPr>
        <w:rFonts w:hint="default" w:ascii="Courier New" w:hAnsi="Courier New" w:eastAsia="Courier New" w:cs="Courier New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45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2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1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02" w:hanging="36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07" w:hanging="183"/>
      </w:pPr>
      <w:rPr>
        <w:rFonts w:hint="default" w:ascii="Segoe UI" w:hAnsi="Segoe UI" w:eastAsia="Segoe UI" w:cs="Segoe UI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459" w:hanging="1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19" w:hanging="1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79" w:hanging="1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39" w:hanging="1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99" w:hanging="1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58" w:hanging="1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618" w:hanging="1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978" w:hanging="183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90" w:hanging="183"/>
      </w:pPr>
      <w:rPr>
        <w:rFonts w:hint="default" w:ascii="Segoe UI" w:hAnsi="Segoe UI" w:eastAsia="Segoe UI" w:cs="Segoe UI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639" w:hanging="1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79" w:hanging="1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19" w:hanging="1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59" w:hanging="1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99" w:hanging="1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38" w:hanging="1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678" w:hanging="1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018" w:hanging="183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90" w:hanging="183"/>
      </w:pPr>
      <w:rPr>
        <w:rFonts w:hint="default" w:ascii="Segoe UI" w:hAnsi="Segoe UI" w:eastAsia="Segoe UI" w:cs="Segoe UI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639" w:hanging="1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79" w:hanging="1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19" w:hanging="1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59" w:hanging="1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99" w:hanging="1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38" w:hanging="1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678" w:hanging="1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018" w:hanging="183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4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13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6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40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3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67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80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93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07" w:hanging="252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59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558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56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54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53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51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49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48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46" w:hanging="25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1555" w:hanging="360"/>
        <w:jc w:val="left"/>
      </w:pPr>
      <w:rPr>
        <w:rFonts w:hint="default" w:ascii="Calibri" w:hAnsi="Calibri" w:eastAsia="Calibri" w:cs="Calibri"/>
        <w:spacing w:val="-15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5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2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1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02" w:hanging="360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軟正黑體" w:hAnsi="微軟正黑體" w:eastAsia="微軟正黑體" w:cs="微軟正黑體"/>
    </w:rPr>
  </w:style>
  <w:style w:styleId="BodyText" w:type="paragraph">
    <w:name w:val="Body Text"/>
    <w:basedOn w:val="Normal"/>
    <w:uiPriority w:val="1"/>
    <w:qFormat/>
    <w:pPr/>
    <w:rPr>
      <w:rFonts w:ascii="微軟正黑體" w:hAnsi="微軟正黑體" w:eastAsia="微軟正黑體" w:cs="微軟正黑體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428" w:lineRule="exact"/>
      <w:ind w:left="115"/>
      <w:outlineLvl w:val="1"/>
    </w:pPr>
    <w:rPr>
      <w:rFonts w:ascii="微軟正黑體" w:hAnsi="微軟正黑體" w:eastAsia="微軟正黑體" w:cs="微軟正黑體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835" w:hanging="360"/>
    </w:pPr>
    <w:rPr>
      <w:rFonts w:ascii="微軟正黑體" w:hAnsi="微軟正黑體" w:eastAsia="微軟正黑體" w:cs="微軟正黑體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微軟正黑體" w:hAnsi="微軟正黑體" w:eastAsia="微軟正黑體" w:cs="微軟正黑體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Ho</dc:creator>
  <dcterms:created xsi:type="dcterms:W3CDTF">2025-07-25T00:39:47Z</dcterms:created>
  <dcterms:modified xsi:type="dcterms:W3CDTF">2025-07-25T00:39:47Z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2025-07-15T00:00:00Z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2025-07-25T00:00:00Z</vt:filetime>
  </property>
</Properties>
</file>