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2983"/>
      </w:pPr>
      <w:r>
        <w:rPr>
          <w:shd w:fill="D9D9D9" w:color="auto" w:val="clear"/>
        </w:rPr>
        <w:t>「倒塌案 </w:t>
      </w:r>
      <w:r>
        <w:rPr>
          <w:rFonts w:ascii="Calibri" w:eastAsia="Calibri"/>
          <w:shd w:fill="D9D9D9" w:color="auto" w:val="clear"/>
        </w:rPr>
        <w:t>1_</w:t>
      </w:r>
      <w:r>
        <w:rPr>
          <w:shd w:fill="D9D9D9" w:color="auto" w:val="clear"/>
        </w:rPr>
        <w:t>演練」職災情境調查分析</w:t>
      </w:r>
    </w:p>
    <w:p>
      <w:pPr>
        <w:pStyle w:val="BodyText"/>
        <w:spacing w:line="225" w:lineRule="auto" w:before="286"/>
        <w:ind w:left="115" w:right="565"/>
      </w:pPr>
      <w:r>
        <w:rPr>
          <w:spacing w:val="-1"/>
        </w:rPr>
        <w:t>調查分析方法包含 </w:t>
      </w:r>
      <w:r>
        <w:rPr>
          <w:rFonts w:ascii="Calibri" w:eastAsia="Calibri"/>
        </w:rPr>
        <w:t>ECFC</w:t>
      </w:r>
      <w:r>
        <w:rPr>
          <w:spacing w:val="-1"/>
        </w:rPr>
        <w:t>、時間序列表、為何樹分析、屏障分析、變更分析、人為失效分</w:t>
      </w:r>
      <w:r>
        <w:rPr/>
        <w:t>析、及根本原因探討。</w:t>
      </w:r>
    </w:p>
    <w:p>
      <w:pPr>
        <w:pStyle w:val="BodyText"/>
        <w:spacing w:before="15"/>
        <w:rPr>
          <w:sz w:val="12"/>
        </w:rPr>
      </w:pPr>
    </w:p>
    <w:p>
      <w:pPr>
        <w:pStyle w:val="Heading1"/>
        <w:spacing w:before="39"/>
        <w:rPr>
          <w:rFonts w:ascii="Calibri" w:eastAsia="Calibri"/>
        </w:rPr>
      </w:pPr>
      <w:r>
        <w:rPr/>
        <w:drawing>
          <wp:anchor distT="0" distB="0" distL="0" distR="0" allowOverlap="1" layoutInCell="1" locked="0" behindDoc="1" simplePos="0" relativeHeight="268422743">
            <wp:simplePos x="0" y="0"/>
            <wp:positionH relativeFrom="page">
              <wp:posOffset>810260</wp:posOffset>
            </wp:positionH>
            <wp:positionV relativeFrom="paragraph">
              <wp:posOffset>629198</wp:posOffset>
            </wp:positionV>
            <wp:extent cx="6007086" cy="158368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86" cy="158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一</w:t>
      </w:r>
      <w:r>
        <w:rPr>
          <w:rFonts w:ascii="Calibri" w:eastAsia="Calibri"/>
          <w:spacing w:val="3"/>
        </w:rPr>
        <w:t>.  </w:t>
      </w:r>
      <w:r>
        <w:rPr>
          <w:shd w:fill="D9D9D9" w:color="auto" w:val="clear"/>
        </w:rPr>
        <w:t>事件成因圖  </w:t>
      </w:r>
      <w:r>
        <w:rPr>
          <w:rFonts w:ascii="Calibri" w:eastAsia="Calibri"/>
          <w:shd w:fill="D9D9D9" w:color="auto" w:val="clear"/>
        </w:rPr>
        <w:t>(ECFC)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rPr>
          <w:rFonts w:ascii="Calibri"/>
          <w:b/>
          <w:sz w:val="31"/>
        </w:rPr>
      </w:pPr>
    </w:p>
    <w:p>
      <w:pPr>
        <w:pStyle w:val="BodyText"/>
        <w:spacing w:line="710" w:lineRule="atLeast"/>
        <w:ind w:left="115" w:right="2235"/>
      </w:pPr>
      <w:r>
        <w:rPr/>
        <w:t>此圖呈現「物體倒塌</w:t>
      </w:r>
      <w:r>
        <w:rPr>
          <w:rFonts w:ascii="Calibri" w:eastAsia="Calibri"/>
        </w:rPr>
        <w:t>-</w:t>
      </w:r>
      <w:r>
        <w:rPr/>
        <w:t>墜落」複合型災害路徑，便於制定分層防護策略。圖例說明：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400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事件（黃色方框）</w:t>
      </w:r>
      <w:r>
        <w:rPr>
          <w:sz w:val="24"/>
        </w:rPr>
        <w:t>：呈現從作業到死亡的關鍵時間序列，強調因果關係。</w:t>
      </w: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 w:val="0"/>
        </w:rPr>
      </w:pPr>
      <w:r>
        <w:rPr/>
        <w:t>條件（粉紅色橢圓形）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實線：確認條件（如護欄高度不足、作業同步進行）。</w:t>
      </w:r>
    </w:p>
    <w:p>
      <w:pPr>
        <w:pStyle w:val="ListParagraph"/>
        <w:numPr>
          <w:ilvl w:val="1"/>
          <w:numId w:val="1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虛線藍框：假設條件（如防滾落擋板缺失），需查證設備規範。</w:t>
      </w: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b w:val="0"/>
        </w:rPr>
      </w:pPr>
      <w:r>
        <w:rPr/>
        <w:t>推測事件（藍色虛線方框）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5" w:val="left" w:leader="none"/>
          <w:tab w:pos="1556" w:val="left" w:leader="none"/>
        </w:tabs>
        <w:spacing w:line="225" w:lineRule="auto" w:before="6" w:after="0"/>
        <w:ind w:left="115" w:right="3028" w:firstLine="1080"/>
        <w:jc w:val="left"/>
        <w:rPr>
          <w:sz w:val="24"/>
        </w:rPr>
      </w:pPr>
      <w:r>
        <w:rPr>
          <w:spacing w:val="-1"/>
          <w:sz w:val="24"/>
        </w:rPr>
        <w:t>通訊不良屬常見協調失誤，需確認現場指揮機制。</w:t>
      </w:r>
      <w:r>
        <w:rPr>
          <w:sz w:val="24"/>
        </w:rPr>
        <w:t>延伸建議：結合「屏障分析」探討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410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工程控制：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加裝可調式護欄延伸桿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設置原木止滑墊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管理控制：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建立「車輛移動前確認」制度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  <w:tab w:pos="1556" w:val="left" w:leader="none"/>
        </w:tabs>
        <w:spacing w:line="428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規範「卸載作業禁止人員在車鬥」</w:t>
      </w: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63.779999pt;margin-top:22.705168pt;width:482pt;height:.8pt;mso-position-horizontal-relative:page;mso-position-vertical-relative:paragraph;z-index:-1024;mso-wrap-distance-left:0;mso-wrap-distance-right:0" coordorigin="1276,454" coordsize="9640,16">
            <v:line style="position:absolute" from="1276,462" to="10915,462" stroked="true" strokeweight=".8pt" strokecolor="#9f9f9f">
              <v:stroke dashstyle="solid"/>
            </v:line>
            <v:rect style="position:absolute;left:1275;top:454;width:5;height:5" filled="true" fillcolor="#9f9f9f" stroked="false">
              <v:fill type="solid"/>
            </v:rect>
            <v:rect style="position:absolute;left:1275;top:454;width:5;height:5" filled="true" fillcolor="#9f9f9f" stroked="false">
              <v:fill type="solid"/>
            </v:rect>
            <v:line style="position:absolute" from="1280,457" to="10910,457" stroked="true" strokeweight=".24pt" strokecolor="#9f9f9f">
              <v:stroke dashstyle="solid"/>
            </v:line>
            <v:rect style="position:absolute;left:10910;top:454;width:5;height:5" filled="true" fillcolor="#e2e2e2" stroked="false">
              <v:fill type="solid"/>
            </v:rect>
            <v:rect style="position:absolute;left:10910;top:454;width:5;height:5" filled="true" fillcolor="#9f9f9f" stroked="false">
              <v:fill type="solid"/>
            </v:rect>
            <v:rect style="position:absolute;left:1275;top:458;width:5;height:6" filled="true" fillcolor="#9f9f9f" stroked="false">
              <v:fill type="solid"/>
            </v:rect>
            <v:rect style="position:absolute;left:10910;top:458;width:5;height:6" filled="true" fillcolor="#e2e2e2" stroked="false">
              <v:fill type="solid"/>
            </v:rect>
            <v:rect style="position:absolute;left:1275;top:464;width:5;height:5" filled="true" fillcolor="#9f9f9f" stroked="false">
              <v:fill type="solid"/>
            </v:rect>
            <v:rect style="position:absolute;left:1275;top:464;width:5;height:5" filled="true" fillcolor="#e2e2e2" stroked="false">
              <v:fill type="solid"/>
            </v:rect>
            <v:line style="position:absolute" from="1280,467" to="10910,467" stroked="true" strokeweight=".24pt" strokecolor="#e2e2e2">
              <v:stroke dashstyle="solid"/>
            </v:line>
            <v:rect style="position:absolute;left:10910;top:464;width:5;height:5" filled="true" fillcolor="#e2e2e2" stroked="false">
              <v:fill type="solid"/>
            </v:rect>
            <v:rect style="position:absolute;left:10910;top:46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39"/>
        <w:rPr>
          <w:rFonts w:ascii="Calibri" w:eastAsia="Calibri"/>
        </w:rPr>
      </w:pPr>
      <w:r>
        <w:rPr/>
        <w:pict>
          <v:shape style="position:absolute;margin-left:85.019997pt;margin-top:2.610939pt;width:60pt;height:20.8pt;mso-position-horizontal-relative:page;mso-position-vertical-relative:paragraph;z-index:1072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時間序列表</w:t>
                  </w:r>
                </w:p>
              </w:txbxContent>
            </v:textbox>
            <v:fill type="solid"/>
            <w10:wrap type="none"/>
          </v:shape>
        </w:pict>
      </w:r>
      <w:r>
        <w:rPr/>
        <w:t>二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546"/>
        <w:gridCol w:w="3603"/>
        <w:gridCol w:w="2367"/>
      </w:tblGrid>
      <w:tr>
        <w:trPr>
          <w:trHeight w:val="346" w:hRule="atLeast"/>
        </w:trPr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54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3603" w:type="dxa"/>
          </w:tcPr>
          <w:p>
            <w:pPr>
              <w:pStyle w:val="TableParagraph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</w:t>
            </w:r>
          </w:p>
        </w:tc>
        <w:tc>
          <w:tcPr>
            <w:tcW w:w="2367" w:type="dxa"/>
          </w:tcPr>
          <w:p>
            <w:pPr>
              <w:pStyle w:val="TableParagraph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</w:t>
            </w:r>
          </w:p>
        </w:tc>
      </w:tr>
      <w:tr>
        <w:trPr>
          <w:trHeight w:val="1037" w:hRule="atLeast"/>
        </w:trPr>
        <w:tc>
          <w:tcPr>
            <w:tcW w:w="1111" w:type="dxa"/>
          </w:tcPr>
          <w:p>
            <w:pPr>
              <w:pStyle w:val="TableParagraph"/>
              <w:spacing w:line="332" w:lineRule="exact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11 </w:t>
            </w:r>
            <w:r>
              <w:rPr>
                <w:sz w:val="20"/>
              </w:rPr>
              <w:t>月 </w:t>
            </w:r>
            <w:r>
              <w:rPr>
                <w:rFonts w:ascii="Segoe UI" w:eastAsia="Segoe UI"/>
                <w:sz w:val="20"/>
              </w:rPr>
              <w:t>19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w w:val="100"/>
                <w:sz w:val="20"/>
              </w:rPr>
              <w:t>日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16 </w:t>
            </w:r>
            <w:r>
              <w:rPr>
                <w:sz w:val="20"/>
              </w:rPr>
              <w:t>時</w:t>
            </w:r>
          </w:p>
        </w:tc>
        <w:tc>
          <w:tcPr>
            <w:tcW w:w="2546" w:type="dxa"/>
          </w:tcPr>
          <w:p>
            <w:pPr>
              <w:pStyle w:val="TableParagraph"/>
              <w:spacing w:line="225" w:lineRule="auto"/>
              <w:ind w:left="108" w:right="225"/>
              <w:rPr>
                <w:sz w:val="20"/>
              </w:rPr>
            </w:pPr>
            <w:r>
              <w:rPr>
                <w:sz w:val="20"/>
              </w:rPr>
              <w:t>張○○拆除貨車上原木綁繩</w:t>
            </w:r>
          </w:p>
        </w:tc>
        <w:tc>
          <w:tcPr>
            <w:tcW w:w="3603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未固定剩餘原木（假設）</w:t>
            </w:r>
          </w:p>
        </w:tc>
        <w:tc>
          <w:tcPr>
            <w:tcW w:w="2367" w:type="dxa"/>
          </w:tcPr>
          <w:p>
            <w:pPr>
              <w:pStyle w:val="TableParagraph"/>
              <w:spacing w:line="343" w:lineRule="exact"/>
              <w:ind w:left="109"/>
              <w:rPr>
                <w:sz w:val="20"/>
              </w:rPr>
            </w:pPr>
            <w:r>
              <w:rPr>
                <w:sz w:val="20"/>
              </w:rPr>
              <w:t>缺乏卸貨標準作業程式</w:t>
            </w:r>
          </w:p>
        </w:tc>
      </w:tr>
    </w:tbl>
    <w:p>
      <w:pPr>
        <w:spacing w:after="0" w:line="343" w:lineRule="exact"/>
        <w:rPr>
          <w:sz w:val="20"/>
        </w:rPr>
        <w:sectPr>
          <w:footerReference w:type="default" r:id="rId5"/>
          <w:type w:val="continuous"/>
          <w:pgSz w:w="11910" w:h="16840"/>
          <w:pgMar w:footer="724" w:top="940" w:bottom="920" w:left="1160" w:right="88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546"/>
        <w:gridCol w:w="3603"/>
        <w:gridCol w:w="2367"/>
      </w:tblGrid>
      <w:tr>
        <w:trPr>
          <w:trHeight w:val="692" w:hRule="atLeast"/>
        </w:trPr>
        <w:tc>
          <w:tcPr>
            <w:tcW w:w="1111" w:type="dxa"/>
          </w:tcPr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16 </w:t>
            </w:r>
            <w:r>
              <w:rPr>
                <w:sz w:val="20"/>
              </w:rPr>
              <w:t>時</w:t>
            </w:r>
          </w:p>
        </w:tc>
        <w:tc>
          <w:tcPr>
            <w:tcW w:w="2546" w:type="dxa"/>
          </w:tcPr>
          <w:p>
            <w:pPr>
              <w:pStyle w:val="TableParagraph"/>
              <w:spacing w:line="340" w:lineRule="exact"/>
              <w:ind w:left="108"/>
              <w:rPr>
                <w:sz w:val="20"/>
              </w:rPr>
            </w:pPr>
            <w:r>
              <w:rPr>
                <w:sz w:val="20"/>
              </w:rPr>
              <w:t>毛○○駕駛堆高機卸載原</w:t>
            </w:r>
          </w:p>
          <w:p>
            <w:pPr>
              <w:pStyle w:val="TableParagraph"/>
              <w:spacing w:line="332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木</w:t>
            </w:r>
          </w:p>
        </w:tc>
        <w:tc>
          <w:tcPr>
            <w:tcW w:w="3603" w:type="dxa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未設置指揮人員</w:t>
            </w:r>
          </w:p>
        </w:tc>
        <w:tc>
          <w:tcPr>
            <w:tcW w:w="2367" w:type="dxa"/>
          </w:tcPr>
          <w:p>
            <w:pPr>
              <w:pStyle w:val="TableParagraph"/>
              <w:spacing w:line="340" w:lineRule="exact"/>
              <w:ind w:left="109"/>
              <w:rPr>
                <w:sz w:val="20"/>
              </w:rPr>
            </w:pPr>
            <w:r>
              <w:rPr>
                <w:sz w:val="20"/>
              </w:rPr>
              <w:t>多設備協同作業風險未</w:t>
            </w:r>
          </w:p>
          <w:p>
            <w:pPr>
              <w:pStyle w:val="TableParagraph"/>
              <w:spacing w:line="332" w:lineRule="exact"/>
              <w:ind w:left="109"/>
              <w:rPr>
                <w:sz w:val="20"/>
              </w:rPr>
            </w:pPr>
            <w:r>
              <w:rPr>
                <w:sz w:val="20"/>
              </w:rPr>
              <w:t>評估</w:t>
            </w:r>
          </w:p>
        </w:tc>
      </w:tr>
      <w:tr>
        <w:trPr>
          <w:trHeight w:val="692" w:hRule="atLeast"/>
        </w:trPr>
        <w:tc>
          <w:tcPr>
            <w:tcW w:w="1111" w:type="dxa"/>
          </w:tcPr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16 </w:t>
            </w:r>
            <w:r>
              <w:rPr>
                <w:sz w:val="20"/>
              </w:rPr>
              <w:t>時</w:t>
            </w:r>
          </w:p>
        </w:tc>
        <w:tc>
          <w:tcPr>
            <w:tcW w:w="2546" w:type="dxa"/>
          </w:tcPr>
          <w:p>
            <w:pPr>
              <w:pStyle w:val="TableParagraph"/>
              <w:spacing w:line="340" w:lineRule="exact"/>
              <w:ind w:left="108"/>
              <w:rPr>
                <w:sz w:val="20"/>
              </w:rPr>
            </w:pPr>
            <w:r>
              <w:rPr>
                <w:sz w:val="20"/>
              </w:rPr>
              <w:t>吳○○爬上車鬥協助定位</w:t>
            </w:r>
          </w:p>
          <w:p>
            <w:pPr>
              <w:pStyle w:val="TableParagraph"/>
              <w:spacing w:line="332" w:lineRule="exact"/>
              <w:ind w:left="108"/>
              <w:rPr>
                <w:sz w:val="20"/>
              </w:rPr>
            </w:pPr>
            <w:r>
              <w:rPr>
                <w:sz w:val="20"/>
              </w:rPr>
              <w:t>貨叉</w:t>
            </w:r>
          </w:p>
        </w:tc>
        <w:tc>
          <w:tcPr>
            <w:tcW w:w="3603" w:type="dxa"/>
          </w:tcPr>
          <w:p>
            <w:pPr>
              <w:pStyle w:val="TableParagraph"/>
              <w:spacing w:line="340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未佩戴安全帶（照片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顯示高度 </w:t>
            </w:r>
            <w:r>
              <w:rPr>
                <w:rFonts w:ascii="Segoe UI" w:eastAsia="Segoe UI"/>
                <w:sz w:val="20"/>
              </w:rPr>
              <w:t>2.3 </w:t>
            </w:r>
            <w:r>
              <w:rPr>
                <w:sz w:val="20"/>
              </w:rPr>
              <w:t>公</w:t>
            </w:r>
          </w:p>
          <w:p>
            <w:pPr>
              <w:pStyle w:val="TableParagraph"/>
              <w:spacing w:line="332" w:lineRule="exact"/>
              <w:ind w:left="108"/>
              <w:rPr>
                <w:sz w:val="20"/>
              </w:rPr>
            </w:pPr>
            <w:r>
              <w:rPr>
                <w:sz w:val="20"/>
              </w:rPr>
              <w:t>尺）</w:t>
            </w:r>
          </w:p>
        </w:tc>
        <w:tc>
          <w:tcPr>
            <w:tcW w:w="2367" w:type="dxa"/>
          </w:tcPr>
          <w:p>
            <w:pPr>
              <w:pStyle w:val="TableParagraph"/>
              <w:spacing w:line="351" w:lineRule="exact"/>
              <w:ind w:left="109"/>
              <w:rPr>
                <w:sz w:val="20"/>
              </w:rPr>
            </w:pPr>
            <w:r>
              <w:rPr>
                <w:sz w:val="20"/>
              </w:rPr>
              <w:t>默許高風險行為</w:t>
            </w:r>
          </w:p>
        </w:tc>
      </w:tr>
      <w:tr>
        <w:trPr>
          <w:trHeight w:val="346" w:hRule="atLeast"/>
        </w:trPr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16 </w:t>
            </w:r>
            <w:r>
              <w:rPr>
                <w:sz w:val="20"/>
              </w:rPr>
              <w:t>時</w:t>
            </w:r>
          </w:p>
        </w:tc>
        <w:tc>
          <w:tcPr>
            <w:tcW w:w="254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張○○移動貨車調整位置</w:t>
            </w:r>
          </w:p>
        </w:tc>
        <w:tc>
          <w:tcPr>
            <w:tcW w:w="360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未確認車鬥人員已撤離</w:t>
            </w:r>
          </w:p>
        </w:tc>
        <w:tc>
          <w:tcPr>
            <w:tcW w:w="236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溝通機制缺失</w:t>
            </w:r>
          </w:p>
        </w:tc>
      </w:tr>
      <w:tr>
        <w:trPr>
          <w:trHeight w:val="691" w:hRule="atLeast"/>
        </w:trPr>
        <w:tc>
          <w:tcPr>
            <w:tcW w:w="1111" w:type="dxa"/>
          </w:tcPr>
          <w:p>
            <w:pPr>
              <w:pStyle w:val="TableParagraph"/>
              <w:spacing w:line="350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16 </w:t>
            </w:r>
            <w:r>
              <w:rPr>
                <w:sz w:val="20"/>
              </w:rPr>
              <w:t>時</w:t>
            </w:r>
          </w:p>
        </w:tc>
        <w:tc>
          <w:tcPr>
            <w:tcW w:w="2546" w:type="dxa"/>
          </w:tcPr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吳○○跌落並被滾落原木</w:t>
            </w:r>
          </w:p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砸中</w:t>
            </w:r>
          </w:p>
        </w:tc>
        <w:tc>
          <w:tcPr>
            <w:tcW w:w="3603" w:type="dxa"/>
          </w:tcPr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原木超過護欄高度（照片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顯示 </w:t>
            </w:r>
            <w:r>
              <w:rPr>
                <w:rFonts w:ascii="Segoe UI" w:eastAsia="Segoe UI"/>
                <w:sz w:val="20"/>
              </w:rPr>
              <w:t>60 </w:t>
            </w:r>
            <w:r>
              <w:rPr>
                <w:sz w:val="20"/>
              </w:rPr>
              <w:t>公</w:t>
            </w:r>
          </w:p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分）</w:t>
            </w:r>
          </w:p>
        </w:tc>
        <w:tc>
          <w:tcPr>
            <w:tcW w:w="2367" w:type="dxa"/>
          </w:tcPr>
          <w:p>
            <w:pPr>
              <w:pStyle w:val="TableParagraph"/>
              <w:spacing w:line="339" w:lineRule="exact"/>
              <w:ind w:left="109"/>
              <w:rPr>
                <w:sz w:val="20"/>
              </w:rPr>
            </w:pPr>
            <w:r>
              <w:rPr>
                <w:sz w:val="20"/>
              </w:rPr>
              <w:t>護欄設計不符合作業需</w:t>
            </w:r>
          </w:p>
          <w:p>
            <w:pPr>
              <w:pStyle w:val="TableParagraph"/>
              <w:spacing w:line="333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</w:rPr>
              <w:t>求</w:t>
            </w:r>
          </w:p>
        </w:tc>
      </w:tr>
    </w:tbl>
    <w:p>
      <w:pPr>
        <w:pStyle w:val="BodyText"/>
        <w:spacing w:before="6"/>
        <w:rPr>
          <w:rFonts w:ascii="Calibri"/>
          <w:b/>
          <w:sz w:val="10"/>
        </w:rPr>
      </w:pPr>
      <w:r>
        <w:rPr/>
        <w:pict>
          <v:group style="position:absolute;margin-left:63.779999pt;margin-top:8.380pt;width:482pt;height:.8pt;mso-position-horizontal-relative:page;mso-position-vertical-relative:paragraph;z-index:-952;mso-wrap-distance-left:0;mso-wrap-distance-right:0" coordorigin="1276,168" coordsize="9640,16">
            <v:line style="position:absolute" from="1276,176" to="10915,176" stroked="true" strokeweight=".8pt" strokecolor="#9f9f9f">
              <v:stroke dashstyle="solid"/>
            </v:line>
            <v:rect style="position:absolute;left:1275;top:168;width:5;height:5" filled="true" fillcolor="#9f9f9f" stroked="false">
              <v:fill type="solid"/>
            </v:rect>
            <v:rect style="position:absolute;left:1275;top:168;width:5;height:5" filled="true" fillcolor="#9f9f9f" stroked="false">
              <v:fill type="solid"/>
            </v:rect>
            <v:line style="position:absolute" from="1280,170" to="10910,170" stroked="true" strokeweight=".239pt" strokecolor="#9f9f9f">
              <v:stroke dashstyle="solid"/>
            </v:line>
            <v:rect style="position:absolute;left:10910;top:168;width:5;height:5" filled="true" fillcolor="#e2e2e2" stroked="false">
              <v:fill type="solid"/>
            </v:rect>
            <v:rect style="position:absolute;left:10910;top:168;width:5;height:5" filled="true" fillcolor="#9f9f9f" stroked="false">
              <v:fill type="solid"/>
            </v:rect>
            <v:rect style="position:absolute;left:1275;top:172;width:5;height:7" filled="true" fillcolor="#9f9f9f" stroked="false">
              <v:fill type="solid"/>
            </v:rect>
            <v:rect style="position:absolute;left:10910;top:172;width:5;height:7" filled="true" fillcolor="#e2e2e2" stroked="false">
              <v:fill type="solid"/>
            </v:rect>
            <v:rect style="position:absolute;left:1275;top:178;width:5;height:5" filled="true" fillcolor="#9f9f9f" stroked="false">
              <v:fill type="solid"/>
            </v:rect>
            <v:rect style="position:absolute;left:1275;top:178;width:5;height:5" filled="true" fillcolor="#e2e2e2" stroked="false">
              <v:fill type="solid"/>
            </v:rect>
            <v:line style="position:absolute" from="1280,181" to="10910,181" stroked="true" strokeweight=".239pt" strokecolor="#e2e2e2">
              <v:stroke dashstyle="solid"/>
            </v:line>
            <v:rect style="position:absolute;left:10910;top:178;width:5;height:5" filled="true" fillcolor="#e2e2e2" stroked="false">
              <v:fill type="solid"/>
            </v:rect>
            <v:rect style="position:absolute;left:10910;top:1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Calibri"/>
          <w:b/>
          <w:sz w:val="21"/>
        </w:rPr>
      </w:pPr>
    </w:p>
    <w:p>
      <w:pPr>
        <w:spacing w:before="39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三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  <w:shd w:fill="D9D9D9" w:color="auto" w:val="clear"/>
        </w:rPr>
        <w:t>為何樹分析</w:t>
      </w: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810261</wp:posOffset>
            </wp:positionH>
            <wp:positionV relativeFrom="paragraph">
              <wp:posOffset>190534</wp:posOffset>
            </wp:positionV>
            <wp:extent cx="6089796" cy="265728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796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b/>
          <w:sz w:val="30"/>
        </w:rPr>
      </w:pPr>
    </w:p>
    <w:p>
      <w:pPr>
        <w:pStyle w:val="BodyText"/>
        <w:spacing w:line="428" w:lineRule="exact"/>
        <w:ind w:left="115"/>
      </w:pPr>
      <w:r>
        <w:rPr/>
        <w:t>假設說明：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未使用防護網或固定裝置：根據原木滾落事實，推測未採取二次防護措施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貨車移動時未通知人員：災害描述中未提及預警程式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未使用安全帶：高處作業未見防墜裝備</w:t>
      </w:r>
    </w:p>
    <w:p>
      <w:pPr>
        <w:pStyle w:val="BodyText"/>
        <w:spacing w:line="428" w:lineRule="exact"/>
        <w:ind w:left="115"/>
      </w:pPr>
      <w:r>
        <w:rPr/>
        <w:t>根本原因鏈：設備缺陷→程式缺失→管理失效→安全文化薄弱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63.779999pt;margin-top:26.059578pt;width:482pt;height:.8pt;mso-position-horizontal-relative:page;mso-position-vertical-relative:paragraph;z-index:-904;mso-wrap-distance-left:0;mso-wrap-distance-right:0" coordorigin="1276,521" coordsize="9640,16">
            <v:line style="position:absolute" from="1276,529" to="10915,529" stroked="true" strokeweight=".799pt" strokecolor="#9f9f9f">
              <v:stroke dashstyle="solid"/>
            </v:line>
            <v:rect style="position:absolute;left:1275;top:521;width:5;height:5" filled="true" fillcolor="#9f9f9f" stroked="false">
              <v:fill type="solid"/>
            </v:rect>
            <v:rect style="position:absolute;left:1275;top:521;width:5;height:5" filled="true" fillcolor="#9f9f9f" stroked="false">
              <v:fill type="solid"/>
            </v:rect>
            <v:line style="position:absolute" from="1280,524" to="10910,524" stroked="true" strokeweight=".239pt" strokecolor="#9f9f9f">
              <v:stroke dashstyle="solid"/>
            </v:line>
            <v:rect style="position:absolute;left:10910;top:521;width:5;height:5" filled="true" fillcolor="#e2e2e2" stroked="false">
              <v:fill type="solid"/>
            </v:rect>
            <v:rect style="position:absolute;left:10910;top:521;width:5;height:5" filled="true" fillcolor="#9f9f9f" stroked="false">
              <v:fill type="solid"/>
            </v:rect>
            <v:rect style="position:absolute;left:1275;top:526;width:5;height:7" filled="true" fillcolor="#9f9f9f" stroked="false">
              <v:fill type="solid"/>
            </v:rect>
            <v:rect style="position:absolute;left:10910;top:526;width:5;height:7" filled="true" fillcolor="#e2e2e2" stroked="false">
              <v:fill type="solid"/>
            </v:rect>
            <v:rect style="position:absolute;left:1275;top:532;width:5;height:5" filled="true" fillcolor="#9f9f9f" stroked="false">
              <v:fill type="solid"/>
            </v:rect>
            <v:rect style="position:absolute;left:1275;top:532;width:5;height:5" filled="true" fillcolor="#e2e2e2" stroked="false">
              <v:fill type="solid"/>
            </v:rect>
            <v:line style="position:absolute" from="1280,535" to="10910,535" stroked="true" strokeweight=".239pt" strokecolor="#e2e2e2">
              <v:stroke dashstyle="solid"/>
            </v:line>
            <v:rect style="position:absolute;left:10910;top:532;width:5;height:5" filled="true" fillcolor="#e2e2e2" stroked="false">
              <v:fill type="solid"/>
            </v:rect>
            <v:rect style="position:absolute;left:10910;top:53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996"/>
        <w:gridCol w:w="1416"/>
        <w:gridCol w:w="3332"/>
        <w:gridCol w:w="2616"/>
      </w:tblGrid>
      <w:tr>
        <w:trPr>
          <w:trHeight w:val="415" w:hRule="atLeast"/>
        </w:trPr>
        <w:tc>
          <w:tcPr>
            <w:tcW w:w="4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95" w:lineRule="exact"/>
              <w:ind w:left="0"/>
              <w:rPr>
                <w:rFonts w:ascii="Calibri" w:eastAsia="Calibri"/>
                <w:b/>
                <w:sz w:val="24"/>
              </w:rPr>
            </w:pPr>
            <w:r>
              <w:rPr>
                <w:b/>
                <w:sz w:val="24"/>
              </w:rPr>
              <w:t>四</w:t>
            </w:r>
            <w:r>
              <w:rPr>
                <w:rFonts w:ascii="Calibri" w:eastAsia="Calibri"/>
                <w:b/>
                <w:sz w:val="24"/>
              </w:rPr>
              <w:t>.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39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屏障分析</w:t>
            </w:r>
          </w:p>
        </w:tc>
        <w:tc>
          <w:tcPr>
            <w:tcW w:w="7364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416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3332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影響事故的關鍵點</w:t>
            </w:r>
          </w:p>
        </w:tc>
      </w:tr>
      <w:tr>
        <w:trPr>
          <w:trHeight w:val="346" w:hRule="atLeast"/>
        </w:trPr>
        <w:tc>
          <w:tcPr>
            <w:tcW w:w="1416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物理屏障</w:t>
            </w:r>
          </w:p>
        </w:tc>
        <w:tc>
          <w:tcPr>
            <w:tcW w:w="14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貨車護欄高度</w:t>
            </w:r>
          </w:p>
        </w:tc>
        <w:tc>
          <w:tcPr>
            <w:tcW w:w="333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護欄高度不足（原木超出 </w:t>
            </w:r>
            <w:r>
              <w:rPr>
                <w:rFonts w:ascii="Segoe UI" w:eastAsia="Segoe UI"/>
                <w:sz w:val="20"/>
              </w:rPr>
              <w:t>60 </w:t>
            </w:r>
            <w:r>
              <w:rPr>
                <w:sz w:val="20"/>
              </w:rPr>
              <w:t>公分）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無法防止原木滾落</w:t>
            </w:r>
          </w:p>
        </w:tc>
      </w:tr>
      <w:tr>
        <w:trPr>
          <w:trHeight w:val="345" w:hRule="atLeast"/>
        </w:trPr>
        <w:tc>
          <w:tcPr>
            <w:tcW w:w="1416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管理屏障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作業協調程式</w:t>
            </w:r>
          </w:p>
        </w:tc>
        <w:tc>
          <w:tcPr>
            <w:tcW w:w="3332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未建立多設備協同作業規範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貨車移動與堆高機作業衝突</w:t>
            </w:r>
          </w:p>
        </w:tc>
      </w:tr>
      <w:tr>
        <w:trPr>
          <w:trHeight w:val="346" w:hRule="atLeast"/>
        </w:trPr>
        <w:tc>
          <w:tcPr>
            <w:tcW w:w="1416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個人防護屏障</w:t>
            </w:r>
          </w:p>
        </w:tc>
        <w:tc>
          <w:tcPr>
            <w:tcW w:w="14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防墜裝備</w:t>
            </w:r>
          </w:p>
        </w:tc>
        <w:tc>
          <w:tcPr>
            <w:tcW w:w="333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未提供或未使用安全帶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高處墜落風險未控制</w:t>
            </w:r>
          </w:p>
        </w:tc>
      </w:tr>
      <w:tr>
        <w:trPr>
          <w:trHeight w:val="346" w:hRule="atLeast"/>
        </w:trPr>
        <w:tc>
          <w:tcPr>
            <w:tcW w:w="1416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監督屏障</w:t>
            </w:r>
          </w:p>
        </w:tc>
        <w:tc>
          <w:tcPr>
            <w:tcW w:w="1416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現場安全指揮</w:t>
            </w:r>
          </w:p>
        </w:tc>
        <w:tc>
          <w:tcPr>
            <w:tcW w:w="3332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未指派指揮人員協調作業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溝通失誤導致貨車移動</w:t>
            </w:r>
          </w:p>
        </w:tc>
      </w:tr>
    </w:tbl>
    <w:p>
      <w:pPr>
        <w:pStyle w:val="BodyText"/>
        <w:spacing w:before="5"/>
        <w:rPr>
          <w:sz w:val="7"/>
        </w:rPr>
      </w:pPr>
      <w:r>
        <w:rPr/>
        <w:pict>
          <v:group style="position:absolute;margin-left:63.779999pt;margin-top:8.68pt;width:482pt;height:.8pt;mso-position-horizontal-relative:page;mso-position-vertical-relative:paragraph;z-index:-880;mso-wrap-distance-left:0;mso-wrap-distance-right:0" coordorigin="1276,174" coordsize="9640,16">
            <v:line style="position:absolute" from="1276,182" to="10915,182" stroked="true" strokeweight=".8pt" strokecolor="#9f9f9f">
              <v:stroke dashstyle="solid"/>
            </v:line>
            <v:rect style="position:absolute;left:1275;top:174;width:5;height:5" filled="true" fillcolor="#9f9f9f" stroked="false">
              <v:fill type="solid"/>
            </v:rect>
            <v:rect style="position:absolute;left:1275;top:174;width:5;height:5" filled="true" fillcolor="#9f9f9f" stroked="false">
              <v:fill type="solid"/>
            </v:rect>
            <v:line style="position:absolute" from="1280,176" to="10910,176" stroked="true" strokeweight=".24pt" strokecolor="#9f9f9f">
              <v:stroke dashstyle="solid"/>
            </v:line>
            <v:rect style="position:absolute;left:10910;top:174;width:5;height:5" filled="true" fillcolor="#e2e2e2" stroked="false">
              <v:fill type="solid"/>
            </v:rect>
            <v:rect style="position:absolute;left:10910;top:174;width:5;height:5" filled="true" fillcolor="#9f9f9f" stroked="false">
              <v:fill type="solid"/>
            </v:rect>
            <v:rect style="position:absolute;left:1275;top:178;width:5;height:6" filled="true" fillcolor="#9f9f9f" stroked="false">
              <v:fill type="solid"/>
            </v:rect>
            <v:rect style="position:absolute;left:10910;top:178;width:5;height:6" filled="true" fillcolor="#e2e2e2" stroked="false">
              <v:fill type="solid"/>
            </v:rect>
            <v:rect style="position:absolute;left:1275;top:184;width:5;height:5" filled="true" fillcolor="#9f9f9f" stroked="false">
              <v:fill type="solid"/>
            </v:rect>
            <v:rect style="position:absolute;left:1275;top:184;width:5;height:5" filled="true" fillcolor="#e2e2e2" stroked="false">
              <v:fill type="solid"/>
            </v:rect>
            <v:line style="position:absolute" from="1280,187" to="10910,187" stroked="true" strokeweight=".24pt" strokecolor="#e2e2e2">
              <v:stroke dashstyle="solid"/>
            </v:line>
            <v:rect style="position:absolute;left:10910;top:184;width:5;height:5" filled="true" fillcolor="#e2e2e2" stroked="false">
              <v:fill type="solid"/>
            </v:rect>
            <v:rect style="position:absolute;left:10910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39"/>
      </w:pPr>
      <w:r>
        <w:rPr/>
        <w:t>五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變更分析</w:t>
      </w:r>
    </w:p>
    <w:p>
      <w:pPr>
        <w:spacing w:after="0"/>
        <w:sectPr>
          <w:pgSz w:w="11910" w:h="16840"/>
          <w:pgMar w:header="0" w:footer="724" w:top="980" w:bottom="920" w:left="1160" w:right="88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2302"/>
        <w:gridCol w:w="2312"/>
        <w:gridCol w:w="1936"/>
        <w:gridCol w:w="2301"/>
      </w:tblGrid>
      <w:tr>
        <w:trPr>
          <w:trHeight w:val="346" w:hRule="atLeast"/>
        </w:trPr>
        <w:tc>
          <w:tcPr>
            <w:tcW w:w="7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3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理想狀況（無事故）</w:t>
            </w:r>
          </w:p>
        </w:tc>
        <w:tc>
          <w:tcPr>
            <w:tcW w:w="19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230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692" w:hRule="atLeast"/>
        </w:trPr>
        <w:tc>
          <w:tcPr>
            <w:tcW w:w="780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2302" w:type="dxa"/>
          </w:tcPr>
          <w:p>
            <w:pPr>
              <w:pStyle w:val="TableParagraph"/>
              <w:spacing w:line="350" w:lineRule="exact"/>
              <w:rPr>
                <w:sz w:val="20"/>
              </w:rPr>
            </w:pPr>
            <w:r>
              <w:rPr>
                <w:sz w:val="20"/>
              </w:rPr>
              <w:t>吳○○爬上車鬥協助</w:t>
            </w:r>
          </w:p>
        </w:tc>
        <w:tc>
          <w:tcPr>
            <w:tcW w:w="2312" w:type="dxa"/>
          </w:tcPr>
          <w:p>
            <w:pPr>
              <w:pStyle w:val="TableParagraph"/>
              <w:spacing w:line="350" w:lineRule="exact"/>
              <w:rPr>
                <w:sz w:val="20"/>
              </w:rPr>
            </w:pPr>
            <w:r>
              <w:rPr>
                <w:sz w:val="20"/>
              </w:rPr>
              <w:t>僅使用機械設備定位</w:t>
            </w:r>
          </w:p>
        </w:tc>
        <w:tc>
          <w:tcPr>
            <w:tcW w:w="1936" w:type="dxa"/>
          </w:tcPr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人員介入高風險區</w:t>
            </w:r>
          </w:p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w w:val="100"/>
                <w:sz w:val="20"/>
              </w:rPr>
              <w:t>域</w:t>
            </w:r>
          </w:p>
        </w:tc>
        <w:tc>
          <w:tcPr>
            <w:tcW w:w="2301" w:type="dxa"/>
          </w:tcPr>
          <w:p>
            <w:pPr>
              <w:pStyle w:val="TableParagraph"/>
              <w:spacing w:line="340" w:lineRule="exact"/>
              <w:ind w:left="106"/>
              <w:rPr>
                <w:sz w:val="20"/>
              </w:rPr>
            </w:pPr>
            <w:r>
              <w:rPr>
                <w:sz w:val="20"/>
              </w:rPr>
              <w:t>增加墜落與物體倒塌風</w:t>
            </w:r>
          </w:p>
          <w:p>
            <w:pPr>
              <w:pStyle w:val="TableParagraph"/>
              <w:spacing w:line="332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險</w:t>
            </w:r>
          </w:p>
        </w:tc>
      </w:tr>
      <w:tr>
        <w:trPr>
          <w:trHeight w:val="692" w:hRule="atLeast"/>
        </w:trPr>
        <w:tc>
          <w:tcPr>
            <w:tcW w:w="780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</w:tc>
        <w:tc>
          <w:tcPr>
            <w:tcW w:w="2302" w:type="dxa"/>
          </w:tcPr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貨車移動未確認人員安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w w:val="100"/>
                <w:sz w:val="20"/>
              </w:rPr>
              <w:t>全</w:t>
            </w:r>
          </w:p>
        </w:tc>
        <w:tc>
          <w:tcPr>
            <w:tcW w:w="2312" w:type="dxa"/>
          </w:tcPr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需經指揮人員確認後移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w w:val="100"/>
                <w:sz w:val="20"/>
              </w:rPr>
              <w:t>動</w:t>
            </w:r>
          </w:p>
        </w:tc>
        <w:tc>
          <w:tcPr>
            <w:tcW w:w="1936" w:type="dxa"/>
          </w:tcPr>
          <w:p>
            <w:pPr>
              <w:pStyle w:val="TableParagraph"/>
              <w:spacing w:line="350" w:lineRule="exact"/>
              <w:rPr>
                <w:sz w:val="20"/>
              </w:rPr>
            </w:pPr>
            <w:r>
              <w:rPr>
                <w:sz w:val="20"/>
              </w:rPr>
              <w:t>省略安全確認步驟</w:t>
            </w:r>
          </w:p>
        </w:tc>
        <w:tc>
          <w:tcPr>
            <w:tcW w:w="2301" w:type="dxa"/>
          </w:tcPr>
          <w:p>
            <w:pPr>
              <w:pStyle w:val="TableParagraph"/>
              <w:spacing w:line="350" w:lineRule="exact"/>
              <w:ind w:left="106"/>
              <w:rPr>
                <w:sz w:val="20"/>
              </w:rPr>
            </w:pPr>
            <w:r>
              <w:rPr>
                <w:sz w:val="20"/>
              </w:rPr>
              <w:t>直接導致墜落</w:t>
            </w:r>
          </w:p>
        </w:tc>
      </w:tr>
      <w:tr>
        <w:trPr>
          <w:trHeight w:val="346" w:hRule="atLeast"/>
        </w:trPr>
        <w:tc>
          <w:tcPr>
            <w:tcW w:w="780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原木超出護欄高度</w:t>
            </w:r>
          </w:p>
        </w:tc>
        <w:tc>
          <w:tcPr>
            <w:tcW w:w="23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裝載高度需低於護欄</w:t>
            </w:r>
          </w:p>
        </w:tc>
        <w:tc>
          <w:tcPr>
            <w:tcW w:w="19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超載且未固定</w:t>
            </w:r>
          </w:p>
        </w:tc>
        <w:tc>
          <w:tcPr>
            <w:tcW w:w="230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原木滾落加劇傷害</w:t>
            </w:r>
          </w:p>
        </w:tc>
      </w:tr>
    </w:tbl>
    <w:p>
      <w:pPr>
        <w:pStyle w:val="BodyText"/>
        <w:spacing w:before="18"/>
        <w:rPr>
          <w:b/>
          <w:sz w:val="6"/>
        </w:rPr>
      </w:pPr>
      <w:r>
        <w:rPr/>
        <w:pict>
          <v:group style="position:absolute;margin-left:63.779999pt;margin-top:8.401pt;width:482pt;height:.8pt;mso-position-horizontal-relative:page;mso-position-vertical-relative:paragraph;z-index:-856;mso-wrap-distance-left:0;mso-wrap-distance-right:0" coordorigin="1276,168" coordsize="9640,16">
            <v:line style="position:absolute" from="1276,176" to="10915,176" stroked="true" strokeweight=".75pt" strokecolor="#9f9f9f">
              <v:stroke dashstyle="solid"/>
            </v:line>
            <v:rect style="position:absolute;left:1275;top:168;width:5;height:5" filled="true" fillcolor="#9f9f9f" stroked="false">
              <v:fill type="solid"/>
            </v:rect>
            <v:rect style="position:absolute;left:1275;top:168;width:5;height:5" filled="true" fillcolor="#9f9f9f" stroked="false">
              <v:fill type="solid"/>
            </v:rect>
            <v:line style="position:absolute" from="1280,170" to="10910,170" stroked="true" strokeweight=".239pt" strokecolor="#9f9f9f">
              <v:stroke dashstyle="solid"/>
            </v:line>
            <v:rect style="position:absolute;left:10910;top:168;width:5;height:5" filled="true" fillcolor="#e2e2e2" stroked="false">
              <v:fill type="solid"/>
            </v:rect>
            <v:rect style="position:absolute;left:10910;top:168;width:5;height:5" filled="true" fillcolor="#9f9f9f" stroked="false">
              <v:fill type="solid"/>
            </v:rect>
            <v:rect style="position:absolute;left:1275;top:172;width:5;height:7" filled="true" fillcolor="#9f9f9f" stroked="false">
              <v:fill type="solid"/>
            </v:rect>
            <v:rect style="position:absolute;left:10910;top:172;width:5;height:7" filled="true" fillcolor="#e2e2e2" stroked="false">
              <v:fill type="solid"/>
            </v:rect>
            <v:rect style="position:absolute;left:1275;top:178;width:5;height:5" filled="true" fillcolor="#9f9f9f" stroked="false">
              <v:fill type="solid"/>
            </v:rect>
            <v:rect style="position:absolute;left:1275;top:178;width:5;height:5" filled="true" fillcolor="#e2e2e2" stroked="false">
              <v:fill type="solid"/>
            </v:rect>
            <v:line style="position:absolute" from="1280,181" to="10910,181" stroked="true" strokeweight=".239pt" strokecolor="#e2e2e2">
              <v:stroke dashstyle="solid"/>
            </v:line>
            <v:rect style="position:absolute;left:10910;top:178;width:5;height:5" filled="true" fillcolor="#e2e2e2" stroked="false">
              <v:fill type="solid"/>
            </v:rect>
            <v:rect style="position:absolute;left:10910;top:17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14"/>
        </w:rPr>
      </w:pPr>
    </w:p>
    <w:p>
      <w:pPr>
        <w:spacing w:before="4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六</w:t>
      </w:r>
      <w:r>
        <w:rPr>
          <w:rFonts w:ascii="Calibri" w:eastAsia="Calibri"/>
          <w:b/>
          <w:sz w:val="24"/>
        </w:rPr>
        <w:t>. 6. </w:t>
      </w:r>
      <w:r>
        <w:rPr>
          <w:b/>
          <w:sz w:val="24"/>
        </w:rPr>
        <w:t>人為失效分析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2616"/>
        <w:gridCol w:w="2694"/>
      </w:tblGrid>
      <w:tr>
        <w:trPr>
          <w:trHeight w:val="345" w:hRule="atLeast"/>
        </w:trPr>
        <w:tc>
          <w:tcPr>
            <w:tcW w:w="12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行為表現</w:t>
            </w:r>
          </w:p>
        </w:tc>
        <w:tc>
          <w:tcPr>
            <w:tcW w:w="2694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根本原因（組織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系統因素）</w:t>
            </w:r>
          </w:p>
        </w:tc>
      </w:tr>
      <w:tr>
        <w:trPr>
          <w:trHeight w:val="346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人員站立於未固定原木上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默許高風險作業文化</w:t>
            </w:r>
          </w:p>
        </w:tc>
      </w:tr>
      <w:tr>
        <w:trPr>
          <w:trHeight w:val="345" w:hRule="atLeast"/>
        </w:trPr>
        <w:tc>
          <w:tcPr>
            <w:tcW w:w="12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貨車司機未確認安全即移動</w:t>
            </w:r>
          </w:p>
        </w:tc>
        <w:tc>
          <w:tcPr>
            <w:tcW w:w="2694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缺乏明確溝通流程</w:t>
            </w:r>
          </w:p>
        </w:tc>
      </w:tr>
      <w:tr>
        <w:trPr>
          <w:trHeight w:val="346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技術性失誤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原木堆疊不穩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未提供裝載訓練</w:t>
            </w:r>
          </w:p>
        </w:tc>
      </w:tr>
    </w:tbl>
    <w:p>
      <w:pPr>
        <w:pStyle w:val="BodyText"/>
        <w:spacing w:before="11"/>
        <w:rPr>
          <w:b/>
          <w:sz w:val="6"/>
        </w:rPr>
      </w:pPr>
      <w:r>
        <w:rPr/>
        <w:pict>
          <v:group style="position:absolute;margin-left:63.779999pt;margin-top:8.051023pt;width:482pt;height:.8pt;mso-position-horizontal-relative:page;mso-position-vertical-relative:paragraph;z-index:-832;mso-wrap-distance-left:0;mso-wrap-distance-right:0" coordorigin="1276,161" coordsize="9640,16">
            <v:line style="position:absolute" from="1276,169" to="10915,169" stroked="true" strokeweight=".75pt" strokecolor="#9f9f9f">
              <v:stroke dashstyle="solid"/>
            </v:line>
            <v:rect style="position:absolute;left:1275;top:161;width:5;height:5" filled="true" fillcolor="#9f9f9f" stroked="false">
              <v:fill type="solid"/>
            </v:rect>
            <v:rect style="position:absolute;left:1275;top:161;width:5;height:5" filled="true" fillcolor="#9f9f9f" stroked="false">
              <v:fill type="solid"/>
            </v:rect>
            <v:line style="position:absolute" from="1280,163" to="10910,163" stroked="true" strokeweight=".24pt" strokecolor="#9f9f9f">
              <v:stroke dashstyle="solid"/>
            </v:line>
            <v:rect style="position:absolute;left:10910;top:161;width:5;height:5" filled="true" fillcolor="#e2e2e2" stroked="false">
              <v:fill type="solid"/>
            </v:rect>
            <v:rect style="position:absolute;left:10910;top:161;width:5;height:5" filled="true" fillcolor="#9f9f9f" stroked="false">
              <v:fill type="solid"/>
            </v:rect>
            <v:rect style="position:absolute;left:1275;top:165;width:5;height:6" filled="true" fillcolor="#9f9f9f" stroked="false">
              <v:fill type="solid"/>
            </v:rect>
            <v:rect style="position:absolute;left:10910;top:165;width:5;height:6" filled="true" fillcolor="#e2e2e2" stroked="false">
              <v:fill type="solid"/>
            </v:rect>
            <v:rect style="position:absolute;left:1275;top:171;width:5;height:5" filled="true" fillcolor="#9f9f9f" stroked="false">
              <v:fill type="solid"/>
            </v:rect>
            <v:rect style="position:absolute;left:1275;top:171;width:5;height:5" filled="true" fillcolor="#e2e2e2" stroked="false">
              <v:fill type="solid"/>
            </v:rect>
            <v:line style="position:absolute" from="1280,174" to="10910,174" stroked="true" strokeweight=".24pt" strokecolor="#e2e2e2">
              <v:stroke dashstyle="solid"/>
            </v:line>
            <v:rect style="position:absolute;left:10910;top:171;width:5;height:5" filled="true" fillcolor="#e2e2e2" stroked="false">
              <v:fill type="solid"/>
            </v:rect>
            <v:rect style="position:absolute;left:10910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6"/>
        <w:rPr>
          <w:b/>
          <w:sz w:val="16"/>
        </w:rPr>
      </w:pPr>
    </w:p>
    <w:p>
      <w:pPr>
        <w:spacing w:line="428" w:lineRule="exact" w:before="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七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  <w:shd w:fill="D9D9D9" w:color="auto" w:val="clear"/>
        </w:rPr>
        <w:t>根本原因探討</w:t>
      </w:r>
    </w:p>
    <w:p>
      <w:pPr>
        <w:pStyle w:val="ListParagraph"/>
        <w:numPr>
          <w:ilvl w:val="0"/>
          <w:numId w:val="4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立即原因</w:t>
      </w:r>
      <w:r>
        <w:rPr>
          <w:sz w:val="24"/>
        </w:rPr>
        <w:t>：原木滾落砸中 </w:t>
      </w:r>
      <w:r>
        <w:rPr>
          <w:rFonts w:ascii="Calibri" w:hAnsi="Calibri" w:eastAsia="Calibri"/>
          <w:spacing w:val="5"/>
          <w:sz w:val="24"/>
        </w:rPr>
        <w:t>+ </w:t>
      </w:r>
      <w:r>
        <w:rPr>
          <w:sz w:val="24"/>
        </w:rPr>
        <w:t>高處墜落。</w:t>
      </w:r>
    </w:p>
    <w:p>
      <w:pPr>
        <w:pStyle w:val="ListParagraph"/>
        <w:numPr>
          <w:ilvl w:val="0"/>
          <w:numId w:val="4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b/>
          <w:sz w:val="24"/>
        </w:rPr>
        <w:t>構成原因</w:t>
      </w:r>
      <w:r>
        <w:rPr>
          <w:sz w:val="24"/>
        </w:rPr>
        <w:t>：護欄高度不足、未使用防墜裝備、作業協調失誤。</w:t>
      </w:r>
    </w:p>
    <w:p>
      <w:pPr>
        <w:pStyle w:val="Heading1"/>
        <w:numPr>
          <w:ilvl w:val="0"/>
          <w:numId w:val="4"/>
        </w:numPr>
        <w:tabs>
          <w:tab w:pos="835" w:val="left" w:leader="none"/>
          <w:tab w:pos="836" w:val="left" w:leader="none"/>
        </w:tabs>
        <w:spacing w:line="415" w:lineRule="exact" w:before="0" w:after="0"/>
        <w:ind w:left="835" w:right="0" w:hanging="360"/>
        <w:jc w:val="left"/>
        <w:rPr>
          <w:b w:val="0"/>
        </w:rPr>
      </w:pPr>
      <w:r>
        <w:rPr/>
        <w:t>根本原因</w:t>
      </w:r>
      <w:r>
        <w:rPr>
          <w:b w:val="0"/>
        </w:rPr>
        <w:t>：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b/>
          <w:sz w:val="24"/>
        </w:rPr>
        <w:t>管理系統缺失</w:t>
      </w:r>
      <w:r>
        <w:rPr>
          <w:sz w:val="24"/>
        </w:rPr>
        <w:t>：未制定卸貨與協同作業標準程式。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b/>
          <w:sz w:val="24"/>
        </w:rPr>
        <w:t>設備設計缺陷</w:t>
      </w:r>
      <w:r>
        <w:rPr>
          <w:sz w:val="24"/>
        </w:rPr>
        <w:t>：貨車護欄未考量實際作業需求。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  <w:tab w:pos="1556" w:val="left" w:leader="none"/>
        </w:tabs>
        <w:spacing w:line="428" w:lineRule="exact" w:before="0" w:after="0"/>
        <w:ind w:left="1555" w:right="0" w:hanging="360"/>
        <w:jc w:val="left"/>
        <w:rPr>
          <w:sz w:val="24"/>
        </w:rPr>
      </w:pPr>
      <w:r>
        <w:rPr>
          <w:b/>
          <w:sz w:val="24"/>
        </w:rPr>
        <w:t>安全文化問題</w:t>
      </w:r>
      <w:r>
        <w:rPr>
          <w:sz w:val="24"/>
        </w:rPr>
        <w:t>：長期容忍人員攀爬車門等高風險行為。</w:t>
      </w:r>
    </w:p>
    <w:p>
      <w:pPr>
        <w:pStyle w:val="BodyText"/>
        <w:spacing w:before="11"/>
        <w:rPr>
          <w:sz w:val="6"/>
        </w:rPr>
      </w:pPr>
      <w:r>
        <w:rPr/>
        <w:pict>
          <v:group style="position:absolute;margin-left:63.779999pt;margin-top:8.062658pt;width:482pt;height:.8pt;mso-position-horizontal-relative:page;mso-position-vertical-relative:paragraph;z-index:-808;mso-wrap-distance-left:0;mso-wrap-distance-right:0" coordorigin="1276,161" coordsize="9640,16">
            <v:line style="position:absolute" from="1276,169" to="10915,169" stroked="true" strokeweight=".75pt" strokecolor="#9f9f9f">
              <v:stroke dashstyle="solid"/>
            </v:line>
            <v:rect style="position:absolute;left:1275;top:161;width:5;height:5" filled="true" fillcolor="#9f9f9f" stroked="false">
              <v:fill type="solid"/>
            </v:rect>
            <v:rect style="position:absolute;left:1275;top:161;width:5;height:5" filled="true" fillcolor="#9f9f9f" stroked="false">
              <v:fill type="solid"/>
            </v:rect>
            <v:line style="position:absolute" from="1280,164" to="10910,164" stroked="true" strokeweight=".24pt" strokecolor="#9f9f9f">
              <v:stroke dashstyle="solid"/>
            </v:line>
            <v:rect style="position:absolute;left:10910;top:161;width:5;height:5" filled="true" fillcolor="#e2e2e2" stroked="false">
              <v:fill type="solid"/>
            </v:rect>
            <v:rect style="position:absolute;left:10910;top:161;width:5;height:5" filled="true" fillcolor="#9f9f9f" stroked="false">
              <v:fill type="solid"/>
            </v:rect>
            <v:rect style="position:absolute;left:1275;top:166;width:5;height:6" filled="true" fillcolor="#9f9f9f" stroked="false">
              <v:fill type="solid"/>
            </v:rect>
            <v:rect style="position:absolute;left:10910;top:166;width:5;height:6" filled="true" fillcolor="#e2e2e2" stroked="false">
              <v:fill type="solid"/>
            </v:rect>
            <v:rect style="position:absolute;left:1275;top:172;width:5;height:5" filled="true" fillcolor="#9f9f9f" stroked="false">
              <v:fill type="solid"/>
            </v:rect>
            <v:rect style="position:absolute;left:1275;top:172;width:5;height:5" filled="true" fillcolor="#e2e2e2" stroked="false">
              <v:fill type="solid"/>
            </v:rect>
            <v:line style="position:absolute" from="1280,174" to="10910,174" stroked="true" strokeweight=".24pt" strokecolor="#e2e2e2">
              <v:stroke dashstyle="solid"/>
            </v:line>
            <v:rect style="position:absolute;left:10910;top:172;width:5;height:5" filled="true" fillcolor="#e2e2e2" stroked="false">
              <v:fill type="solid"/>
            </v:rect>
            <v:rect style="position:absolute;left:10910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428" w:lineRule="exact" w:before="39"/>
        <w:ind w:left="115"/>
      </w:pPr>
      <w:r>
        <w:rPr/>
        <w:t>備註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假設情境：</w:t>
      </w:r>
    </w:p>
    <w:p>
      <w:pPr>
        <w:pStyle w:val="ListParagraph"/>
        <w:numPr>
          <w:ilvl w:val="1"/>
          <w:numId w:val="5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原木未重新固定（基於綁繩已拆除且後續原木滾落）。</w:t>
      </w:r>
    </w:p>
    <w:p>
      <w:pPr>
        <w:pStyle w:val="ListParagraph"/>
        <w:numPr>
          <w:ilvl w:val="1"/>
          <w:numId w:val="5"/>
        </w:numPr>
        <w:tabs>
          <w:tab w:pos="1555" w:val="left" w:leader="none"/>
          <w:tab w:pos="1556" w:val="left" w:leader="none"/>
        </w:tabs>
        <w:spacing w:line="415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護欄高度不足為常態（基於照片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顯示原木超出護欄）。</w:t>
      </w:r>
    </w:p>
    <w:p>
      <w:pPr>
        <w:pStyle w:val="ListParagraph"/>
        <w:numPr>
          <w:ilvl w:val="0"/>
          <w:numId w:val="5"/>
        </w:numPr>
        <w:tabs>
          <w:tab w:pos="836" w:val="left" w:leader="none"/>
        </w:tabs>
        <w:spacing w:line="415" w:lineRule="exact" w:before="0" w:after="0"/>
        <w:ind w:left="835" w:right="0" w:hanging="360"/>
        <w:jc w:val="left"/>
        <w:rPr>
          <w:sz w:val="24"/>
        </w:rPr>
      </w:pPr>
      <w:r>
        <w:rPr>
          <w:sz w:val="24"/>
        </w:rPr>
        <w:t>關鍵改善點：</w:t>
      </w:r>
    </w:p>
    <w:p>
      <w:pPr>
        <w:pStyle w:val="ListParagraph"/>
        <w:numPr>
          <w:ilvl w:val="1"/>
          <w:numId w:val="5"/>
        </w:numPr>
        <w:tabs>
          <w:tab w:pos="1555" w:val="left" w:leader="none"/>
          <w:tab w:pos="1556" w:val="left" w:leader="none"/>
        </w:tabs>
        <w:spacing w:line="428" w:lineRule="exact" w:before="0" w:after="0"/>
        <w:ind w:left="1555" w:right="0" w:hanging="360"/>
        <w:jc w:val="left"/>
        <w:rPr>
          <w:sz w:val="24"/>
        </w:rPr>
      </w:pPr>
      <w:r>
        <w:rPr>
          <w:sz w:val="24"/>
        </w:rPr>
        <w:t>護欄加高或裝載限高、強制使用機械輔助定位、建立多設備作業指揮流程。</w:t>
      </w:r>
    </w:p>
    <w:p>
      <w:pPr>
        <w:pStyle w:val="BodyText"/>
        <w:spacing w:before="266"/>
        <w:ind w:left="115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生成並經講師潤飾，內容僅供參考，請仔細甄別。</w:t>
      </w:r>
    </w:p>
    <w:sectPr>
      <w:pgSz w:w="11910" w:h="16840"/>
      <w:pgMar w:header="0" w:footer="724" w:top="980" w:bottom="920" w:left="11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20001pt;margin-top:794.704956pt;width:9.1pt;height:12.05pt;mso-position-horizontal-relative:page;mso-position-vertical-relative:page;z-index:-12736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5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9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5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2025-07-25T00:45:32Z</dcterms:created>
  <dcterms:modified xsi:type="dcterms:W3CDTF">2025-07-25T00:45:32Z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