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28"/>
        <w:ind w:left="3715" w:right="3713"/>
        <w:jc w:val="center"/>
      </w:pPr>
      <w:r>
        <w:rPr/>
        <w:t>倒塌案 </w:t>
      </w:r>
      <w:r>
        <w:rPr>
          <w:rFonts w:ascii="Calibri" w:eastAsia="Calibri"/>
        </w:rPr>
        <w:t>3_</w:t>
      </w:r>
      <w:r>
        <w:rPr/>
        <w:t>分析參考</w:t>
      </w:r>
    </w:p>
    <w:p>
      <w:pPr>
        <w:spacing w:before="267"/>
        <w:ind w:left="1725" w:right="0" w:firstLine="0"/>
        <w:jc w:val="left"/>
        <w:rPr>
          <w:b/>
          <w:sz w:val="24"/>
        </w:rPr>
      </w:pPr>
      <w:r>
        <w:rPr>
          <w:b/>
          <w:sz w:val="24"/>
        </w:rPr>
        <w:t>從事鋼帶捲吊掛存放作業發生物體倒塌災害調查分析報告</w:t>
      </w:r>
    </w:p>
    <w:p>
      <w:pPr>
        <w:pStyle w:val="BodyText"/>
        <w:spacing w:line="225" w:lineRule="auto" w:before="286"/>
        <w:ind w:left="118" w:right="207"/>
        <w:jc w:val="both"/>
      </w:pPr>
      <w:r>
        <w:rPr>
          <w:b/>
        </w:rPr>
        <w:t>重要提醒： </w:t>
      </w:r>
      <w:r>
        <w:rPr/>
        <w:t>本分析報告是基於所提供案例的有限資訊，並結合事故調查的專業方法論進行。部分內容為根據邏輯與經驗所做的合理假設，並會明確標示為 </w:t>
      </w:r>
      <w:r>
        <w:rPr>
          <w:rFonts w:ascii="Calibri" w:eastAsia="Calibri"/>
          <w:b/>
        </w:rPr>
        <w:t>(</w:t>
      </w:r>
      <w:r>
        <w:rPr>
          <w:b/>
        </w:rPr>
        <w:t>假設</w:t>
      </w:r>
      <w:r>
        <w:rPr>
          <w:rFonts w:ascii="Calibri" w:eastAsia="Calibri"/>
          <w:b/>
        </w:rPr>
        <w:t>)</w:t>
      </w:r>
      <w:r>
        <w:rPr/>
        <w:t>。一場實際、完整的事故調查，需要更詳盡的現場勘查、人員訪談與物證檢驗來支持所有結論。</w:t>
      </w:r>
    </w:p>
    <w:p>
      <w:pPr>
        <w:pStyle w:val="BodyText"/>
        <w:spacing w:before="4"/>
        <w:rPr>
          <w:sz w:val="6"/>
        </w:rPr>
      </w:pPr>
      <w:r>
        <w:rPr/>
        <w:pict>
          <v:group style="position:absolute;margin-left:70.900002pt;margin-top:7.719922pt;width:460.7pt;height:1.55pt;mso-position-horizontal-relative:page;mso-position-vertical-relative:paragraph;z-index:-1024;mso-wrap-distance-left:0;mso-wrap-distance-right:0" coordorigin="1418,154" coordsize="9214,31">
            <v:line style="position:absolute" from="1418,169" to="10632,169" stroked="true" strokeweight="1.5pt" strokecolor="#9f9f9f">
              <v:stroke dashstyle="solid"/>
            </v:line>
            <v:rect style="position:absolute;left:1418;top:154;width:5;height:5" filled="true" fillcolor="#9f9f9f" stroked="false">
              <v:fill type="solid"/>
            </v:rect>
            <v:rect style="position:absolute;left:1418;top:154;width:5;height:5" filled="true" fillcolor="#9f9f9f" stroked="false">
              <v:fill type="solid"/>
            </v:rect>
            <v:line style="position:absolute" from="1423,157" to="10627,157" stroked="true" strokeweight=".239pt" strokecolor="#9f9f9f">
              <v:stroke dashstyle="solid"/>
            </v:line>
            <v:rect style="position:absolute;left:10627;top:154;width:5;height:5" filled="true" fillcolor="#e2e2e2" stroked="false">
              <v:fill type="solid"/>
            </v:rect>
            <v:rect style="position:absolute;left:10627;top:154;width:5;height:5" filled="true" fillcolor="#9f9f9f" stroked="false">
              <v:fill type="solid"/>
            </v:rect>
            <v:rect style="position:absolute;left:1418;top:159;width:5;height:21" filled="true" fillcolor="#9f9f9f" stroked="false">
              <v:fill type="solid"/>
            </v:rect>
            <v:rect style="position:absolute;left:10627;top:159;width:5;height:21" filled="true" fillcolor="#e2e2e2" stroked="false">
              <v:fill type="solid"/>
            </v:rect>
            <v:rect style="position:absolute;left:1418;top:179;width:5;height:5" filled="true" fillcolor="#9f9f9f" stroked="false">
              <v:fill type="solid"/>
            </v:rect>
            <v:rect style="position:absolute;left:1418;top:179;width:5;height:5" filled="true" fillcolor="#e2e2e2" stroked="false">
              <v:fill type="solid"/>
            </v:rect>
            <v:line style="position:absolute" from="1423,182" to="10627,182" stroked="true" strokeweight=".239pt" strokecolor="#e2e2e2">
              <v:stroke dashstyle="solid"/>
            </v:line>
            <v:rect style="position:absolute;left:10627;top:179;width:5;height:5" filled="true" fillcolor="#e2e2e2" stroked="false">
              <v:fill type="solid"/>
            </v:rect>
            <v:rect style="position:absolute;left:10627;top:179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</w:pPr>
      <w:r>
        <w:rPr/>
        <w:t>事故基本資料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9"/>
          <w:sz w:val="24"/>
        </w:rPr>
        <w:t>行業分類： </w:t>
      </w:r>
      <w:r>
        <w:rPr>
          <w:sz w:val="24"/>
        </w:rPr>
        <w:t>其他金屬加工處理業  </w:t>
      </w:r>
      <w:r>
        <w:rPr>
          <w:rFonts w:ascii="Calibri" w:hAnsi="Calibri" w:eastAsia="Calibri"/>
          <w:sz w:val="24"/>
        </w:rPr>
        <w:t>(2549)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9"/>
          <w:sz w:val="24"/>
        </w:rPr>
        <w:t>災害類型： </w:t>
      </w:r>
      <w:r>
        <w:rPr>
          <w:sz w:val="24"/>
        </w:rPr>
        <w:t>物體倒塌、崩塌  </w:t>
      </w:r>
      <w:r>
        <w:rPr>
          <w:rFonts w:ascii="Calibri" w:hAnsi="Calibri" w:eastAsia="Calibri"/>
          <w:sz w:val="24"/>
        </w:rPr>
        <w:t>(5)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sz w:val="24"/>
        </w:rPr>
      </w:pPr>
      <w:r>
        <w:rPr>
          <w:b/>
          <w:sz w:val="24"/>
        </w:rPr>
        <w:t>媒介物： </w:t>
      </w:r>
      <w:r>
        <w:rPr>
          <w:sz w:val="24"/>
        </w:rPr>
        <w:t>金屬材料（鋼帶捲）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sz w:val="24"/>
        </w:rPr>
      </w:pPr>
      <w:r>
        <w:rPr>
          <w:b/>
          <w:sz w:val="24"/>
        </w:rPr>
        <w:t>罹災情形： </w:t>
      </w:r>
      <w:r>
        <w:rPr>
          <w:sz w:val="24"/>
        </w:rPr>
        <w:t>死亡 </w:t>
      </w:r>
      <w:r>
        <w:rPr>
          <w:rFonts w:ascii="Calibri" w:hAnsi="Calibri" w:eastAsia="Calibri"/>
          <w:sz w:val="24"/>
        </w:rPr>
        <w:t>1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人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sz w:val="24"/>
        </w:rPr>
      </w:pPr>
      <w:r>
        <w:rPr>
          <w:b/>
          <w:spacing w:val="9"/>
          <w:sz w:val="24"/>
        </w:rPr>
        <w:t>事故時間： </w:t>
      </w:r>
      <w:r>
        <w:rPr>
          <w:sz w:val="24"/>
        </w:rPr>
        <w:t>民國 </w:t>
      </w:r>
      <w:r>
        <w:rPr>
          <w:rFonts w:ascii="Calibri" w:hAnsi="Calibri" w:eastAsia="Calibri"/>
          <w:sz w:val="24"/>
        </w:rPr>
        <w:t>112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年 </w:t>
      </w:r>
      <w:r>
        <w:rPr>
          <w:rFonts w:ascii="Calibri" w:hAnsi="Calibri" w:eastAsia="Calibri"/>
          <w:sz w:val="24"/>
        </w:rPr>
        <w:t>11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月 </w:t>
      </w:r>
      <w:r>
        <w:rPr>
          <w:rFonts w:ascii="Calibri" w:hAnsi="Calibri" w:eastAsia="Calibri"/>
          <w:sz w:val="24"/>
        </w:rPr>
        <w:t>10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日 </w:t>
      </w:r>
      <w:r>
        <w:rPr>
          <w:rFonts w:ascii="Calibri" w:hAnsi="Calibri" w:eastAsia="Calibri"/>
          <w:sz w:val="24"/>
        </w:rPr>
        <w:t>13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時 </w:t>
      </w:r>
      <w:r>
        <w:rPr>
          <w:rFonts w:ascii="Calibri" w:hAnsi="Calibri" w:eastAsia="Calibri"/>
          <w:sz w:val="24"/>
        </w:rPr>
        <w:t>45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分許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sz w:val="24"/>
        </w:rPr>
      </w:pPr>
      <w:r>
        <w:rPr>
          <w:b/>
          <w:sz w:val="24"/>
        </w:rPr>
        <w:t>事故地點： </w:t>
      </w:r>
      <w:r>
        <w:rPr>
          <w:sz w:val="24"/>
        </w:rPr>
        <w:t>某公司鋼帶捲存放區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25" w:lineRule="auto" w:before="6" w:after="0"/>
        <w:ind w:left="838" w:right="326" w:hanging="360"/>
        <w:jc w:val="left"/>
        <w:rPr>
          <w:sz w:val="24"/>
        </w:rPr>
      </w:pPr>
      <w:r>
        <w:rPr>
          <w:b/>
          <w:sz w:val="24"/>
        </w:rPr>
        <w:t>事故摘要：  </w:t>
      </w:r>
      <w:r>
        <w:rPr>
          <w:sz w:val="24"/>
        </w:rPr>
        <w:t>裁剪課副課長吳員於操作固定式起重機吊運鋼帶捲至存放區堆放時</w:t>
      </w:r>
      <w:r>
        <w:rPr>
          <w:spacing w:val="-1"/>
          <w:sz w:val="24"/>
        </w:rPr>
        <w:t>，因遙控器故障，更換電池後返回作業區繼續作業。 不久後，吳員被發現遭已堆放的鋼帶捲壓住後頸部，經同事救出並送醫後，於隔日傷重不治死亡。</w:t>
      </w:r>
    </w:p>
    <w:p>
      <w:pPr>
        <w:pStyle w:val="BodyText"/>
        <w:spacing w:before="5"/>
        <w:rPr>
          <w:sz w:val="6"/>
        </w:rPr>
      </w:pPr>
      <w:r>
        <w:rPr/>
        <w:pict>
          <v:group style="position:absolute;margin-left:70.900002pt;margin-top:7.769057pt;width:460.7pt;height:1.5pt;mso-position-horizontal-relative:page;mso-position-vertical-relative:paragraph;z-index:-1000;mso-wrap-distance-left:0;mso-wrap-distance-right:0" coordorigin="1418,155" coordsize="9214,30">
            <v:line style="position:absolute" from="1418,170" to="10632,170" stroked="true" strokeweight="1.5pt" strokecolor="#9f9f9f">
              <v:stroke dashstyle="solid"/>
            </v:line>
            <v:rect style="position:absolute;left:1418;top:155;width:5;height:5" filled="true" fillcolor="#9f9f9f" stroked="false">
              <v:fill type="solid"/>
            </v:rect>
            <v:rect style="position:absolute;left:1418;top:155;width:5;height:5" filled="true" fillcolor="#9f9f9f" stroked="false">
              <v:fill type="solid"/>
            </v:rect>
            <v:line style="position:absolute" from="1423,158" to="10627,158" stroked="true" strokeweight=".24pt" strokecolor="#9f9f9f">
              <v:stroke dashstyle="solid"/>
            </v:line>
            <v:rect style="position:absolute;left:10627;top:155;width:5;height:5" filled="true" fillcolor="#e2e2e2" stroked="false">
              <v:fill type="solid"/>
            </v:rect>
            <v:rect style="position:absolute;left:10627;top:155;width:5;height:5" filled="true" fillcolor="#9f9f9f" stroked="false">
              <v:fill type="solid"/>
            </v:rect>
            <v:rect style="position:absolute;left:1418;top:160;width:5;height:21" filled="true" fillcolor="#9f9f9f" stroked="false">
              <v:fill type="solid"/>
            </v:rect>
            <v:rect style="position:absolute;left:10627;top:160;width:5;height:21" filled="true" fillcolor="#e2e2e2" stroked="false">
              <v:fill type="solid"/>
            </v:rect>
            <v:rect style="position:absolute;left:1418;top:180;width:5;height:5" filled="true" fillcolor="#9f9f9f" stroked="false">
              <v:fill type="solid"/>
            </v:rect>
            <v:rect style="position:absolute;left:1418;top:180;width:5;height:5" filled="true" fillcolor="#e2e2e2" stroked="false">
              <v:fill type="solid"/>
            </v:rect>
            <v:line style="position:absolute" from="1423,183" to="10627,183" stroked="true" strokeweight=".24pt" strokecolor="#e2e2e2">
              <v:stroke dashstyle="solid"/>
            </v:line>
            <v:rect style="position:absolute;left:10627;top:180;width:5;height:5" filled="true" fillcolor="#e2e2e2" stroked="false">
              <v:fill type="solid"/>
            </v:rect>
            <v:rect style="position:absolute;left:10627;top:180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一</w:t>
      </w:r>
      <w:r>
        <w:rPr>
          <w:rFonts w:ascii="Calibri" w:eastAsia="Calibri"/>
        </w:rPr>
        <w:t>. </w:t>
      </w:r>
      <w:r>
        <w:rPr/>
        <w:t>事件成因分析圖  </w:t>
      </w:r>
      <w:r>
        <w:rPr>
          <w:rFonts w:ascii="Calibri" w:eastAsia="Calibri"/>
        </w:rPr>
        <w:t>(ECFC)</w:t>
      </w:r>
    </w:p>
    <w:p>
      <w:pPr>
        <w:pStyle w:val="BodyText"/>
        <w:spacing w:line="428" w:lineRule="exact"/>
        <w:ind w:left="118"/>
      </w:pPr>
      <w:r>
        <w:rPr/>
        <w:t>此圖將事故發生的事件及相關條件按時間順序呈現，以視覺化方式釐清因果關係。</w:t>
      </w: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900430</wp:posOffset>
            </wp:positionH>
            <wp:positionV relativeFrom="paragraph">
              <wp:posOffset>182332</wp:posOffset>
            </wp:positionV>
            <wp:extent cx="5894781" cy="2303145"/>
            <wp:effectExtent l="0" t="0" r="0" b="0"/>
            <wp:wrapTopAndBottom/>
            <wp:docPr id="1" name="image1.png" descr="一張含有 文字, 螢幕擷取畫面, 圖表, 字型 的圖片  AI 產生的內容可能不正確。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781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0.900002pt;margin-top:216.993591pt;width:460.7pt;height:1.55pt;mso-position-horizontal-relative:page;mso-position-vertical-relative:paragraph;z-index:-952;mso-wrap-distance-left:0;mso-wrap-distance-right:0" coordorigin="1418,4340" coordsize="9214,31">
            <v:line style="position:absolute" from="1418,4355" to="10632,4355" stroked="true" strokeweight="1.5pt" strokecolor="#9f9f9f">
              <v:stroke dashstyle="solid"/>
            </v:line>
            <v:rect style="position:absolute;left:1418;top:4340;width:5;height:5" filled="true" fillcolor="#9f9f9f" stroked="false">
              <v:fill type="solid"/>
            </v:rect>
            <v:rect style="position:absolute;left:1418;top:4340;width:5;height:5" filled="true" fillcolor="#9f9f9f" stroked="false">
              <v:fill type="solid"/>
            </v:rect>
            <v:line style="position:absolute" from="1423,4342" to="10627,4342" stroked="true" strokeweight=".24pt" strokecolor="#9f9f9f">
              <v:stroke dashstyle="solid"/>
            </v:line>
            <v:rect style="position:absolute;left:10627;top:4340;width:5;height:5" filled="true" fillcolor="#e2e2e2" stroked="false">
              <v:fill type="solid"/>
            </v:rect>
            <v:rect style="position:absolute;left:10627;top:4340;width:5;height:5" filled="true" fillcolor="#9f9f9f" stroked="false">
              <v:fill type="solid"/>
            </v:rect>
            <v:rect style="position:absolute;left:1418;top:4344;width:5;height:21" filled="true" fillcolor="#9f9f9f" stroked="false">
              <v:fill type="solid"/>
            </v:rect>
            <v:rect style="position:absolute;left:10627;top:4344;width:5;height:21" filled="true" fillcolor="#e2e2e2" stroked="false">
              <v:fill type="solid"/>
            </v:rect>
            <v:rect style="position:absolute;left:1418;top:4365;width:5;height:5" filled="true" fillcolor="#9f9f9f" stroked="false">
              <v:fill type="solid"/>
            </v:rect>
            <v:rect style="position:absolute;left:1418;top:4365;width:5;height:5" filled="true" fillcolor="#e2e2e2" stroked="false">
              <v:fill type="solid"/>
            </v:rect>
            <v:line style="position:absolute" from="1423,4368" to="10627,4368" stroked="true" strokeweight=".24pt" strokecolor="#e2e2e2">
              <v:stroke dashstyle="solid"/>
            </v:line>
            <v:rect style="position:absolute;left:10627;top:4365;width:5;height:5" filled="true" fillcolor="#e2e2e2" stroked="false">
              <v:fill type="solid"/>
            </v:rect>
            <v:rect style="position:absolute;left:10627;top:4365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7"/>
        <w:rPr>
          <w:sz w:val="19"/>
        </w:rPr>
      </w:pPr>
    </w:p>
    <w:p>
      <w:pPr>
        <w:pStyle w:val="Heading1"/>
        <w:spacing w:before="7"/>
      </w:pPr>
      <w:r>
        <w:rPr/>
        <w:t>二</w:t>
      </w:r>
      <w:r>
        <w:rPr>
          <w:rFonts w:ascii="Calibri" w:eastAsia="Calibri"/>
        </w:rPr>
        <w:t>. </w:t>
      </w:r>
      <w:r>
        <w:rPr/>
        <w:t>時間序列表</w:t>
      </w:r>
    </w:p>
    <w:p>
      <w:pPr>
        <w:pStyle w:val="BodyText"/>
        <w:spacing w:line="428" w:lineRule="exact"/>
        <w:ind w:left="118"/>
      </w:pPr>
      <w:r>
        <w:rPr/>
        <w:t>以表格形式記錄事故發生的先後順序和相關條件，作為 </w:t>
      </w:r>
      <w:r>
        <w:rPr>
          <w:rFonts w:ascii="Calibri" w:eastAsia="Calibri"/>
        </w:rPr>
        <w:t>ECFC </w:t>
      </w:r>
      <w:r>
        <w:rPr/>
        <w:t>的輔助。</w:t>
      </w:r>
    </w:p>
    <w:p>
      <w:pPr>
        <w:spacing w:after="0" w:line="428" w:lineRule="exact"/>
        <w:sectPr>
          <w:type w:val="continuous"/>
          <w:pgSz w:w="11910" w:h="16840"/>
          <w:pgMar w:top="1380" w:bottom="280" w:left="130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1809"/>
        <w:gridCol w:w="609"/>
        <w:gridCol w:w="875"/>
        <w:gridCol w:w="2321"/>
        <w:gridCol w:w="2151"/>
      </w:tblGrid>
      <w:tr>
        <w:trPr>
          <w:trHeight w:val="1383" w:hRule="atLeast"/>
        </w:trPr>
        <w:tc>
          <w:tcPr>
            <w:tcW w:w="1435" w:type="dxa"/>
          </w:tcPr>
          <w:p>
            <w:pPr>
              <w:pStyle w:val="TableParagraph"/>
              <w:spacing w:line="356" w:lineRule="exact"/>
              <w:ind w:left="107"/>
              <w:rPr>
                <w:sz w:val="20"/>
              </w:rPr>
            </w:pPr>
            <w:r>
              <w:rPr>
                <w:sz w:val="20"/>
              </w:rPr>
              <w:t>日期時間</w:t>
            </w:r>
          </w:p>
        </w:tc>
        <w:tc>
          <w:tcPr>
            <w:tcW w:w="1809" w:type="dxa"/>
          </w:tcPr>
          <w:p>
            <w:pPr>
              <w:pStyle w:val="TableParagraph"/>
              <w:spacing w:line="356" w:lineRule="exact"/>
              <w:ind w:left="108"/>
              <w:rPr>
                <w:sz w:val="20"/>
              </w:rPr>
            </w:pPr>
            <w:r>
              <w:rPr>
                <w:sz w:val="20"/>
              </w:rPr>
              <w:t>事件描述</w:t>
            </w:r>
          </w:p>
        </w:tc>
        <w:tc>
          <w:tcPr>
            <w:tcW w:w="609" w:type="dxa"/>
          </w:tcPr>
          <w:p>
            <w:pPr>
              <w:pStyle w:val="TableParagraph"/>
              <w:spacing w:line="225" w:lineRule="auto" w:before="4"/>
              <w:ind w:left="108" w:right="209"/>
              <w:jc w:val="both"/>
              <w:rPr>
                <w:sz w:val="20"/>
              </w:rPr>
            </w:pPr>
            <w:r>
              <w:rPr>
                <w:sz w:val="20"/>
              </w:rPr>
              <w:t>事實</w:t>
            </w:r>
            <w:r>
              <w:rPr>
                <w:rFonts w:ascii="Segoe UI" w:eastAsia="Segoe UI"/>
                <w:sz w:val="20"/>
              </w:rPr>
              <w:t>/ </w:t>
            </w:r>
            <w:r>
              <w:rPr>
                <w:sz w:val="20"/>
              </w:rPr>
              <w:t>假</w:t>
            </w:r>
          </w:p>
          <w:p>
            <w:pPr>
              <w:pStyle w:val="TableParagraph"/>
              <w:spacing w:line="322" w:lineRule="exact"/>
              <w:ind w:left="108"/>
              <w:jc w:val="both"/>
              <w:rPr>
                <w:sz w:val="20"/>
              </w:rPr>
            </w:pPr>
            <w:r>
              <w:rPr>
                <w:w w:val="100"/>
                <w:sz w:val="20"/>
              </w:rPr>
              <w:t>設</w:t>
            </w:r>
          </w:p>
        </w:tc>
        <w:tc>
          <w:tcPr>
            <w:tcW w:w="875" w:type="dxa"/>
          </w:tcPr>
          <w:p>
            <w:pPr>
              <w:pStyle w:val="TableParagraph"/>
              <w:spacing w:line="345" w:lineRule="exact"/>
              <w:ind w:left="108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主</w:t>
            </w:r>
            <w:r>
              <w:rPr>
                <w:rFonts w:ascii="Segoe UI" w:eastAsia="Segoe UI"/>
                <w:sz w:val="20"/>
              </w:rPr>
              <w:t>(P)/</w:t>
            </w:r>
          </w:p>
          <w:p>
            <w:pPr>
              <w:pStyle w:val="TableParagraph"/>
              <w:spacing w:line="225" w:lineRule="auto" w:before="5"/>
              <w:ind w:left="108" w:right="127"/>
              <w:rPr>
                <w:sz w:val="20"/>
              </w:rPr>
            </w:pPr>
            <w:r>
              <w:rPr>
                <w:sz w:val="20"/>
              </w:rPr>
              <w:t>次</w:t>
            </w:r>
            <w:r>
              <w:rPr>
                <w:rFonts w:ascii="Segoe UI" w:eastAsia="Segoe UI"/>
                <w:sz w:val="20"/>
              </w:rPr>
              <w:t>(S)</w:t>
            </w:r>
            <w:r>
              <w:rPr>
                <w:sz w:val="20"/>
              </w:rPr>
              <w:t>事件軸</w:t>
            </w:r>
          </w:p>
        </w:tc>
        <w:tc>
          <w:tcPr>
            <w:tcW w:w="2321" w:type="dxa"/>
          </w:tcPr>
          <w:p>
            <w:pPr>
              <w:pStyle w:val="TableParagraph"/>
              <w:spacing w:line="356" w:lineRule="exact"/>
              <w:ind w:left="108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1 (</w:t>
            </w:r>
            <w:r>
              <w:rPr>
                <w:sz w:val="20"/>
              </w:rPr>
              <w:t>直接條件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151" w:type="dxa"/>
          </w:tcPr>
          <w:p>
            <w:pPr>
              <w:pStyle w:val="TableParagraph"/>
              <w:spacing w:line="225" w:lineRule="auto" w:before="4"/>
              <w:ind w:left="110" w:right="106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2 (</w:t>
            </w:r>
            <w:r>
              <w:rPr>
                <w:sz w:val="20"/>
              </w:rPr>
              <w:t>條件 </w:t>
            </w:r>
            <w:r>
              <w:rPr>
                <w:rFonts w:ascii="Segoe UI" w:eastAsia="Segoe UI"/>
                <w:sz w:val="20"/>
              </w:rPr>
              <w:t>1 </w:t>
            </w:r>
            <w:r>
              <w:rPr>
                <w:sz w:val="20"/>
              </w:rPr>
              <w:t>的背景或前提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037" w:hRule="atLeast"/>
        </w:trPr>
        <w:tc>
          <w:tcPr>
            <w:tcW w:w="1435" w:type="dxa"/>
          </w:tcPr>
          <w:p>
            <w:pPr>
              <w:pStyle w:val="TableParagraph"/>
              <w:spacing w:line="260" w:lineRule="exact"/>
              <w:ind w:left="107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112/11/10</w:t>
            </w:r>
          </w:p>
          <w:p>
            <w:pPr>
              <w:pStyle w:val="TableParagraph"/>
              <w:spacing w:line="362" w:lineRule="exact"/>
              <w:ind w:left="107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13:40 </w:t>
            </w:r>
            <w:r>
              <w:rPr>
                <w:sz w:val="20"/>
              </w:rPr>
              <w:t>許</w:t>
            </w:r>
          </w:p>
        </w:tc>
        <w:tc>
          <w:tcPr>
            <w:tcW w:w="1809" w:type="dxa"/>
          </w:tcPr>
          <w:p>
            <w:pPr>
              <w:pStyle w:val="TableParagraph"/>
              <w:spacing w:line="225" w:lineRule="auto" w:before="5"/>
              <w:ind w:left="108" w:right="288"/>
              <w:rPr>
                <w:sz w:val="20"/>
              </w:rPr>
            </w:pPr>
            <w:r>
              <w:rPr>
                <w:sz w:val="20"/>
              </w:rPr>
              <w:t>吳員吊運鋼帶捲時，天車遙控器</w:t>
            </w:r>
          </w:p>
          <w:p>
            <w:pPr>
              <w:pStyle w:val="TableParagraph"/>
              <w:spacing w:line="321" w:lineRule="exact"/>
              <w:ind w:left="108"/>
              <w:rPr>
                <w:sz w:val="20"/>
              </w:rPr>
            </w:pPr>
            <w:r>
              <w:rPr>
                <w:sz w:val="20"/>
              </w:rPr>
              <w:t>無法操控。</w:t>
            </w:r>
          </w:p>
        </w:tc>
        <w:tc>
          <w:tcPr>
            <w:tcW w:w="609" w:type="dxa"/>
          </w:tcPr>
          <w:p>
            <w:pPr>
              <w:pStyle w:val="TableParagraph"/>
              <w:spacing w:line="225" w:lineRule="auto" w:before="5"/>
              <w:ind w:left="108" w:right="287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75" w:type="dxa"/>
          </w:tcPr>
          <w:p>
            <w:pPr>
              <w:pStyle w:val="TableParagraph"/>
              <w:ind w:left="108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S</w:t>
            </w:r>
          </w:p>
        </w:tc>
        <w:tc>
          <w:tcPr>
            <w:tcW w:w="2321" w:type="dxa"/>
          </w:tcPr>
          <w:p>
            <w:pPr>
              <w:pStyle w:val="TableParagraph"/>
              <w:spacing w:line="357" w:lineRule="exact"/>
              <w:ind w:left="108"/>
              <w:rPr>
                <w:sz w:val="20"/>
              </w:rPr>
            </w:pPr>
            <w:r>
              <w:rPr>
                <w:sz w:val="20"/>
              </w:rPr>
              <w:t>遙控器電池沒電。</w:t>
            </w:r>
          </w:p>
        </w:tc>
        <w:tc>
          <w:tcPr>
            <w:tcW w:w="2151" w:type="dxa"/>
          </w:tcPr>
          <w:p>
            <w:pPr>
              <w:pStyle w:val="TableParagraph"/>
              <w:spacing w:line="225" w:lineRule="auto" w:before="5"/>
              <w:ind w:left="109" w:right="106"/>
              <w:rPr>
                <w:sz w:val="20"/>
              </w:rPr>
            </w:pPr>
            <w:r>
              <w:rPr>
                <w:sz w:val="20"/>
              </w:rPr>
              <w:t>缺乏設備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遙控器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的定期檢查與維護計畫。</w:t>
            </w:r>
          </w:p>
          <w:p>
            <w:pPr>
              <w:pStyle w:val="TableParagraph"/>
              <w:spacing w:line="321" w:lineRule="exact"/>
              <w:ind w:left="109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假設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</w:tr>
      <w:tr>
        <w:trPr>
          <w:trHeight w:val="1384" w:hRule="atLeast"/>
        </w:trPr>
        <w:tc>
          <w:tcPr>
            <w:tcW w:w="1435" w:type="dxa"/>
          </w:tcPr>
          <w:p>
            <w:pPr>
              <w:pStyle w:val="TableParagraph"/>
              <w:ind w:left="107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112/11/10</w:t>
            </w:r>
          </w:p>
          <w:p>
            <w:pPr>
              <w:pStyle w:val="TableParagraph"/>
              <w:ind w:left="107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13:40-13:45</w:t>
            </w:r>
          </w:p>
        </w:tc>
        <w:tc>
          <w:tcPr>
            <w:tcW w:w="1809" w:type="dxa"/>
          </w:tcPr>
          <w:p>
            <w:pPr>
              <w:pStyle w:val="TableParagraph"/>
              <w:spacing w:line="225" w:lineRule="auto" w:before="5"/>
              <w:ind w:left="108" w:right="288"/>
              <w:rPr>
                <w:sz w:val="20"/>
              </w:rPr>
            </w:pPr>
            <w:r>
              <w:rPr>
                <w:sz w:val="20"/>
              </w:rPr>
              <w:t>吳員更換電池 </w:t>
            </w:r>
            <w:r>
              <w:rPr>
                <w:spacing w:val="-3"/>
                <w:sz w:val="20"/>
              </w:rPr>
              <w:t>後，返回鋼帶捲</w:t>
            </w:r>
            <w:r>
              <w:rPr>
                <w:sz w:val="20"/>
              </w:rPr>
              <w:t>存放區繼續作</w:t>
            </w:r>
          </w:p>
          <w:p>
            <w:pPr>
              <w:pStyle w:val="TableParagraph"/>
              <w:spacing w:line="322" w:lineRule="exact"/>
              <w:ind w:left="108"/>
              <w:rPr>
                <w:sz w:val="20"/>
              </w:rPr>
            </w:pPr>
            <w:r>
              <w:rPr>
                <w:sz w:val="20"/>
              </w:rPr>
              <w:t>業。</w:t>
            </w:r>
          </w:p>
        </w:tc>
        <w:tc>
          <w:tcPr>
            <w:tcW w:w="609" w:type="dxa"/>
          </w:tcPr>
          <w:p>
            <w:pPr>
              <w:pStyle w:val="TableParagraph"/>
              <w:spacing w:line="225" w:lineRule="auto" w:before="5"/>
              <w:ind w:left="108" w:right="289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75" w:type="dxa"/>
          </w:tcPr>
          <w:p>
            <w:pPr>
              <w:pStyle w:val="TableParagraph"/>
              <w:ind w:left="108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2321" w:type="dxa"/>
          </w:tcPr>
          <w:p>
            <w:pPr>
              <w:pStyle w:val="TableParagraph"/>
              <w:spacing w:line="225" w:lineRule="auto" w:before="5"/>
              <w:ind w:left="108" w:right="198"/>
              <w:jc w:val="both"/>
              <w:rPr>
                <w:sz w:val="20"/>
              </w:rPr>
            </w:pPr>
            <w:r>
              <w:rPr>
                <w:sz w:val="20"/>
              </w:rPr>
              <w:t>作業中斷後，人員可能因急於恢復作業而忽略周遭環境變化或既有風</w:t>
            </w:r>
          </w:p>
          <w:p>
            <w:pPr>
              <w:pStyle w:val="TableParagraph"/>
              <w:spacing w:line="322" w:lineRule="exact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險。</w:t>
            </w:r>
          </w:p>
        </w:tc>
        <w:tc>
          <w:tcPr>
            <w:tcW w:w="2151" w:type="dxa"/>
          </w:tcPr>
          <w:p>
            <w:pPr>
              <w:pStyle w:val="TableParagraph"/>
              <w:ind w:left="110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-</w:t>
            </w:r>
          </w:p>
        </w:tc>
      </w:tr>
      <w:tr>
        <w:trPr>
          <w:trHeight w:val="1728" w:hRule="atLeast"/>
        </w:trPr>
        <w:tc>
          <w:tcPr>
            <w:tcW w:w="1435" w:type="dxa"/>
          </w:tcPr>
          <w:p>
            <w:pPr>
              <w:pStyle w:val="TableParagraph"/>
              <w:spacing w:line="260" w:lineRule="exact"/>
              <w:ind w:left="107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112/11/10</w:t>
            </w:r>
          </w:p>
          <w:p>
            <w:pPr>
              <w:pStyle w:val="TableParagraph"/>
              <w:spacing w:line="362" w:lineRule="exact"/>
              <w:ind w:left="107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13:45 </w:t>
            </w:r>
            <w:r>
              <w:rPr>
                <w:sz w:val="20"/>
              </w:rPr>
              <w:t>許</w:t>
            </w:r>
          </w:p>
        </w:tc>
        <w:tc>
          <w:tcPr>
            <w:tcW w:w="1809" w:type="dxa"/>
          </w:tcPr>
          <w:p>
            <w:pPr>
              <w:pStyle w:val="TableParagraph"/>
              <w:spacing w:line="225" w:lineRule="auto" w:before="4"/>
              <w:ind w:left="108" w:right="288"/>
              <w:rPr>
                <w:sz w:val="20"/>
              </w:rPr>
            </w:pPr>
            <w:r>
              <w:rPr>
                <w:spacing w:val="-3"/>
                <w:sz w:val="20"/>
              </w:rPr>
              <w:t>已堆放的鋼帶捲</w:t>
            </w:r>
            <w:r>
              <w:rPr>
                <w:sz w:val="20"/>
              </w:rPr>
              <w:t>倒塌，壓住吳 員。</w:t>
            </w:r>
          </w:p>
        </w:tc>
        <w:tc>
          <w:tcPr>
            <w:tcW w:w="609" w:type="dxa"/>
          </w:tcPr>
          <w:p>
            <w:pPr>
              <w:pStyle w:val="TableParagraph"/>
              <w:spacing w:line="225" w:lineRule="auto" w:before="4"/>
              <w:ind w:left="108" w:right="287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75" w:type="dxa"/>
          </w:tcPr>
          <w:p>
            <w:pPr>
              <w:pStyle w:val="TableParagraph"/>
              <w:ind w:left="108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2321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61" w:val="left" w:leader="none"/>
              </w:tabs>
              <w:spacing w:line="345" w:lineRule="exact" w:before="0" w:after="0"/>
              <w:ind w:left="361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鋼帶捲堆疊不穩。</w:t>
            </w:r>
          </w:p>
          <w:p>
            <w:pPr>
              <w:pStyle w:val="TableParagraph"/>
              <w:spacing w:line="346" w:lineRule="exact"/>
              <w:ind w:left="108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假設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61" w:val="left" w:leader="none"/>
              </w:tabs>
              <w:spacing w:line="225" w:lineRule="auto" w:before="5" w:after="0"/>
              <w:ind w:left="108" w:right="148" w:firstLine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吳員站立於物料倒塌</w:t>
            </w:r>
            <w:r>
              <w:rPr>
                <w:sz w:val="20"/>
              </w:rPr>
              <w:t>的潛在危害範圍內。</w:t>
            </w:r>
          </w:p>
        </w:tc>
        <w:tc>
          <w:tcPr>
            <w:tcW w:w="2151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62" w:val="left" w:leader="none"/>
              </w:tabs>
              <w:spacing w:line="225" w:lineRule="auto" w:before="4" w:after="0"/>
              <w:ind w:left="110" w:right="176" w:firstLine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未制定鋼帶捲安全</w:t>
            </w:r>
            <w:r>
              <w:rPr>
                <w:sz w:val="20"/>
              </w:rPr>
              <w:t>堆疊標準。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2" w:val="left" w:leader="none"/>
              </w:tabs>
              <w:spacing w:line="225" w:lineRule="auto" w:before="1" w:after="0"/>
              <w:ind w:left="110" w:right="176" w:firstLine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未進行作業危害辨</w:t>
            </w:r>
            <w:r>
              <w:rPr>
                <w:sz w:val="20"/>
              </w:rPr>
              <w:t>識，未能劃定並管制</w:t>
            </w:r>
          </w:p>
          <w:p>
            <w:pPr>
              <w:pStyle w:val="TableParagraph"/>
              <w:spacing w:line="321" w:lineRule="exact"/>
              <w:ind w:left="110"/>
              <w:rPr>
                <w:sz w:val="20"/>
              </w:rPr>
            </w:pPr>
            <w:r>
              <w:rPr>
                <w:sz w:val="20"/>
              </w:rPr>
              <w:t>危險區域。</w:t>
            </w:r>
          </w:p>
        </w:tc>
      </w:tr>
      <w:tr>
        <w:trPr>
          <w:trHeight w:val="1037" w:hRule="atLeast"/>
        </w:trPr>
        <w:tc>
          <w:tcPr>
            <w:tcW w:w="1435" w:type="dxa"/>
          </w:tcPr>
          <w:p>
            <w:pPr>
              <w:pStyle w:val="TableParagraph"/>
              <w:spacing w:line="260" w:lineRule="exact"/>
              <w:ind w:left="107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112/11/10</w:t>
            </w:r>
          </w:p>
          <w:p>
            <w:pPr>
              <w:pStyle w:val="TableParagraph"/>
              <w:spacing w:line="362" w:lineRule="exact"/>
              <w:ind w:left="107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13:45 </w:t>
            </w:r>
            <w:r>
              <w:rPr>
                <w:sz w:val="20"/>
              </w:rPr>
              <w:t>許</w:t>
            </w:r>
          </w:p>
        </w:tc>
        <w:tc>
          <w:tcPr>
            <w:tcW w:w="1809" w:type="dxa"/>
          </w:tcPr>
          <w:p>
            <w:pPr>
              <w:pStyle w:val="TableParagraph"/>
              <w:spacing w:line="225" w:lineRule="auto" w:before="5"/>
              <w:ind w:left="108" w:right="288"/>
              <w:rPr>
                <w:sz w:val="20"/>
              </w:rPr>
            </w:pPr>
            <w:r>
              <w:rPr>
                <w:sz w:val="20"/>
              </w:rPr>
              <w:t>同事陳員發現吳員被壓住，立即</w:t>
            </w:r>
          </w:p>
          <w:p>
            <w:pPr>
              <w:pStyle w:val="TableParagraph"/>
              <w:spacing w:line="321" w:lineRule="exact"/>
              <w:ind w:left="108"/>
              <w:rPr>
                <w:sz w:val="20"/>
              </w:rPr>
            </w:pPr>
            <w:r>
              <w:rPr>
                <w:sz w:val="20"/>
              </w:rPr>
              <w:t>請求協助。</w:t>
            </w:r>
          </w:p>
        </w:tc>
        <w:tc>
          <w:tcPr>
            <w:tcW w:w="609" w:type="dxa"/>
          </w:tcPr>
          <w:p>
            <w:pPr>
              <w:pStyle w:val="TableParagraph"/>
              <w:spacing w:line="225" w:lineRule="auto" w:before="5"/>
              <w:ind w:left="108" w:right="287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75" w:type="dxa"/>
          </w:tcPr>
          <w:p>
            <w:pPr>
              <w:pStyle w:val="TableParagraph"/>
              <w:ind w:left="108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2321" w:type="dxa"/>
          </w:tcPr>
          <w:p>
            <w:pPr>
              <w:pStyle w:val="TableParagraph"/>
              <w:ind w:left="108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-</w:t>
            </w:r>
          </w:p>
        </w:tc>
        <w:tc>
          <w:tcPr>
            <w:tcW w:w="2151" w:type="dxa"/>
          </w:tcPr>
          <w:p>
            <w:pPr>
              <w:pStyle w:val="TableParagraph"/>
              <w:ind w:left="110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-</w:t>
            </w:r>
          </w:p>
        </w:tc>
      </w:tr>
      <w:tr>
        <w:trPr>
          <w:trHeight w:val="1384" w:hRule="atLeast"/>
        </w:trPr>
        <w:tc>
          <w:tcPr>
            <w:tcW w:w="1435" w:type="dxa"/>
          </w:tcPr>
          <w:p>
            <w:pPr>
              <w:pStyle w:val="TableParagraph"/>
              <w:spacing w:line="225" w:lineRule="auto" w:before="5"/>
              <w:ind w:left="107" w:right="103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112/11/10 </w:t>
            </w:r>
            <w:r>
              <w:rPr>
                <w:sz w:val="20"/>
              </w:rPr>
              <w:t>事後</w:t>
            </w:r>
          </w:p>
        </w:tc>
        <w:tc>
          <w:tcPr>
            <w:tcW w:w="1809" w:type="dxa"/>
          </w:tcPr>
          <w:p>
            <w:pPr>
              <w:pStyle w:val="TableParagraph"/>
              <w:spacing w:line="225" w:lineRule="auto" w:before="5"/>
              <w:ind w:left="108" w:right="288"/>
              <w:jc w:val="both"/>
              <w:rPr>
                <w:sz w:val="20"/>
              </w:rPr>
            </w:pPr>
            <w:r>
              <w:rPr>
                <w:sz w:val="20"/>
              </w:rPr>
              <w:t>同事們使用木棍將倒塌之鋼帶捲撐開，將吳員移</w:t>
            </w:r>
          </w:p>
          <w:p>
            <w:pPr>
              <w:pStyle w:val="TableParagraph"/>
              <w:spacing w:line="322" w:lineRule="exact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出。</w:t>
            </w:r>
          </w:p>
        </w:tc>
        <w:tc>
          <w:tcPr>
            <w:tcW w:w="609" w:type="dxa"/>
          </w:tcPr>
          <w:p>
            <w:pPr>
              <w:pStyle w:val="TableParagraph"/>
              <w:spacing w:line="225" w:lineRule="auto" w:before="5"/>
              <w:ind w:left="108" w:right="289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75" w:type="dxa"/>
          </w:tcPr>
          <w:p>
            <w:pPr>
              <w:pStyle w:val="TableParagraph"/>
              <w:ind w:left="108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2321" w:type="dxa"/>
          </w:tcPr>
          <w:p>
            <w:pPr>
              <w:pStyle w:val="TableParagraph"/>
              <w:spacing w:line="225" w:lineRule="auto" w:before="5"/>
              <w:ind w:left="108" w:right="198"/>
              <w:rPr>
                <w:sz w:val="20"/>
              </w:rPr>
            </w:pPr>
            <w:r>
              <w:rPr>
                <w:sz w:val="20"/>
              </w:rPr>
              <w:t>現場缺乏適當的救援設備與計畫。</w:t>
            </w:r>
          </w:p>
        </w:tc>
        <w:tc>
          <w:tcPr>
            <w:tcW w:w="2151" w:type="dxa"/>
          </w:tcPr>
          <w:p>
            <w:pPr>
              <w:pStyle w:val="TableParagraph"/>
              <w:spacing w:line="225" w:lineRule="auto" w:before="5"/>
              <w:ind w:left="110" w:right="227"/>
              <w:jc w:val="both"/>
              <w:rPr>
                <w:sz w:val="20"/>
              </w:rPr>
            </w:pPr>
            <w:r>
              <w:rPr>
                <w:sz w:val="20"/>
              </w:rPr>
              <w:t>未建立緊急應變與救援計畫，導致救援行動倉促且可能帶有風</w:t>
            </w:r>
          </w:p>
          <w:p>
            <w:pPr>
              <w:pStyle w:val="TableParagraph"/>
              <w:spacing w:line="322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險。</w:t>
            </w:r>
          </w:p>
        </w:tc>
      </w:tr>
      <w:tr>
        <w:trPr>
          <w:trHeight w:val="1037" w:hRule="atLeast"/>
        </w:trPr>
        <w:tc>
          <w:tcPr>
            <w:tcW w:w="1435" w:type="dxa"/>
          </w:tcPr>
          <w:p>
            <w:pPr>
              <w:pStyle w:val="TableParagraph"/>
              <w:spacing w:line="266" w:lineRule="exact"/>
              <w:ind w:left="107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112/11/11</w:t>
            </w:r>
          </w:p>
          <w:p>
            <w:pPr>
              <w:pStyle w:val="TableParagraph"/>
              <w:spacing w:line="266" w:lineRule="exact"/>
              <w:ind w:left="107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11:02</w:t>
            </w:r>
          </w:p>
        </w:tc>
        <w:tc>
          <w:tcPr>
            <w:tcW w:w="1809" w:type="dxa"/>
          </w:tcPr>
          <w:p>
            <w:pPr>
              <w:pStyle w:val="TableParagraph"/>
              <w:spacing w:line="225" w:lineRule="auto" w:before="4"/>
              <w:ind w:left="108" w:right="288"/>
              <w:rPr>
                <w:sz w:val="20"/>
              </w:rPr>
            </w:pPr>
            <w:r>
              <w:rPr>
                <w:sz w:val="20"/>
              </w:rPr>
              <w:t>吳員經送醫急救後，仍傷重不</w:t>
            </w:r>
          </w:p>
          <w:p>
            <w:pPr>
              <w:pStyle w:val="TableParagraph"/>
              <w:spacing w:line="322" w:lineRule="exact"/>
              <w:ind w:left="108"/>
              <w:rPr>
                <w:sz w:val="20"/>
              </w:rPr>
            </w:pPr>
            <w:r>
              <w:rPr>
                <w:sz w:val="20"/>
              </w:rPr>
              <w:t>治。</w:t>
            </w:r>
          </w:p>
        </w:tc>
        <w:tc>
          <w:tcPr>
            <w:tcW w:w="609" w:type="dxa"/>
          </w:tcPr>
          <w:p>
            <w:pPr>
              <w:pStyle w:val="TableParagraph"/>
              <w:spacing w:line="225" w:lineRule="auto" w:before="4"/>
              <w:ind w:left="108" w:right="287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75" w:type="dxa"/>
          </w:tcPr>
          <w:p>
            <w:pPr>
              <w:pStyle w:val="TableParagraph"/>
              <w:ind w:left="108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2321" w:type="dxa"/>
          </w:tcPr>
          <w:p>
            <w:pPr>
              <w:pStyle w:val="TableParagraph"/>
              <w:spacing w:line="225" w:lineRule="auto" w:before="4"/>
              <w:ind w:left="108" w:right="198"/>
              <w:rPr>
                <w:sz w:val="20"/>
              </w:rPr>
            </w:pPr>
            <w:r>
              <w:rPr>
                <w:sz w:val="20"/>
              </w:rPr>
              <w:t>頸部遭重達數噸的鋼帶捲壓住，造成致命性傷</w:t>
            </w:r>
          </w:p>
          <w:p>
            <w:pPr>
              <w:pStyle w:val="TableParagraph"/>
              <w:spacing w:line="322" w:lineRule="exact"/>
              <w:ind w:left="108"/>
              <w:rPr>
                <w:sz w:val="20"/>
              </w:rPr>
            </w:pPr>
            <w:r>
              <w:rPr>
                <w:sz w:val="20"/>
              </w:rPr>
              <w:t>害。</w:t>
            </w:r>
          </w:p>
        </w:tc>
        <w:tc>
          <w:tcPr>
            <w:tcW w:w="2151" w:type="dxa"/>
          </w:tcPr>
          <w:p>
            <w:pPr>
              <w:pStyle w:val="TableParagraph"/>
              <w:ind w:left="110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-</w:t>
            </w:r>
          </w:p>
        </w:tc>
      </w:tr>
    </w:tbl>
    <w:p>
      <w:pPr>
        <w:pStyle w:val="BodyText"/>
        <w:spacing w:before="8"/>
        <w:rPr>
          <w:sz w:val="22"/>
        </w:rPr>
      </w:pPr>
      <w:r>
        <w:rPr/>
        <w:pict>
          <v:group style="position:absolute;margin-left:70.900002pt;margin-top:22.620001pt;width:460.7pt;height:1.55pt;mso-position-horizontal-relative:page;mso-position-vertical-relative:paragraph;z-index:-928;mso-wrap-distance-left:0;mso-wrap-distance-right:0" coordorigin="1418,452" coordsize="9214,31">
            <v:line style="position:absolute" from="1418,468" to="10632,468" stroked="true" strokeweight="1.5pt" strokecolor="#9f9f9f">
              <v:stroke dashstyle="solid"/>
            </v:line>
            <v:rect style="position:absolute;left:1418;top:452;width:5;height:5" filled="true" fillcolor="#9f9f9f" stroked="false">
              <v:fill type="solid"/>
            </v:rect>
            <v:rect style="position:absolute;left:1418;top:452;width:5;height:5" filled="true" fillcolor="#9f9f9f" stroked="false">
              <v:fill type="solid"/>
            </v:rect>
            <v:line style="position:absolute" from="1423,455" to="10627,455" stroked="true" strokeweight=".24pt" strokecolor="#9f9f9f">
              <v:stroke dashstyle="solid"/>
            </v:line>
            <v:rect style="position:absolute;left:10627;top:452;width:5;height:5" filled="true" fillcolor="#e2e2e2" stroked="false">
              <v:fill type="solid"/>
            </v:rect>
            <v:rect style="position:absolute;left:10627;top:452;width:5;height:5" filled="true" fillcolor="#9f9f9f" stroked="false">
              <v:fill type="solid"/>
            </v:rect>
            <v:rect style="position:absolute;left:1418;top:457;width:5;height:21" filled="true" fillcolor="#9f9f9f" stroked="false">
              <v:fill type="solid"/>
            </v:rect>
            <v:rect style="position:absolute;left:10627;top:457;width:5;height:21" filled="true" fillcolor="#e2e2e2" stroked="false">
              <v:fill type="solid"/>
            </v:rect>
            <v:rect style="position:absolute;left:1418;top:477;width:5;height:5" filled="true" fillcolor="#9f9f9f" stroked="false">
              <v:fill type="solid"/>
            </v:rect>
            <v:rect style="position:absolute;left:1418;top:477;width:5;height:5" filled="true" fillcolor="#e2e2e2" stroked="false">
              <v:fill type="solid"/>
            </v:rect>
            <v:line style="position:absolute" from="1423,480" to="10627,480" stroked="true" strokeweight=".24pt" strokecolor="#e2e2e2">
              <v:stroke dashstyle="solid"/>
            </v:line>
            <v:rect style="position:absolute;left:10627;top:477;width:5;height:5" filled="true" fillcolor="#e2e2e2" stroked="false">
              <v:fill type="solid"/>
            </v:rect>
            <v:rect style="position:absolute;left:10627;top:477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三</w:t>
      </w:r>
      <w:r>
        <w:rPr>
          <w:rFonts w:ascii="Calibri" w:eastAsia="Calibri"/>
        </w:rPr>
        <w:t>. </w:t>
      </w:r>
      <w:r>
        <w:rPr/>
        <w:t>為何樹分析  </w:t>
      </w:r>
      <w:r>
        <w:rPr>
          <w:rFonts w:ascii="Calibri" w:eastAsia="Calibri"/>
        </w:rPr>
        <w:t>(Why Tree)</w:t>
      </w:r>
    </w:p>
    <w:p>
      <w:pPr>
        <w:pStyle w:val="BodyText"/>
        <w:spacing w:line="428" w:lineRule="exact"/>
        <w:ind w:left="118"/>
      </w:pPr>
      <w:r>
        <w:rPr/>
        <w:t>本分析從最終的傷害事件開始，透過不斷追問「為什麼」來探究事件的根本原因。</w:t>
      </w:r>
    </w:p>
    <w:p>
      <w:pPr>
        <w:spacing w:after="0" w:line="428" w:lineRule="exact"/>
        <w:sectPr>
          <w:pgSz w:w="11910" w:h="16840"/>
          <w:pgMar w:top="1420" w:bottom="280" w:left="1300" w:right="1160"/>
        </w:sectPr>
      </w:pPr>
    </w:p>
    <w:p>
      <w:pPr>
        <w:pStyle w:val="BodyText"/>
        <w:spacing w:before="17"/>
        <w:rPr>
          <w:sz w:val="10"/>
        </w:rPr>
      </w:pPr>
    </w:p>
    <w:p>
      <w:pPr>
        <w:pStyle w:val="BodyText"/>
        <w:ind w:left="1553"/>
        <w:rPr>
          <w:sz w:val="20"/>
        </w:rPr>
      </w:pPr>
      <w:r>
        <w:rPr>
          <w:sz w:val="20"/>
        </w:rPr>
        <w:drawing>
          <wp:inline distT="0" distB="0" distL="0" distR="0">
            <wp:extent cx="4042155" cy="3739515"/>
            <wp:effectExtent l="0" t="0" r="0" b="0"/>
            <wp:docPr id="3" name="image2.png" descr="一張含有 螢幕擷取畫面, 文字, 字型, 數字 的圖片  AI 產生的內容可能不正確。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215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"/>
        <w:rPr>
          <w:sz w:val="21"/>
        </w:rPr>
      </w:pPr>
      <w:r>
        <w:rPr/>
        <w:pict>
          <v:group style="position:absolute;margin-left:70.900002pt;margin-top:22.149982pt;width:460.7pt;height:1.55pt;mso-position-horizontal-relative:page;mso-position-vertical-relative:paragraph;z-index:-904;mso-wrap-distance-left:0;mso-wrap-distance-right:0" coordorigin="1418,443" coordsize="9214,31">
            <v:line style="position:absolute" from="1418,458" to="10632,458" stroked="true" strokeweight="1.5pt" strokecolor="#9f9f9f">
              <v:stroke dashstyle="solid"/>
            </v:line>
            <v:rect style="position:absolute;left:1418;top:443;width:5;height:5" filled="true" fillcolor="#9f9f9f" stroked="false">
              <v:fill type="solid"/>
            </v:rect>
            <v:rect style="position:absolute;left:1418;top:443;width:5;height:5" filled="true" fillcolor="#9f9f9f" stroked="false">
              <v:fill type="solid"/>
            </v:rect>
            <v:line style="position:absolute" from="1423,446" to="10627,446" stroked="true" strokeweight=".24pt" strokecolor="#9f9f9f">
              <v:stroke dashstyle="solid"/>
            </v:line>
            <v:rect style="position:absolute;left:10627;top:443;width:5;height:5" filled="true" fillcolor="#e2e2e2" stroked="false">
              <v:fill type="solid"/>
            </v:rect>
            <v:rect style="position:absolute;left:10627;top:443;width:5;height:5" filled="true" fillcolor="#9f9f9f" stroked="false">
              <v:fill type="solid"/>
            </v:rect>
            <v:rect style="position:absolute;left:1418;top:448;width:5;height:21" filled="true" fillcolor="#9f9f9f" stroked="false">
              <v:fill type="solid"/>
            </v:rect>
            <v:rect style="position:absolute;left:10627;top:448;width:5;height:21" filled="true" fillcolor="#e2e2e2" stroked="false">
              <v:fill type="solid"/>
            </v:rect>
            <v:rect style="position:absolute;left:1418;top:468;width:5;height:5" filled="true" fillcolor="#9f9f9f" stroked="false">
              <v:fill type="solid"/>
            </v:rect>
            <v:rect style="position:absolute;left:1418;top:468;width:5;height:5" filled="true" fillcolor="#e2e2e2" stroked="false">
              <v:fill type="solid"/>
            </v:rect>
            <v:line style="position:absolute" from="1423,471" to="10627,471" stroked="true" strokeweight=".24pt" strokecolor="#e2e2e2">
              <v:stroke dashstyle="solid"/>
            </v:line>
            <v:rect style="position:absolute;left:10627;top:468;width:5;height:5" filled="true" fillcolor="#e2e2e2" stroked="false">
              <v:fill type="solid"/>
            </v:rect>
            <v:rect style="position:absolute;left:10627;top:468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四</w:t>
      </w:r>
      <w:r>
        <w:rPr>
          <w:rFonts w:ascii="Calibri" w:eastAsia="Calibri"/>
        </w:rPr>
        <w:t>. </w:t>
      </w:r>
      <w:r>
        <w:rPr/>
        <w:t>屏障分析  </w:t>
      </w:r>
      <w:r>
        <w:rPr>
          <w:rFonts w:ascii="Calibri" w:eastAsia="Calibri"/>
        </w:rPr>
        <w:t>(Barrier Analysis)</w:t>
      </w:r>
    </w:p>
    <w:p>
      <w:pPr>
        <w:pStyle w:val="BodyText"/>
        <w:spacing w:line="415" w:lineRule="exact"/>
        <w:ind w:left="118"/>
      </w:pPr>
      <w:r>
        <w:rPr/>
        <w:t>本分析旨在識別應有但失效、缺失或不足的屏障，導致危害接觸到目標。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sz w:val="24"/>
        </w:rPr>
      </w:pPr>
      <w:r>
        <w:rPr>
          <w:b/>
          <w:spacing w:val="14"/>
          <w:sz w:val="24"/>
        </w:rPr>
        <w:t>危害： </w:t>
      </w:r>
      <w:r>
        <w:rPr>
          <w:sz w:val="24"/>
        </w:rPr>
        <w:t>物體</w:t>
      </w:r>
      <w:r>
        <w:rPr>
          <w:rFonts w:ascii="Calibri" w:hAnsi="Calibri" w:eastAsia="Calibri"/>
          <w:sz w:val="24"/>
        </w:rPr>
        <w:t>(</w:t>
      </w:r>
      <w:r>
        <w:rPr>
          <w:sz w:val="24"/>
        </w:rPr>
        <w:t>鋼帶捲</w:t>
      </w:r>
      <w:r>
        <w:rPr>
          <w:rFonts w:ascii="Calibri" w:hAnsi="Calibri" w:eastAsia="Calibri"/>
          <w:sz w:val="24"/>
        </w:rPr>
        <w:t>)</w:t>
      </w:r>
      <w:r>
        <w:rPr>
          <w:sz w:val="24"/>
        </w:rPr>
        <w:t>倒塌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28" w:lineRule="exact" w:before="0" w:after="0"/>
        <w:ind w:left="838" w:right="0" w:hanging="360"/>
        <w:jc w:val="left"/>
        <w:rPr>
          <w:sz w:val="24"/>
        </w:rPr>
      </w:pPr>
      <w:r>
        <w:rPr>
          <w:b/>
          <w:sz w:val="24"/>
        </w:rPr>
        <w:t>目標： </w:t>
      </w:r>
      <w:r>
        <w:rPr>
          <w:sz w:val="24"/>
        </w:rPr>
        <w:t>罹災者吳員</w:t>
      </w: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6"/>
        <w:gridCol w:w="1707"/>
        <w:gridCol w:w="935"/>
        <w:gridCol w:w="2859"/>
        <w:gridCol w:w="2909"/>
      </w:tblGrid>
      <w:tr>
        <w:trPr>
          <w:trHeight w:val="1383" w:hRule="atLeast"/>
        </w:trPr>
        <w:tc>
          <w:tcPr>
            <w:tcW w:w="796" w:type="dxa"/>
          </w:tcPr>
          <w:p>
            <w:pPr>
              <w:pStyle w:val="TableParagraph"/>
              <w:spacing w:line="225" w:lineRule="auto"/>
              <w:ind w:left="107" w:right="275"/>
              <w:rPr>
                <w:sz w:val="20"/>
              </w:rPr>
            </w:pPr>
            <w:r>
              <w:rPr>
                <w:sz w:val="20"/>
              </w:rPr>
              <w:t>屏障類型</w:t>
            </w:r>
          </w:p>
        </w:tc>
        <w:tc>
          <w:tcPr>
            <w:tcW w:w="1707" w:type="dxa"/>
          </w:tcPr>
          <w:p>
            <w:pPr>
              <w:pStyle w:val="TableParagraph"/>
              <w:spacing w:line="344" w:lineRule="exact"/>
              <w:rPr>
                <w:sz w:val="20"/>
              </w:rPr>
            </w:pPr>
            <w:r>
              <w:rPr>
                <w:sz w:val="20"/>
              </w:rPr>
              <w:t>屏障</w:t>
            </w:r>
          </w:p>
        </w:tc>
        <w:tc>
          <w:tcPr>
            <w:tcW w:w="935" w:type="dxa"/>
          </w:tcPr>
          <w:p>
            <w:pPr>
              <w:pStyle w:val="TableParagraph"/>
              <w:spacing w:line="225" w:lineRule="auto"/>
              <w:ind w:right="216"/>
              <w:jc w:val="both"/>
              <w:rPr>
                <w:sz w:val="20"/>
              </w:rPr>
            </w:pPr>
            <w:r>
              <w:rPr>
                <w:sz w:val="20"/>
              </w:rPr>
              <w:t>屏障表現 </w:t>
            </w:r>
            <w:r>
              <w:rPr>
                <w:rFonts w:ascii="Segoe UI" w:eastAsia="Segoe UI"/>
                <w:sz w:val="20"/>
              </w:rPr>
              <w:t>( </w:t>
            </w:r>
            <w:r>
              <w:rPr>
                <w:sz w:val="20"/>
              </w:rPr>
              <w:t>事故時狀</w:t>
            </w:r>
          </w:p>
          <w:p>
            <w:pPr>
              <w:pStyle w:val="TableParagraph"/>
              <w:spacing w:line="334" w:lineRule="exact"/>
              <w:jc w:val="both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態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859" w:type="dxa"/>
          </w:tcPr>
          <w:p>
            <w:pPr>
              <w:pStyle w:val="TableParagraph"/>
              <w:spacing w:line="344" w:lineRule="exact"/>
              <w:rPr>
                <w:sz w:val="20"/>
              </w:rPr>
            </w:pPr>
            <w:r>
              <w:rPr>
                <w:sz w:val="20"/>
              </w:rPr>
              <w:t>屏障失效原因</w:t>
            </w:r>
          </w:p>
        </w:tc>
        <w:tc>
          <w:tcPr>
            <w:tcW w:w="2909" w:type="dxa"/>
          </w:tcPr>
          <w:p>
            <w:pPr>
              <w:pStyle w:val="TableParagraph"/>
              <w:spacing w:line="225" w:lineRule="auto"/>
              <w:ind w:right="231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屏障如何影響事故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失效的後果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383" w:hRule="atLeast"/>
        </w:trPr>
        <w:tc>
          <w:tcPr>
            <w:tcW w:w="796" w:type="dxa"/>
          </w:tcPr>
          <w:p>
            <w:pPr>
              <w:pStyle w:val="TableParagraph"/>
              <w:spacing w:line="225" w:lineRule="auto"/>
              <w:ind w:left="107" w:right="275"/>
              <w:rPr>
                <w:b/>
                <w:sz w:val="20"/>
              </w:rPr>
            </w:pPr>
            <w:r>
              <w:rPr>
                <w:b/>
                <w:sz w:val="20"/>
              </w:rPr>
              <w:t>工程控制</w:t>
            </w:r>
          </w:p>
        </w:tc>
        <w:tc>
          <w:tcPr>
            <w:tcW w:w="1707" w:type="dxa"/>
          </w:tcPr>
          <w:p>
            <w:pPr>
              <w:pStyle w:val="TableParagraph"/>
              <w:spacing w:line="225" w:lineRule="auto"/>
              <w:ind w:right="136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1. </w:t>
            </w:r>
            <w:r>
              <w:rPr>
                <w:sz w:val="20"/>
              </w:rPr>
              <w:t>儲存架或防止物料移動之設施</w:t>
            </w:r>
          </w:p>
          <w:p>
            <w:pPr>
              <w:pStyle w:val="TableParagraph"/>
              <w:spacing w:line="353" w:lineRule="exact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如墊木、</w:t>
            </w:r>
            <w:r>
              <w:rPr>
                <w:rFonts w:ascii="Segoe UI" w:eastAsia="Segoe UI"/>
                <w:sz w:val="20"/>
              </w:rPr>
              <w:t>L </w:t>
            </w:r>
            <w:r>
              <w:rPr>
                <w:sz w:val="20"/>
              </w:rPr>
              <w:t>型架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935" w:type="dxa"/>
          </w:tcPr>
          <w:p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sz w:val="20"/>
              </w:rPr>
              <w:t>不存在</w:t>
            </w:r>
          </w:p>
          <w:p>
            <w:pPr>
              <w:pStyle w:val="TableParagraph"/>
              <w:spacing w:line="357" w:lineRule="exact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pacing w:val="-1"/>
                <w:sz w:val="20"/>
              </w:rPr>
              <w:t>(</w:t>
            </w:r>
            <w:r>
              <w:rPr>
                <w:b/>
                <w:spacing w:val="-1"/>
                <w:sz w:val="20"/>
              </w:rPr>
              <w:t>假設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2859" w:type="dxa"/>
          </w:tcPr>
          <w:p>
            <w:pPr>
              <w:pStyle w:val="TableParagraph"/>
              <w:spacing w:line="225" w:lineRule="auto"/>
              <w:ind w:right="140"/>
              <w:rPr>
                <w:sz w:val="20"/>
              </w:rPr>
            </w:pPr>
            <w:r>
              <w:rPr>
                <w:sz w:val="20"/>
              </w:rPr>
              <w:t>未規劃或提供專用的、能確保穩定的鋼帶捲儲存設施。</w:t>
            </w:r>
          </w:p>
        </w:tc>
        <w:tc>
          <w:tcPr>
            <w:tcW w:w="2909" w:type="dxa"/>
          </w:tcPr>
          <w:p>
            <w:pPr>
              <w:pStyle w:val="TableParagraph"/>
              <w:spacing w:line="225" w:lineRule="auto"/>
              <w:ind w:left="105" w:right="190"/>
              <w:jc w:val="both"/>
              <w:rPr>
                <w:sz w:val="20"/>
              </w:rPr>
            </w:pPr>
            <w:r>
              <w:rPr>
                <w:sz w:val="20"/>
              </w:rPr>
              <w:t>這是最關鍵的工程屏障失效。讓沉重的鋼帶捲僅依靠自身堆疊的摩擦力維持穩定，極易因</w:t>
            </w:r>
          </w:p>
          <w:p>
            <w:pPr>
              <w:pStyle w:val="TableParagraph"/>
              <w:spacing w:line="334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微小擾動而倒塌。</w:t>
            </w:r>
          </w:p>
        </w:tc>
      </w:tr>
      <w:tr>
        <w:trPr>
          <w:trHeight w:val="1384" w:hRule="atLeast"/>
        </w:trPr>
        <w:tc>
          <w:tcPr>
            <w:tcW w:w="796" w:type="dxa"/>
          </w:tcPr>
          <w:p>
            <w:pPr>
              <w:pStyle w:val="TableParagraph"/>
              <w:spacing w:line="225" w:lineRule="auto"/>
              <w:ind w:left="107" w:right="275"/>
              <w:rPr>
                <w:b/>
                <w:sz w:val="20"/>
              </w:rPr>
            </w:pPr>
            <w:r>
              <w:rPr>
                <w:b/>
                <w:spacing w:val="-9"/>
                <w:sz w:val="20"/>
              </w:rPr>
              <w:t>行政管理</w:t>
            </w:r>
          </w:p>
          <w:p>
            <w:pPr>
              <w:pStyle w:val="TableParagraph"/>
              <w:spacing w:line="341" w:lineRule="exact"/>
              <w:ind w:left="107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/</w:t>
            </w:r>
            <w:r>
              <w:rPr>
                <w:rFonts w:ascii="Segoe UI" w:eastAsia="Segoe UI"/>
                <w:b/>
                <w:spacing w:val="44"/>
                <w:sz w:val="20"/>
              </w:rPr>
              <w:t> </w:t>
            </w:r>
            <w:r>
              <w:rPr>
                <w:b/>
                <w:sz w:val="20"/>
              </w:rPr>
              <w:t>程</w:t>
            </w:r>
          </w:p>
          <w:p>
            <w:pPr>
              <w:pStyle w:val="TableParagraph"/>
              <w:spacing w:line="33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序性</w:t>
            </w:r>
          </w:p>
        </w:tc>
        <w:tc>
          <w:tcPr>
            <w:tcW w:w="1707" w:type="dxa"/>
          </w:tcPr>
          <w:p>
            <w:pPr>
              <w:pStyle w:val="TableParagraph"/>
              <w:spacing w:line="225" w:lineRule="auto"/>
              <w:ind w:right="136" w:hanging="1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2. </w:t>
            </w:r>
            <w:r>
              <w:rPr>
                <w:sz w:val="20"/>
              </w:rPr>
              <w:t>物料堆放安全作業程序</w:t>
            </w:r>
            <w:r>
              <w:rPr>
                <w:rFonts w:ascii="Segoe UI" w:eastAsia="Segoe UI"/>
                <w:sz w:val="20"/>
              </w:rPr>
              <w:t>(SOP)</w:t>
            </w:r>
          </w:p>
        </w:tc>
        <w:tc>
          <w:tcPr>
            <w:tcW w:w="935" w:type="dxa"/>
          </w:tcPr>
          <w:p>
            <w:pPr>
              <w:pStyle w:val="TableParagraph"/>
              <w:spacing w:line="334" w:lineRule="exact"/>
              <w:rPr>
                <w:sz w:val="20"/>
              </w:rPr>
            </w:pPr>
            <w:r>
              <w:rPr>
                <w:sz w:val="20"/>
              </w:rPr>
              <w:t>不存在</w:t>
            </w:r>
          </w:p>
          <w:p>
            <w:pPr>
              <w:pStyle w:val="TableParagraph"/>
              <w:spacing w:line="357" w:lineRule="exact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pacing w:val="-1"/>
                <w:sz w:val="20"/>
              </w:rPr>
              <w:t>(</w:t>
            </w:r>
            <w:r>
              <w:rPr>
                <w:b/>
                <w:spacing w:val="-1"/>
                <w:sz w:val="20"/>
              </w:rPr>
              <w:t>假設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2859" w:type="dxa"/>
          </w:tcPr>
          <w:p>
            <w:pPr>
              <w:pStyle w:val="TableParagraph"/>
              <w:spacing w:line="225" w:lineRule="auto"/>
              <w:ind w:right="140"/>
              <w:rPr>
                <w:sz w:val="20"/>
              </w:rPr>
            </w:pPr>
            <w:r>
              <w:rPr>
                <w:sz w:val="20"/>
              </w:rPr>
              <w:t>未針對鋼帶捲的重量、尺寸， 制定明確的堆放高度、方式</w:t>
            </w:r>
          </w:p>
          <w:p>
            <w:pPr>
              <w:pStyle w:val="TableParagraph"/>
              <w:spacing w:line="341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如金字塔式、井字式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與查核</w:t>
            </w:r>
          </w:p>
          <w:p>
            <w:pPr>
              <w:pStyle w:val="TableParagraph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標準。</w:t>
            </w:r>
          </w:p>
        </w:tc>
        <w:tc>
          <w:tcPr>
            <w:tcW w:w="2909" w:type="dxa"/>
          </w:tcPr>
          <w:p>
            <w:pPr>
              <w:pStyle w:val="TableParagraph"/>
              <w:spacing w:line="225" w:lineRule="auto"/>
              <w:ind w:right="190"/>
              <w:rPr>
                <w:sz w:val="20"/>
              </w:rPr>
            </w:pPr>
            <w:r>
              <w:rPr>
                <w:sz w:val="20"/>
              </w:rPr>
              <w:t>人員只能憑藉過去的習慣作 </w:t>
            </w:r>
            <w:r>
              <w:rPr>
                <w:spacing w:val="-2"/>
                <w:sz w:val="20"/>
              </w:rPr>
              <w:t>業，而這些習慣可能是錯誤且危險的，導致不穩定的堆疊狀</w:t>
            </w:r>
          </w:p>
          <w:p>
            <w:pPr>
              <w:pStyle w:val="TableParagraph"/>
              <w:spacing w:line="334" w:lineRule="exact"/>
              <w:rPr>
                <w:sz w:val="20"/>
              </w:rPr>
            </w:pPr>
            <w:r>
              <w:rPr>
                <w:sz w:val="20"/>
              </w:rPr>
              <w:t>態持續存在。</w:t>
            </w:r>
          </w:p>
        </w:tc>
      </w:tr>
      <w:tr>
        <w:trPr>
          <w:trHeight w:val="1037" w:hRule="atLeast"/>
        </w:trPr>
        <w:tc>
          <w:tcPr>
            <w:tcW w:w="796" w:type="dxa"/>
          </w:tcPr>
          <w:p>
            <w:pPr>
              <w:pStyle w:val="TableParagraph"/>
              <w:spacing w:line="225" w:lineRule="auto"/>
              <w:ind w:left="107" w:right="275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</w:t>
            </w:r>
          </w:p>
        </w:tc>
        <w:tc>
          <w:tcPr>
            <w:tcW w:w="1707" w:type="dxa"/>
          </w:tcPr>
          <w:p>
            <w:pPr>
              <w:pStyle w:val="TableParagraph"/>
              <w:spacing w:line="225" w:lineRule="auto"/>
              <w:ind w:right="136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3. </w:t>
            </w:r>
            <w:r>
              <w:rPr>
                <w:sz w:val="20"/>
              </w:rPr>
              <w:t>作業區域安全管制</w:t>
            </w:r>
          </w:p>
        </w:tc>
        <w:tc>
          <w:tcPr>
            <w:tcW w:w="935" w:type="dxa"/>
          </w:tcPr>
          <w:p>
            <w:pPr>
              <w:pStyle w:val="TableParagraph"/>
              <w:spacing w:line="225" w:lineRule="auto"/>
              <w:ind w:right="138"/>
              <w:rPr>
                <w:sz w:val="20"/>
              </w:rPr>
            </w:pPr>
            <w:r>
              <w:rPr>
                <w:sz w:val="20"/>
              </w:rPr>
              <w:t>失效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不存在</w:t>
            </w:r>
          </w:p>
        </w:tc>
        <w:tc>
          <w:tcPr>
            <w:tcW w:w="2859" w:type="dxa"/>
          </w:tcPr>
          <w:p>
            <w:pPr>
              <w:pStyle w:val="TableParagraph"/>
              <w:spacing w:line="225" w:lineRule="auto"/>
              <w:ind w:right="139"/>
              <w:rPr>
                <w:sz w:val="20"/>
              </w:rPr>
            </w:pPr>
            <w:r>
              <w:rPr>
                <w:sz w:val="20"/>
              </w:rPr>
              <w:t>未能辨識出「不穩定堆疊物 </w:t>
            </w:r>
            <w:r>
              <w:rPr>
                <w:spacing w:val="-2"/>
                <w:sz w:val="20"/>
              </w:rPr>
              <w:t>旁」為高風險區，也未劃定禁</w:t>
            </w:r>
          </w:p>
          <w:p>
            <w:pPr>
              <w:pStyle w:val="TableParagraph"/>
              <w:spacing w:line="334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止進入的「紅區」或警戒區。</w:t>
            </w:r>
          </w:p>
        </w:tc>
        <w:tc>
          <w:tcPr>
            <w:tcW w:w="2909" w:type="dxa"/>
          </w:tcPr>
          <w:p>
            <w:pPr>
              <w:pStyle w:val="TableParagraph"/>
              <w:spacing w:line="225" w:lineRule="auto"/>
              <w:ind w:right="190"/>
              <w:rPr>
                <w:sz w:val="20"/>
              </w:rPr>
            </w:pPr>
            <w:r>
              <w:rPr>
                <w:sz w:val="20"/>
              </w:rPr>
              <w:t>讓作業人員可以輕易地進入到可能發生倒塌的危害範圍內，</w:t>
            </w:r>
          </w:p>
          <w:p>
            <w:pPr>
              <w:pStyle w:val="TableParagraph"/>
              <w:spacing w:line="334" w:lineRule="exact"/>
              <w:rPr>
                <w:sz w:val="20"/>
              </w:rPr>
            </w:pPr>
            <w:r>
              <w:rPr>
                <w:sz w:val="20"/>
              </w:rPr>
              <w:t>增加了暴露的機會。</w:t>
            </w:r>
          </w:p>
        </w:tc>
      </w:tr>
    </w:tbl>
    <w:p>
      <w:pPr>
        <w:spacing w:after="0" w:line="334" w:lineRule="exact"/>
        <w:rPr>
          <w:sz w:val="20"/>
        </w:rPr>
        <w:sectPr>
          <w:pgSz w:w="11910" w:h="16840"/>
          <w:pgMar w:top="1580" w:bottom="280" w:left="130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6"/>
        <w:gridCol w:w="1707"/>
        <w:gridCol w:w="935"/>
        <w:gridCol w:w="2859"/>
        <w:gridCol w:w="2909"/>
      </w:tblGrid>
      <w:tr>
        <w:trPr>
          <w:trHeight w:val="692" w:hRule="atLeast"/>
        </w:trPr>
        <w:tc>
          <w:tcPr>
            <w:tcW w:w="796" w:type="dxa"/>
          </w:tcPr>
          <w:p>
            <w:pPr>
              <w:pStyle w:val="TableParagraph"/>
              <w:spacing w:line="346" w:lineRule="exact"/>
              <w:ind w:left="107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/</w:t>
            </w:r>
            <w:r>
              <w:rPr>
                <w:rFonts w:ascii="Segoe UI" w:eastAsia="Segoe UI"/>
                <w:b/>
                <w:spacing w:val="44"/>
                <w:sz w:val="20"/>
              </w:rPr>
              <w:t> </w:t>
            </w:r>
            <w:r>
              <w:rPr>
                <w:b/>
                <w:sz w:val="20"/>
              </w:rPr>
              <w:t>程</w:t>
            </w:r>
          </w:p>
          <w:p>
            <w:pPr>
              <w:pStyle w:val="TableParagraph"/>
              <w:spacing w:line="32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序性</w:t>
            </w:r>
          </w:p>
        </w:tc>
        <w:tc>
          <w:tcPr>
            <w:tcW w:w="170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5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0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4" w:hRule="atLeast"/>
        </w:trPr>
        <w:tc>
          <w:tcPr>
            <w:tcW w:w="796" w:type="dxa"/>
            <w:tcBorders>
              <w:bottom w:val="nil"/>
            </w:tcBorders>
          </w:tcPr>
          <w:p>
            <w:pPr>
              <w:pStyle w:val="TableParagraph"/>
              <w:spacing w:line="3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行政</w:t>
            </w:r>
          </w:p>
        </w:tc>
        <w:tc>
          <w:tcPr>
            <w:tcW w:w="1707" w:type="dxa"/>
            <w:tcBorders>
              <w:bottom w:val="nil"/>
            </w:tcBorders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4. </w:t>
            </w:r>
            <w:r>
              <w:rPr>
                <w:sz w:val="20"/>
              </w:rPr>
              <w:t>安全衛生教育</w:t>
            </w:r>
          </w:p>
        </w:tc>
        <w:tc>
          <w:tcPr>
            <w:tcW w:w="935" w:type="dxa"/>
            <w:tcBorders>
              <w:bottom w:val="nil"/>
            </w:tcBorders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嚴重不</w:t>
            </w:r>
          </w:p>
        </w:tc>
        <w:tc>
          <w:tcPr>
            <w:tcW w:w="2859" w:type="dxa"/>
            <w:tcBorders>
              <w:bottom w:val="nil"/>
            </w:tcBorders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即使罹災者為副課長，仍可能</w:t>
            </w:r>
          </w:p>
        </w:tc>
        <w:tc>
          <w:tcPr>
            <w:tcW w:w="2909" w:type="dxa"/>
            <w:tcBorders>
              <w:bottom w:val="nil"/>
            </w:tcBorders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導致從管理層到作業層，都默</w:t>
            </w:r>
          </w:p>
        </w:tc>
      </w:tr>
      <w:tr>
        <w:trPr>
          <w:trHeight w:val="346" w:hRule="atLeast"/>
        </w:trPr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管理</w:t>
            </w:r>
          </w:p>
        </w:tc>
        <w:tc>
          <w:tcPr>
            <w:tcW w:w="17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訓練</w:t>
            </w: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b/>
                <w:sz w:val="20"/>
              </w:rPr>
            </w:pPr>
            <w:r>
              <w:rPr>
                <w:sz w:val="20"/>
              </w:rPr>
              <w:t>足 </w:t>
            </w:r>
            <w:r>
              <w:rPr>
                <w:rFonts w:ascii="Segoe UI" w:eastAsia="Segoe UI"/>
                <w:b/>
                <w:sz w:val="20"/>
              </w:rPr>
              <w:t>( </w:t>
            </w:r>
            <w:r>
              <w:rPr>
                <w:b/>
                <w:sz w:val="20"/>
              </w:rPr>
              <w:t>推</w:t>
            </w:r>
          </w:p>
        </w:tc>
        <w:tc>
          <w:tcPr>
            <w:tcW w:w="2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因訓練不足，而對長期存在的</w:t>
            </w:r>
          </w:p>
        </w:tc>
        <w:tc>
          <w:tcPr>
            <w:tcW w:w="29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許了不安全的作業環境與行</w:t>
            </w:r>
          </w:p>
        </w:tc>
      </w:tr>
      <w:tr>
        <w:trPr>
          <w:trHeight w:val="346" w:hRule="atLeast"/>
        </w:trPr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7" w:lineRule="exact"/>
              <w:ind w:left="107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/ </w:t>
            </w:r>
            <w:r>
              <w:rPr>
                <w:b/>
                <w:sz w:val="20"/>
              </w:rPr>
              <w:t>程</w:t>
            </w:r>
          </w:p>
        </w:tc>
        <w:tc>
          <w:tcPr>
            <w:tcW w:w="170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7" w:lineRule="exact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斷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2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7" w:lineRule="exact"/>
              <w:rPr>
                <w:sz w:val="20"/>
              </w:rPr>
            </w:pPr>
            <w:r>
              <w:rPr>
                <w:sz w:val="20"/>
              </w:rPr>
              <w:t>「不安全堆疊」風險習以為</w:t>
            </w:r>
          </w:p>
        </w:tc>
        <w:tc>
          <w:tcPr>
            <w:tcW w:w="29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7" w:lineRule="exact"/>
              <w:rPr>
                <w:sz w:val="20"/>
              </w:rPr>
            </w:pPr>
            <w:r>
              <w:rPr>
                <w:sz w:val="20"/>
              </w:rPr>
              <w:t>為，形成「積非成是」的危險</w:t>
            </w:r>
          </w:p>
        </w:tc>
      </w:tr>
      <w:tr>
        <w:trPr>
          <w:trHeight w:val="345" w:hRule="atLeast"/>
        </w:trPr>
        <w:tc>
          <w:tcPr>
            <w:tcW w:w="796" w:type="dxa"/>
            <w:tcBorders>
              <w:top w:val="nil"/>
            </w:tcBorders>
          </w:tcPr>
          <w:p>
            <w:pPr>
              <w:pStyle w:val="TableParagraph"/>
              <w:spacing w:line="32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序性</w:t>
            </w:r>
          </w:p>
        </w:tc>
        <w:tc>
          <w:tcPr>
            <w:tcW w:w="1707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59" w:type="dxa"/>
            <w:tcBorders>
              <w:top w:val="nil"/>
            </w:tcBorders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常，失去警覺性。</w:t>
            </w:r>
          </w:p>
        </w:tc>
        <w:tc>
          <w:tcPr>
            <w:tcW w:w="2909" w:type="dxa"/>
            <w:tcBorders>
              <w:top w:val="nil"/>
            </w:tcBorders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文化。</w:t>
            </w:r>
          </w:p>
        </w:tc>
      </w:tr>
      <w:tr>
        <w:trPr>
          <w:trHeight w:val="345" w:hRule="atLeast"/>
        </w:trPr>
        <w:tc>
          <w:tcPr>
            <w:tcW w:w="796" w:type="dxa"/>
            <w:tcBorders>
              <w:bottom w:val="nil"/>
            </w:tcBorders>
          </w:tcPr>
          <w:p>
            <w:pPr>
              <w:pStyle w:val="TableParagraph"/>
              <w:spacing w:line="3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行政</w:t>
            </w:r>
          </w:p>
        </w:tc>
        <w:tc>
          <w:tcPr>
            <w:tcW w:w="1707" w:type="dxa"/>
            <w:tcBorders>
              <w:bottom w:val="nil"/>
            </w:tcBorders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5. </w:t>
            </w:r>
            <w:r>
              <w:rPr>
                <w:sz w:val="20"/>
              </w:rPr>
              <w:t>緊急應變與救</w:t>
            </w:r>
          </w:p>
        </w:tc>
        <w:tc>
          <w:tcPr>
            <w:tcW w:w="935" w:type="dxa"/>
            <w:tcBorders>
              <w:bottom w:val="nil"/>
            </w:tcBorders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不足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不</w:t>
            </w:r>
          </w:p>
        </w:tc>
        <w:tc>
          <w:tcPr>
            <w:tcW w:w="2859" w:type="dxa"/>
            <w:tcBorders>
              <w:bottom w:val="nil"/>
            </w:tcBorders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面對倒塌事故，同事只能用木</w:t>
            </w:r>
          </w:p>
        </w:tc>
        <w:tc>
          <w:tcPr>
            <w:tcW w:w="2909" w:type="dxa"/>
            <w:tcBorders>
              <w:bottom w:val="nil"/>
            </w:tcBorders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缺乏專業的救援計畫與設備，</w:t>
            </w:r>
          </w:p>
        </w:tc>
      </w:tr>
      <w:tr>
        <w:trPr>
          <w:trHeight w:val="345" w:hRule="atLeast"/>
        </w:trPr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管理</w:t>
            </w:r>
          </w:p>
        </w:tc>
        <w:tc>
          <w:tcPr>
            <w:tcW w:w="17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援計畫</w:t>
            </w: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存在</w:t>
            </w:r>
          </w:p>
        </w:tc>
        <w:tc>
          <w:tcPr>
            <w:tcW w:w="2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棍等臨時工具進行救援。</w:t>
            </w:r>
          </w:p>
        </w:tc>
        <w:tc>
          <w:tcPr>
            <w:tcW w:w="29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可能延誤救援時機，甚至對救</w:t>
            </w:r>
          </w:p>
        </w:tc>
      </w:tr>
      <w:tr>
        <w:trPr>
          <w:trHeight w:val="346" w:hRule="atLeast"/>
        </w:trPr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07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/ </w:t>
            </w:r>
            <w:r>
              <w:rPr>
                <w:b/>
                <w:sz w:val="20"/>
              </w:rPr>
              <w:t>程</w:t>
            </w:r>
          </w:p>
        </w:tc>
        <w:tc>
          <w:tcPr>
            <w:tcW w:w="170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5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援者造成二次傷害。</w:t>
            </w:r>
          </w:p>
        </w:tc>
      </w:tr>
      <w:tr>
        <w:trPr>
          <w:trHeight w:val="347" w:hRule="atLeast"/>
        </w:trPr>
        <w:tc>
          <w:tcPr>
            <w:tcW w:w="796" w:type="dxa"/>
            <w:tcBorders>
              <w:top w:val="nil"/>
            </w:tcBorders>
          </w:tcPr>
          <w:p>
            <w:pPr>
              <w:pStyle w:val="TableParagraph"/>
              <w:spacing w:line="327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序性</w:t>
            </w:r>
          </w:p>
        </w:tc>
        <w:tc>
          <w:tcPr>
            <w:tcW w:w="1707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59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09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"/>
        <w:rPr>
          <w:sz w:val="22"/>
        </w:rPr>
      </w:pPr>
      <w:r>
        <w:rPr/>
        <w:pict>
          <v:group style="position:absolute;margin-left:70.900002pt;margin-top:22.621pt;width:460.7pt;height:1.55pt;mso-position-horizontal-relative:page;mso-position-vertical-relative:paragraph;z-index:-880;mso-wrap-distance-left:0;mso-wrap-distance-right:0" coordorigin="1418,452" coordsize="9214,31">
            <v:line style="position:absolute" from="1418,468" to="10632,468" stroked="true" strokeweight="1.5pt" strokecolor="#9f9f9f">
              <v:stroke dashstyle="solid"/>
            </v:line>
            <v:rect style="position:absolute;left:1418;top:452;width:5;height:5" filled="true" fillcolor="#9f9f9f" stroked="false">
              <v:fill type="solid"/>
            </v:rect>
            <v:rect style="position:absolute;left:1418;top:452;width:5;height:5" filled="true" fillcolor="#9f9f9f" stroked="false">
              <v:fill type="solid"/>
            </v:rect>
            <v:line style="position:absolute" from="1423,455" to="10627,455" stroked="true" strokeweight=".239pt" strokecolor="#9f9f9f">
              <v:stroke dashstyle="solid"/>
            </v:line>
            <v:rect style="position:absolute;left:10627;top:452;width:5;height:5" filled="true" fillcolor="#e2e2e2" stroked="false">
              <v:fill type="solid"/>
            </v:rect>
            <v:rect style="position:absolute;left:10627;top:452;width:5;height:5" filled="true" fillcolor="#9f9f9f" stroked="false">
              <v:fill type="solid"/>
            </v:rect>
            <v:rect style="position:absolute;left:1418;top:457;width:5;height:21" filled="true" fillcolor="#9f9f9f" stroked="false">
              <v:fill type="solid"/>
            </v:rect>
            <v:rect style="position:absolute;left:10627;top:457;width:5;height:21" filled="true" fillcolor="#e2e2e2" stroked="false">
              <v:fill type="solid"/>
            </v:rect>
            <v:rect style="position:absolute;left:1418;top:477;width:5;height:5" filled="true" fillcolor="#9f9f9f" stroked="false">
              <v:fill type="solid"/>
            </v:rect>
            <v:rect style="position:absolute;left:1418;top:477;width:5;height:5" filled="true" fillcolor="#e2e2e2" stroked="false">
              <v:fill type="solid"/>
            </v:rect>
            <v:line style="position:absolute" from="1423,480" to="10627,480" stroked="true" strokeweight=".239pt" strokecolor="#e2e2e2">
              <v:stroke dashstyle="solid"/>
            </v:line>
            <v:rect style="position:absolute;left:10627;top:477;width:5;height:5" filled="true" fillcolor="#e2e2e2" stroked="false">
              <v:fill type="solid"/>
            </v:rect>
            <v:rect style="position:absolute;left:10627;top:477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五</w:t>
      </w:r>
      <w:r>
        <w:rPr>
          <w:rFonts w:ascii="Calibri" w:eastAsia="Calibri"/>
        </w:rPr>
        <w:t>. </w:t>
      </w:r>
      <w:r>
        <w:rPr/>
        <w:t>變更分析  </w:t>
      </w:r>
      <w:r>
        <w:rPr>
          <w:rFonts w:ascii="Calibri" w:eastAsia="Calibri"/>
        </w:rPr>
        <w:t>(Change Analysis)</w:t>
      </w:r>
    </w:p>
    <w:p>
      <w:pPr>
        <w:pStyle w:val="BodyText"/>
        <w:spacing w:line="428" w:lineRule="exact"/>
        <w:ind w:left="118"/>
      </w:pPr>
      <w:r>
        <w:rPr/>
        <w:t>本分析比較「事故狀況」與「理想的無事故狀況」，以識別導致事故的關鍵差異。</w:t>
      </w: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1649"/>
        <w:gridCol w:w="2172"/>
        <w:gridCol w:w="1642"/>
        <w:gridCol w:w="2680"/>
      </w:tblGrid>
      <w:tr>
        <w:trPr>
          <w:trHeight w:val="692" w:hRule="atLeast"/>
        </w:trPr>
        <w:tc>
          <w:tcPr>
            <w:tcW w:w="1062" w:type="dxa"/>
          </w:tcPr>
          <w:p>
            <w:pPr>
              <w:pStyle w:val="TableParagraph"/>
              <w:spacing w:line="344" w:lineRule="exact"/>
              <w:ind w:left="107"/>
              <w:rPr>
                <w:sz w:val="20"/>
              </w:rPr>
            </w:pPr>
            <w:r>
              <w:rPr>
                <w:sz w:val="20"/>
              </w:rPr>
              <w:t>因素</w:t>
            </w:r>
          </w:p>
        </w:tc>
        <w:tc>
          <w:tcPr>
            <w:tcW w:w="1649" w:type="dxa"/>
          </w:tcPr>
          <w:p>
            <w:pPr>
              <w:pStyle w:val="TableParagraph"/>
              <w:spacing w:line="344" w:lineRule="exact"/>
              <w:ind w:left="107"/>
              <w:rPr>
                <w:sz w:val="20"/>
              </w:rPr>
            </w:pPr>
            <w:r>
              <w:rPr>
                <w:sz w:val="20"/>
              </w:rPr>
              <w:t>事故狀況</w:t>
            </w:r>
          </w:p>
        </w:tc>
        <w:tc>
          <w:tcPr>
            <w:tcW w:w="2172" w:type="dxa"/>
          </w:tcPr>
          <w:p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sz w:val="20"/>
              </w:rPr>
              <w:t>先前、理想或未發生</w:t>
            </w:r>
          </w:p>
          <w:p>
            <w:pPr>
              <w:pStyle w:val="TableParagraph"/>
              <w:spacing w:line="339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事故狀況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642" w:type="dxa"/>
          </w:tcPr>
          <w:p>
            <w:pPr>
              <w:pStyle w:val="TableParagraph"/>
              <w:spacing w:line="344" w:lineRule="exact"/>
              <w:ind w:left="107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差異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變更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680" w:type="dxa"/>
          </w:tcPr>
          <w:p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sz w:val="20"/>
              </w:rPr>
              <w:t>效果評估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差異對事故的影</w:t>
            </w:r>
          </w:p>
          <w:p>
            <w:pPr>
              <w:pStyle w:val="TableParagraph"/>
              <w:spacing w:line="339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響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383" w:hRule="atLeast"/>
        </w:trPr>
        <w:tc>
          <w:tcPr>
            <w:tcW w:w="1062" w:type="dxa"/>
          </w:tcPr>
          <w:p>
            <w:pPr>
              <w:pStyle w:val="TableParagraph"/>
              <w:spacing w:line="248" w:lineRule="exact"/>
              <w:ind w:left="107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WHAT</w:t>
            </w:r>
          </w:p>
          <w:p>
            <w:pPr>
              <w:pStyle w:val="TableParagraph"/>
              <w:spacing w:line="362" w:lineRule="exact"/>
              <w:ind w:left="107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什麼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649" w:type="dxa"/>
          </w:tcPr>
          <w:p>
            <w:pPr>
              <w:pStyle w:val="TableParagraph"/>
              <w:spacing w:line="225" w:lineRule="auto"/>
              <w:ind w:left="107" w:right="128"/>
              <w:jc w:val="both"/>
              <w:rPr>
                <w:sz w:val="20"/>
              </w:rPr>
            </w:pPr>
            <w:r>
              <w:rPr>
                <w:sz w:val="20"/>
              </w:rPr>
              <w:t>將重達 </w:t>
            </w:r>
            <w:r>
              <w:rPr>
                <w:rFonts w:ascii="Segoe UI" w:eastAsia="Segoe UI"/>
                <w:sz w:val="20"/>
              </w:rPr>
              <w:t>18 </w:t>
            </w:r>
            <w:r>
              <w:rPr>
                <w:sz w:val="20"/>
              </w:rPr>
              <w:t>噸的鋼帶捲以不穩定的方式堆疊。</w:t>
            </w:r>
          </w:p>
        </w:tc>
        <w:tc>
          <w:tcPr>
            <w:tcW w:w="2172" w:type="dxa"/>
          </w:tcPr>
          <w:p>
            <w:pPr>
              <w:pStyle w:val="TableParagraph"/>
              <w:spacing w:line="225" w:lineRule="auto"/>
              <w:ind w:right="252"/>
              <w:rPr>
                <w:sz w:val="20"/>
              </w:rPr>
            </w:pPr>
            <w:r>
              <w:rPr>
                <w:sz w:val="20"/>
              </w:rPr>
              <w:t>將鋼帶捲存放在專用料架上，或使用墊</w:t>
            </w:r>
          </w:p>
          <w:p>
            <w:pPr>
              <w:pStyle w:val="TableParagraph"/>
              <w:spacing w:line="341" w:lineRule="exact"/>
              <w:rPr>
                <w:sz w:val="20"/>
              </w:rPr>
            </w:pPr>
            <w:r>
              <w:rPr>
                <w:sz w:val="20"/>
              </w:rPr>
              <w:t>木、</w:t>
            </w:r>
            <w:r>
              <w:rPr>
                <w:rFonts w:ascii="Segoe UI" w:eastAsia="Segoe UI"/>
                <w:sz w:val="20"/>
              </w:rPr>
              <w:t>L </w:t>
            </w:r>
            <w:r>
              <w:rPr>
                <w:sz w:val="20"/>
              </w:rPr>
              <w:t>型架以穩固方式</w:t>
            </w:r>
          </w:p>
          <w:p>
            <w:pPr>
              <w:pStyle w:val="TableParagraph"/>
              <w:spacing w:line="338" w:lineRule="exact"/>
              <w:rPr>
                <w:sz w:val="20"/>
              </w:rPr>
            </w:pPr>
            <w:r>
              <w:rPr>
                <w:sz w:val="20"/>
              </w:rPr>
              <w:t>堆疊。</w:t>
            </w:r>
          </w:p>
        </w:tc>
        <w:tc>
          <w:tcPr>
            <w:tcW w:w="1642" w:type="dxa"/>
          </w:tcPr>
          <w:p>
            <w:pPr>
              <w:pStyle w:val="TableParagraph"/>
              <w:spacing w:line="225" w:lineRule="auto"/>
              <w:ind w:left="107" w:right="122"/>
              <w:jc w:val="both"/>
              <w:rPr>
                <w:sz w:val="20"/>
              </w:rPr>
            </w:pPr>
            <w:r>
              <w:rPr>
                <w:sz w:val="20"/>
              </w:rPr>
              <w:t>儲存的「方法」由安全穩固變為危險不穩。</w:t>
            </w:r>
          </w:p>
        </w:tc>
        <w:tc>
          <w:tcPr>
            <w:tcW w:w="2680" w:type="dxa"/>
          </w:tcPr>
          <w:p>
            <w:pPr>
              <w:pStyle w:val="TableParagraph"/>
              <w:spacing w:line="225" w:lineRule="auto"/>
              <w:ind w:right="160"/>
              <w:rPr>
                <w:sz w:val="20"/>
              </w:rPr>
            </w:pPr>
            <w:r>
              <w:rPr>
                <w:sz w:val="20"/>
              </w:rPr>
              <w:t>創造了隨時可能倒塌的、高度危險的能量源。</w:t>
            </w:r>
          </w:p>
        </w:tc>
      </w:tr>
      <w:tr>
        <w:trPr>
          <w:trHeight w:val="1383" w:hRule="atLeast"/>
        </w:trPr>
        <w:tc>
          <w:tcPr>
            <w:tcW w:w="1062" w:type="dxa"/>
          </w:tcPr>
          <w:p>
            <w:pPr>
              <w:pStyle w:val="TableParagraph"/>
              <w:spacing w:line="248" w:lineRule="exact"/>
              <w:ind w:left="107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WHEN</w:t>
            </w:r>
          </w:p>
          <w:p>
            <w:pPr>
              <w:pStyle w:val="TableParagraph"/>
              <w:spacing w:line="362" w:lineRule="exact"/>
              <w:ind w:left="107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pacing w:val="-1"/>
                <w:sz w:val="20"/>
              </w:rPr>
              <w:t>(</w:t>
            </w:r>
            <w:r>
              <w:rPr>
                <w:sz w:val="20"/>
              </w:rPr>
              <w:t>何時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649" w:type="dxa"/>
          </w:tcPr>
          <w:p>
            <w:pPr>
              <w:pStyle w:val="TableParagraph"/>
              <w:spacing w:line="225" w:lineRule="auto"/>
              <w:ind w:left="107" w:right="128"/>
              <w:jc w:val="both"/>
              <w:rPr>
                <w:sz w:val="20"/>
              </w:rPr>
            </w:pPr>
            <w:r>
              <w:rPr>
                <w:sz w:val="20"/>
              </w:rPr>
              <w:t>在天車遙控器故障，作業中斷後恢復作業的瞬</w:t>
            </w:r>
          </w:p>
          <w:p>
            <w:pPr>
              <w:pStyle w:val="TableParagraph"/>
              <w:spacing w:line="334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間。</w:t>
            </w:r>
          </w:p>
        </w:tc>
        <w:tc>
          <w:tcPr>
            <w:tcW w:w="2172" w:type="dxa"/>
          </w:tcPr>
          <w:p>
            <w:pPr>
              <w:pStyle w:val="TableParagraph"/>
              <w:spacing w:line="225" w:lineRule="auto"/>
              <w:ind w:right="252"/>
              <w:rPr>
                <w:sz w:val="20"/>
              </w:rPr>
            </w:pPr>
            <w:r>
              <w:rPr>
                <w:sz w:val="20"/>
              </w:rPr>
              <w:t>在正常、連續的作業流程中。</w:t>
            </w:r>
          </w:p>
        </w:tc>
        <w:tc>
          <w:tcPr>
            <w:tcW w:w="1642" w:type="dxa"/>
          </w:tcPr>
          <w:p>
            <w:pPr>
              <w:pStyle w:val="TableParagraph"/>
              <w:spacing w:line="333" w:lineRule="exact"/>
              <w:ind w:left="107"/>
              <w:rPr>
                <w:sz w:val="20"/>
              </w:rPr>
            </w:pPr>
            <w:r>
              <w:rPr>
                <w:sz w:val="20"/>
              </w:rPr>
              <w:t>作業流程發生</w:t>
            </w:r>
          </w:p>
          <w:p>
            <w:pPr>
              <w:pStyle w:val="TableParagraph"/>
              <w:spacing w:line="225" w:lineRule="auto" w:before="5"/>
              <w:ind w:left="107" w:right="321"/>
              <w:rPr>
                <w:sz w:val="20"/>
              </w:rPr>
            </w:pPr>
            <w:r>
              <w:rPr>
                <w:sz w:val="20"/>
              </w:rPr>
              <w:t>「非預期的中斷」。</w:t>
            </w:r>
          </w:p>
        </w:tc>
        <w:tc>
          <w:tcPr>
            <w:tcW w:w="2680" w:type="dxa"/>
          </w:tcPr>
          <w:p>
            <w:pPr>
              <w:pStyle w:val="TableParagraph"/>
              <w:spacing w:line="225" w:lineRule="auto"/>
              <w:ind w:right="160"/>
              <w:jc w:val="both"/>
              <w:rPr>
                <w:sz w:val="20"/>
              </w:rPr>
            </w:pPr>
            <w:r>
              <w:rPr>
                <w:sz w:val="20"/>
              </w:rPr>
              <w:t>中斷可能導致作業者分心， 或為了處理故障而改變原本站立的位置，無意中進入更</w:t>
            </w:r>
          </w:p>
          <w:p>
            <w:pPr>
              <w:pStyle w:val="TableParagraph"/>
              <w:spacing w:line="334" w:lineRule="exact"/>
              <w:jc w:val="both"/>
              <w:rPr>
                <w:sz w:val="20"/>
              </w:rPr>
            </w:pPr>
            <w:r>
              <w:rPr>
                <w:sz w:val="20"/>
              </w:rPr>
              <w:t>危險的區域。</w:t>
            </w:r>
          </w:p>
        </w:tc>
      </w:tr>
      <w:tr>
        <w:trPr>
          <w:trHeight w:val="1037" w:hRule="atLeast"/>
        </w:trPr>
        <w:tc>
          <w:tcPr>
            <w:tcW w:w="1062" w:type="dxa"/>
          </w:tcPr>
          <w:p>
            <w:pPr>
              <w:pStyle w:val="TableParagraph"/>
              <w:spacing w:line="248" w:lineRule="exact"/>
              <w:ind w:left="107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WHERE</w:t>
            </w:r>
          </w:p>
          <w:p>
            <w:pPr>
              <w:pStyle w:val="TableParagraph"/>
              <w:spacing w:line="362" w:lineRule="exact"/>
              <w:ind w:left="107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何地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649" w:type="dxa"/>
          </w:tcPr>
          <w:p>
            <w:pPr>
              <w:pStyle w:val="TableParagraph"/>
              <w:spacing w:line="225" w:lineRule="auto"/>
              <w:ind w:left="107" w:right="128"/>
              <w:rPr>
                <w:sz w:val="20"/>
              </w:rPr>
            </w:pPr>
            <w:r>
              <w:rPr>
                <w:sz w:val="20"/>
              </w:rPr>
              <w:t>站立於不穩定堆疊物旁的倒塌範</w:t>
            </w:r>
          </w:p>
          <w:p>
            <w:pPr>
              <w:pStyle w:val="TableParagraph"/>
              <w:spacing w:line="333" w:lineRule="exact"/>
              <w:ind w:left="107"/>
              <w:rPr>
                <w:sz w:val="20"/>
              </w:rPr>
            </w:pPr>
            <w:r>
              <w:rPr>
                <w:sz w:val="20"/>
              </w:rPr>
              <w:t>圍內。</w:t>
            </w:r>
          </w:p>
        </w:tc>
        <w:tc>
          <w:tcPr>
            <w:tcW w:w="2172" w:type="dxa"/>
          </w:tcPr>
          <w:p>
            <w:pPr>
              <w:pStyle w:val="TableParagraph"/>
              <w:spacing w:line="225" w:lineRule="auto"/>
              <w:ind w:right="252"/>
              <w:rPr>
                <w:sz w:val="20"/>
              </w:rPr>
            </w:pPr>
            <w:r>
              <w:rPr>
                <w:sz w:val="20"/>
              </w:rPr>
              <w:t>站立於規劃的安全操作區，或與堆疊物保</w:t>
            </w:r>
          </w:p>
          <w:p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sz w:val="20"/>
              </w:rPr>
              <w:t>持安全距離。</w:t>
            </w:r>
          </w:p>
        </w:tc>
        <w:tc>
          <w:tcPr>
            <w:tcW w:w="1642" w:type="dxa"/>
          </w:tcPr>
          <w:p>
            <w:pPr>
              <w:pStyle w:val="TableParagraph"/>
              <w:spacing w:line="225" w:lineRule="auto"/>
              <w:ind w:left="107" w:right="121"/>
              <w:rPr>
                <w:sz w:val="20"/>
              </w:rPr>
            </w:pPr>
            <w:r>
              <w:rPr>
                <w:sz w:val="20"/>
              </w:rPr>
              <w:t>人員的「位置」由安全區變為危</w:t>
            </w:r>
          </w:p>
          <w:p>
            <w:pPr>
              <w:pStyle w:val="TableParagraph"/>
              <w:spacing w:line="333" w:lineRule="exact"/>
              <w:ind w:left="107"/>
              <w:rPr>
                <w:sz w:val="20"/>
              </w:rPr>
            </w:pPr>
            <w:r>
              <w:rPr>
                <w:sz w:val="20"/>
              </w:rPr>
              <w:t>害區。</w:t>
            </w:r>
          </w:p>
        </w:tc>
        <w:tc>
          <w:tcPr>
            <w:tcW w:w="2680" w:type="dxa"/>
          </w:tcPr>
          <w:p>
            <w:pPr>
              <w:pStyle w:val="TableParagraph"/>
              <w:spacing w:line="225" w:lineRule="auto"/>
              <w:ind w:right="160"/>
              <w:rPr>
                <w:sz w:val="20"/>
              </w:rPr>
            </w:pPr>
            <w:r>
              <w:rPr>
                <w:sz w:val="20"/>
              </w:rPr>
              <w:t>使人員直接暴露於倒塌的動線下，是造成傷亡的直接條</w:t>
            </w:r>
          </w:p>
          <w:p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sz w:val="20"/>
              </w:rPr>
              <w:t>件。</w:t>
            </w:r>
          </w:p>
        </w:tc>
      </w:tr>
      <w:tr>
        <w:trPr>
          <w:trHeight w:val="1384" w:hRule="atLeast"/>
        </w:trPr>
        <w:tc>
          <w:tcPr>
            <w:tcW w:w="1062" w:type="dxa"/>
          </w:tcPr>
          <w:p>
            <w:pPr>
              <w:pStyle w:val="TableParagraph"/>
              <w:spacing w:line="334" w:lineRule="exact"/>
              <w:ind w:left="107"/>
              <w:rPr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HOW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如</w:t>
            </w:r>
          </w:p>
          <w:p>
            <w:pPr>
              <w:pStyle w:val="TableParagraph"/>
              <w:spacing w:line="357" w:lineRule="exact"/>
              <w:ind w:left="107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何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649" w:type="dxa"/>
          </w:tcPr>
          <w:p>
            <w:pPr>
              <w:pStyle w:val="TableParagraph"/>
              <w:spacing w:line="225" w:lineRule="auto"/>
              <w:ind w:left="107" w:right="128"/>
              <w:jc w:val="both"/>
              <w:rPr>
                <w:sz w:val="20"/>
              </w:rPr>
            </w:pPr>
            <w:r>
              <w:rPr>
                <w:sz w:val="20"/>
              </w:rPr>
              <w:t>以徒手、無安全規範的方式進行堆疊作業。</w:t>
            </w:r>
          </w:p>
        </w:tc>
        <w:tc>
          <w:tcPr>
            <w:tcW w:w="2172" w:type="dxa"/>
          </w:tcPr>
          <w:p>
            <w:pPr>
              <w:pStyle w:val="TableParagraph"/>
              <w:spacing w:line="225" w:lineRule="auto"/>
              <w:ind w:right="233"/>
              <w:rPr>
                <w:sz w:val="20"/>
              </w:rPr>
            </w:pPr>
            <w:r>
              <w:rPr>
                <w:spacing w:val="-1"/>
                <w:sz w:val="20"/>
              </w:rPr>
              <w:t>遵循 </w:t>
            </w:r>
            <w:r>
              <w:rPr>
                <w:rFonts w:ascii="Segoe UI" w:eastAsia="Segoe UI"/>
                <w:sz w:val="20"/>
              </w:rPr>
              <w:t>SOP</w:t>
            </w:r>
            <w:r>
              <w:rPr>
                <w:spacing w:val="-4"/>
                <w:sz w:val="20"/>
              </w:rPr>
              <w:t>，使用防止</w:t>
            </w:r>
            <w:r>
              <w:rPr>
                <w:sz w:val="20"/>
              </w:rPr>
              <w:t>倒塌的輔具進行堆 疊，並由他人從遠處</w:t>
            </w:r>
          </w:p>
          <w:p>
            <w:pPr>
              <w:pStyle w:val="TableParagraph"/>
              <w:spacing w:line="334" w:lineRule="exact"/>
              <w:rPr>
                <w:sz w:val="20"/>
              </w:rPr>
            </w:pPr>
            <w:r>
              <w:rPr>
                <w:sz w:val="20"/>
              </w:rPr>
              <w:t>指揮。</w:t>
            </w:r>
          </w:p>
        </w:tc>
        <w:tc>
          <w:tcPr>
            <w:tcW w:w="1642" w:type="dxa"/>
          </w:tcPr>
          <w:p>
            <w:pPr>
              <w:pStyle w:val="TableParagraph"/>
              <w:spacing w:line="225" w:lineRule="auto"/>
              <w:ind w:left="107" w:right="122"/>
              <w:jc w:val="both"/>
              <w:rPr>
                <w:sz w:val="20"/>
              </w:rPr>
            </w:pPr>
            <w:r>
              <w:rPr>
                <w:sz w:val="20"/>
              </w:rPr>
              <w:t>作業的「程序」由有規範變為無規範。</w:t>
            </w:r>
          </w:p>
        </w:tc>
        <w:tc>
          <w:tcPr>
            <w:tcW w:w="2680" w:type="dxa"/>
          </w:tcPr>
          <w:p>
            <w:pPr>
              <w:pStyle w:val="TableParagraph"/>
              <w:spacing w:line="225" w:lineRule="auto"/>
              <w:ind w:right="160"/>
              <w:rPr>
                <w:sz w:val="20"/>
              </w:rPr>
            </w:pPr>
            <w:r>
              <w:rPr>
                <w:sz w:val="20"/>
              </w:rPr>
              <w:t>錯誤的程序是造成不穩定堆疊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危害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的直接原因。</w:t>
            </w:r>
          </w:p>
        </w:tc>
      </w:tr>
    </w:tbl>
    <w:p>
      <w:pPr>
        <w:pStyle w:val="BodyText"/>
        <w:spacing w:before="14"/>
        <w:rPr>
          <w:sz w:val="21"/>
        </w:rPr>
      </w:pPr>
      <w:r>
        <w:rPr/>
        <w:pict>
          <v:group style="position:absolute;margin-left:70.900002pt;margin-top:22.003084pt;width:460.7pt;height:1.55pt;mso-position-horizontal-relative:page;mso-position-vertical-relative:paragraph;z-index:-856;mso-wrap-distance-left:0;mso-wrap-distance-right:0" coordorigin="1418,440" coordsize="9214,31">
            <v:line style="position:absolute" from="1418,455" to="10632,455" stroked="true" strokeweight="1.5pt" strokecolor="#9f9f9f">
              <v:stroke dashstyle="solid"/>
            </v:line>
            <v:rect style="position:absolute;left:1418;top:440;width:5;height:5" filled="true" fillcolor="#9f9f9f" stroked="false">
              <v:fill type="solid"/>
            </v:rect>
            <v:rect style="position:absolute;left:1418;top:440;width:5;height:5" filled="true" fillcolor="#9f9f9f" stroked="false">
              <v:fill type="solid"/>
            </v:rect>
            <v:line style="position:absolute" from="1423,442" to="10627,442" stroked="true" strokeweight=".24pt" strokecolor="#9f9f9f">
              <v:stroke dashstyle="solid"/>
            </v:line>
            <v:rect style="position:absolute;left:10627;top:440;width:5;height:5" filled="true" fillcolor="#e2e2e2" stroked="false">
              <v:fill type="solid"/>
            </v:rect>
            <v:rect style="position:absolute;left:10627;top:440;width:5;height:5" filled="true" fillcolor="#9f9f9f" stroked="false">
              <v:fill type="solid"/>
            </v:rect>
            <v:rect style="position:absolute;left:1418;top:444;width:5;height:21" filled="true" fillcolor="#9f9f9f" stroked="false">
              <v:fill type="solid"/>
            </v:rect>
            <v:rect style="position:absolute;left:10627;top:444;width:5;height:21" filled="true" fillcolor="#e2e2e2" stroked="false">
              <v:fill type="solid"/>
            </v:rect>
            <v:rect style="position:absolute;left:1418;top:465;width:5;height:5" filled="true" fillcolor="#9f9f9f" stroked="false">
              <v:fill type="solid"/>
            </v:rect>
            <v:rect style="position:absolute;left:1418;top:465;width:5;height:5" filled="true" fillcolor="#e2e2e2" stroked="false">
              <v:fill type="solid"/>
            </v:rect>
            <v:line style="position:absolute" from="1423,468" to="10627,468" stroked="true" strokeweight=".24pt" strokecolor="#e2e2e2">
              <v:stroke dashstyle="solid"/>
            </v:line>
            <v:rect style="position:absolute;left:10627;top:465;width:5;height:5" filled="true" fillcolor="#e2e2e2" stroked="false">
              <v:fill type="solid"/>
            </v:rect>
            <v:rect style="position:absolute;left:10627;top:465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六</w:t>
      </w:r>
      <w:r>
        <w:rPr>
          <w:rFonts w:ascii="Calibri" w:eastAsia="Calibri"/>
        </w:rPr>
        <w:t>. </w:t>
      </w:r>
      <w:r>
        <w:rPr/>
        <w:t>人為失誤分析  </w:t>
      </w:r>
      <w:r>
        <w:rPr>
          <w:rFonts w:ascii="Calibri" w:eastAsia="Calibri"/>
        </w:rPr>
        <w:t>(Human Failure Analysis)</w:t>
      </w:r>
    </w:p>
    <w:p>
      <w:pPr>
        <w:pStyle w:val="BodyText"/>
        <w:spacing w:line="428" w:lineRule="exact"/>
        <w:ind w:left="118"/>
      </w:pPr>
      <w:r>
        <w:rPr/>
        <w:t>本分析探討影響人員行為的深層次原因，而非僅歸咎於個人。</w:t>
      </w: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8"/>
        <w:gridCol w:w="3458"/>
        <w:gridCol w:w="3980"/>
      </w:tblGrid>
      <w:tr>
        <w:trPr>
          <w:trHeight w:val="346" w:hRule="atLeast"/>
        </w:trPr>
        <w:tc>
          <w:tcPr>
            <w:tcW w:w="1768" w:type="dxa"/>
          </w:tcPr>
          <w:p>
            <w:pPr>
              <w:pStyle w:val="TableParagraph"/>
              <w:spacing w:line="326" w:lineRule="exact"/>
              <w:ind w:left="107"/>
              <w:rPr>
                <w:sz w:val="20"/>
              </w:rPr>
            </w:pPr>
            <w:r>
              <w:rPr>
                <w:sz w:val="20"/>
              </w:rPr>
              <w:t>失誤類型</w:t>
            </w:r>
          </w:p>
        </w:tc>
        <w:tc>
          <w:tcPr>
            <w:tcW w:w="3458" w:type="dxa"/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主要不安全行為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失誤</w:t>
            </w:r>
          </w:p>
        </w:tc>
        <w:tc>
          <w:tcPr>
            <w:tcW w:w="3980" w:type="dxa"/>
          </w:tcPr>
          <w:p>
            <w:pPr>
              <w:pStyle w:val="TableParagraph"/>
              <w:spacing w:line="326" w:lineRule="exact"/>
              <w:ind w:left="105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根本原因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組織與系統層面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383" w:hRule="atLeast"/>
        </w:trPr>
        <w:tc>
          <w:tcPr>
            <w:tcW w:w="1768" w:type="dxa"/>
          </w:tcPr>
          <w:p>
            <w:pPr>
              <w:pStyle w:val="TableParagraph"/>
              <w:spacing w:line="33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常規性違規</w:t>
            </w:r>
          </w:p>
          <w:p>
            <w:pPr>
              <w:pStyle w:val="TableParagraph"/>
              <w:ind w:left="107" w:right="784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(Routine Violation)</w:t>
            </w:r>
          </w:p>
        </w:tc>
        <w:tc>
          <w:tcPr>
            <w:tcW w:w="3458" w:type="dxa"/>
          </w:tcPr>
          <w:p>
            <w:pPr>
              <w:pStyle w:val="TableParagraph"/>
              <w:spacing w:line="225" w:lineRule="auto"/>
              <w:ind w:right="138"/>
              <w:jc w:val="both"/>
              <w:rPr>
                <w:sz w:val="20"/>
              </w:rPr>
            </w:pPr>
            <w:r>
              <w:rPr>
                <w:sz w:val="20"/>
              </w:rPr>
              <w:t>罹災者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副課長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與現場人員長期以來</w:t>
            </w:r>
            <w:r>
              <w:rPr>
                <w:spacing w:val="-1"/>
                <w:sz w:val="20"/>
              </w:rPr>
              <w:t>可能都習慣於不安全的堆疊方式，並</w:t>
            </w:r>
            <w:r>
              <w:rPr>
                <w:spacing w:val="-2"/>
                <w:sz w:val="20"/>
              </w:rPr>
              <w:t>進入倒塌危害區作業。這種「一直以</w:t>
            </w:r>
          </w:p>
          <w:p>
            <w:pPr>
              <w:pStyle w:val="TableParagraph"/>
              <w:spacing w:line="334" w:lineRule="exact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來都這樣做」的心態，使其成為一種</w:t>
            </w:r>
          </w:p>
        </w:tc>
        <w:tc>
          <w:tcPr>
            <w:tcW w:w="3980" w:type="dxa"/>
          </w:tcPr>
          <w:p>
            <w:pPr>
              <w:pStyle w:val="TableParagraph"/>
              <w:spacing w:line="225" w:lineRule="auto"/>
              <w:ind w:left="105" w:right="178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* </w:t>
            </w:r>
            <w:r>
              <w:rPr>
                <w:b/>
                <w:sz w:val="20"/>
              </w:rPr>
              <w:t>安全文化與監督： </w:t>
            </w:r>
            <w:r>
              <w:rPr>
                <w:sz w:val="20"/>
              </w:rPr>
              <w:t>組織安全文化薄弱， 對於明顯的風險視而不見，監督機制失</w:t>
            </w:r>
          </w:p>
          <w:p>
            <w:pPr>
              <w:pStyle w:val="TableParagraph"/>
              <w:spacing w:line="341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靈，長期容忍不安全的作業習慣，直到事</w:t>
            </w:r>
          </w:p>
          <w:p>
            <w:pPr>
              <w:pStyle w:val="TableParagraph"/>
              <w:spacing w:line="339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故發生。管理層未能提供安全的作業環境</w:t>
            </w:r>
          </w:p>
        </w:tc>
      </w:tr>
    </w:tbl>
    <w:p>
      <w:pPr>
        <w:spacing w:after="0" w:line="339" w:lineRule="exact"/>
        <w:rPr>
          <w:sz w:val="20"/>
        </w:rPr>
        <w:sectPr>
          <w:pgSz w:w="11910" w:h="16840"/>
          <w:pgMar w:top="1420" w:bottom="280" w:left="130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8"/>
        <w:gridCol w:w="3458"/>
        <w:gridCol w:w="3980"/>
      </w:tblGrid>
      <w:tr>
        <w:trPr>
          <w:trHeight w:val="692" w:hRule="atLeast"/>
        </w:trPr>
        <w:tc>
          <w:tcPr>
            <w:tcW w:w="176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458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sz w:val="20"/>
              </w:rPr>
              <w:t>被默許的常規作業模式，而非單一的</w:t>
            </w:r>
          </w:p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錯誤。</w:t>
            </w:r>
          </w:p>
        </w:tc>
        <w:tc>
          <w:tcPr>
            <w:tcW w:w="3980" w:type="dxa"/>
          </w:tcPr>
          <w:p>
            <w:pPr>
              <w:pStyle w:val="TableParagraph"/>
              <w:spacing w:line="346" w:lineRule="exact"/>
              <w:ind w:left="105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如料架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，變相地「鼓勵」了員工採取權宜</w:t>
            </w:r>
          </w:p>
          <w:p>
            <w:pPr>
              <w:pStyle w:val="TableParagraph"/>
              <w:spacing w:line="326" w:lineRule="exact"/>
              <w:ind w:left="105"/>
              <w:rPr>
                <w:sz w:val="20"/>
              </w:rPr>
            </w:pPr>
            <w:r>
              <w:rPr>
                <w:sz w:val="20"/>
              </w:rPr>
              <w:t>的危險作法。</w:t>
            </w:r>
          </w:p>
        </w:tc>
      </w:tr>
      <w:tr>
        <w:trPr>
          <w:trHeight w:val="2075" w:hRule="atLeast"/>
        </w:trPr>
        <w:tc>
          <w:tcPr>
            <w:tcW w:w="1768" w:type="dxa"/>
          </w:tcPr>
          <w:p>
            <w:pPr>
              <w:pStyle w:val="TableParagraph"/>
              <w:spacing w:line="235" w:lineRule="auto"/>
              <w:ind w:left="107" w:right="328"/>
              <w:rPr>
                <w:rFonts w:ascii="Segoe UI" w:eastAsia="Segoe UI"/>
                <w:sz w:val="20"/>
              </w:rPr>
            </w:pPr>
            <w:r>
              <w:rPr>
                <w:b/>
                <w:sz w:val="20"/>
              </w:rPr>
              <w:t>知識性錯誤</w:t>
            </w:r>
            <w:r>
              <w:rPr>
                <w:rFonts w:ascii="Segoe UI" w:eastAsia="Segoe UI"/>
                <w:sz w:val="20"/>
              </w:rPr>
              <w:t>(Knowledge- based mistake)</w:t>
            </w:r>
          </w:p>
        </w:tc>
        <w:tc>
          <w:tcPr>
            <w:tcW w:w="3458" w:type="dxa"/>
          </w:tcPr>
          <w:p>
            <w:pPr>
              <w:pStyle w:val="TableParagraph"/>
              <w:spacing w:line="225" w:lineRule="auto" w:before="4"/>
              <w:ind w:right="138"/>
              <w:rPr>
                <w:sz w:val="20"/>
              </w:rPr>
            </w:pPr>
            <w:r>
              <w:rPr>
                <w:spacing w:val="-1"/>
                <w:sz w:val="20"/>
              </w:rPr>
              <w:t>組織內的管理階層與規劃者，未能認知到「未經工程設計的徒手堆疊」對</w:t>
            </w:r>
            <w:r>
              <w:rPr>
                <w:sz w:val="20"/>
              </w:rPr>
              <w:t>於重型鋼捲是完全不可靠的儲存方 </w:t>
            </w:r>
            <w:r>
              <w:rPr>
                <w:spacing w:val="-1"/>
                <w:sz w:val="20"/>
              </w:rPr>
              <w:t>式。這顯示了對於物料儲存風險的系</w:t>
            </w:r>
            <w:r>
              <w:rPr>
                <w:sz w:val="20"/>
              </w:rPr>
              <w:t>統性無知。</w:t>
            </w:r>
          </w:p>
        </w:tc>
        <w:tc>
          <w:tcPr>
            <w:tcW w:w="398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89" w:val="left" w:leader="none"/>
              </w:tabs>
              <w:spacing w:line="345" w:lineRule="exact" w:before="0" w:after="0"/>
              <w:ind w:left="105" w:right="0" w:firstLine="0"/>
              <w:jc w:val="left"/>
              <w:rPr>
                <w:sz w:val="20"/>
              </w:rPr>
            </w:pPr>
            <w:r>
              <w:rPr>
                <w:b/>
                <w:spacing w:val="4"/>
                <w:sz w:val="20"/>
              </w:rPr>
              <w:t>風險評估與管理系統： </w:t>
            </w:r>
            <w:r>
              <w:rPr>
                <w:sz w:val="20"/>
              </w:rPr>
              <w:t>公司完全未對</w:t>
            </w:r>
          </w:p>
          <w:p>
            <w:pPr>
              <w:pStyle w:val="TableParagraph"/>
              <w:spacing w:line="225" w:lineRule="auto" w:before="5"/>
              <w:ind w:left="105" w:right="261"/>
              <w:rPr>
                <w:sz w:val="20"/>
              </w:rPr>
            </w:pPr>
            <w:r>
              <w:rPr>
                <w:sz w:val="20"/>
              </w:rPr>
              <w:t>「鋼帶捲儲存」此一高風險作業進行系統性的風險評估。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89" w:val="left" w:leader="none"/>
              </w:tabs>
              <w:spacing w:line="225" w:lineRule="auto" w:before="1" w:after="0"/>
              <w:ind w:left="105" w:right="178" w:firstLine="0"/>
              <w:jc w:val="left"/>
              <w:rPr>
                <w:sz w:val="20"/>
              </w:rPr>
            </w:pPr>
            <w:r>
              <w:rPr>
                <w:b/>
                <w:spacing w:val="5"/>
                <w:sz w:val="20"/>
              </w:rPr>
              <w:t>教育訓練系統： </w:t>
            </w:r>
            <w:r>
              <w:rPr>
                <w:spacing w:val="-2"/>
                <w:sz w:val="20"/>
              </w:rPr>
              <w:t>未能提供各級人員，尤</w:t>
            </w:r>
            <w:r>
              <w:rPr>
                <w:sz w:val="20"/>
              </w:rPr>
              <w:t>其是管理幹部，關於物料儲存安全的專業</w:t>
            </w:r>
          </w:p>
          <w:p>
            <w:pPr>
              <w:pStyle w:val="TableParagraph"/>
              <w:spacing w:line="322" w:lineRule="exact"/>
              <w:ind w:left="105"/>
              <w:rPr>
                <w:sz w:val="20"/>
              </w:rPr>
            </w:pPr>
            <w:r>
              <w:rPr>
                <w:sz w:val="20"/>
              </w:rPr>
              <w:t>知識與危害辨識能力。</w:t>
            </w:r>
          </w:p>
        </w:tc>
      </w:tr>
    </w:tbl>
    <w:p>
      <w:pPr>
        <w:pStyle w:val="BodyText"/>
        <w:spacing w:before="8"/>
        <w:rPr>
          <w:sz w:val="22"/>
        </w:rPr>
      </w:pPr>
      <w:r>
        <w:rPr/>
        <w:pict>
          <v:group style="position:absolute;margin-left:70.900002pt;margin-top:22.621pt;width:460.7pt;height:1.55pt;mso-position-horizontal-relative:page;mso-position-vertical-relative:paragraph;z-index:-832;mso-wrap-distance-left:0;mso-wrap-distance-right:0" coordorigin="1418,452" coordsize="9214,31">
            <v:line style="position:absolute" from="1418,468" to="10632,468" stroked="true" strokeweight="1.5pt" strokecolor="#9f9f9f">
              <v:stroke dashstyle="solid"/>
            </v:line>
            <v:rect style="position:absolute;left:1418;top:452;width:5;height:5" filled="true" fillcolor="#9f9f9f" stroked="false">
              <v:fill type="solid"/>
            </v:rect>
            <v:rect style="position:absolute;left:1418;top:452;width:5;height:5" filled="true" fillcolor="#9f9f9f" stroked="false">
              <v:fill type="solid"/>
            </v:rect>
            <v:line style="position:absolute" from="1423,455" to="10627,455" stroked="true" strokeweight=".239pt" strokecolor="#9f9f9f">
              <v:stroke dashstyle="solid"/>
            </v:line>
            <v:rect style="position:absolute;left:10627;top:452;width:5;height:5" filled="true" fillcolor="#e2e2e2" stroked="false">
              <v:fill type="solid"/>
            </v:rect>
            <v:rect style="position:absolute;left:10627;top:452;width:5;height:5" filled="true" fillcolor="#9f9f9f" stroked="false">
              <v:fill type="solid"/>
            </v:rect>
            <v:rect style="position:absolute;left:1418;top:457;width:5;height:21" filled="true" fillcolor="#9f9f9f" stroked="false">
              <v:fill type="solid"/>
            </v:rect>
            <v:rect style="position:absolute;left:10627;top:457;width:5;height:21" filled="true" fillcolor="#e2e2e2" stroked="false">
              <v:fill type="solid"/>
            </v:rect>
            <v:rect style="position:absolute;left:1418;top:477;width:5;height:5" filled="true" fillcolor="#9f9f9f" stroked="false">
              <v:fill type="solid"/>
            </v:rect>
            <v:rect style="position:absolute;left:1418;top:477;width:5;height:5" filled="true" fillcolor="#e2e2e2" stroked="false">
              <v:fill type="solid"/>
            </v:rect>
            <v:line style="position:absolute" from="1423,480" to="10627,480" stroked="true" strokeweight=".239pt" strokecolor="#e2e2e2">
              <v:stroke dashstyle="solid"/>
            </v:line>
            <v:rect style="position:absolute;left:10627;top:477;width:5;height:5" filled="true" fillcolor="#e2e2e2" stroked="false">
              <v:fill type="solid"/>
            </v:rect>
            <v:rect style="position:absolute;left:10627;top:477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</w:pPr>
      <w:r>
        <w:rPr/>
        <w:t>七</w:t>
      </w:r>
      <w:r>
        <w:rPr>
          <w:rFonts w:ascii="Calibri" w:eastAsia="Calibri"/>
        </w:rPr>
        <w:t>. </w:t>
      </w:r>
      <w:r>
        <w:rPr/>
        <w:t>根本原因分析與改善措施</w:t>
      </w:r>
    </w:p>
    <w:p>
      <w:pPr>
        <w:spacing w:line="415" w:lineRule="exact" w:before="0"/>
        <w:ind w:left="118" w:right="0" w:firstLine="0"/>
        <w:jc w:val="left"/>
        <w:rPr>
          <w:b/>
          <w:sz w:val="24"/>
        </w:rPr>
      </w:pPr>
      <w:r>
        <w:rPr>
          <w:rFonts w:ascii="Calibri" w:eastAsia="Calibri"/>
          <w:b/>
          <w:sz w:val="24"/>
        </w:rPr>
        <w:t>(</w:t>
      </w:r>
      <w:r>
        <w:rPr>
          <w:b/>
          <w:sz w:val="24"/>
        </w:rPr>
        <w:t>一</w:t>
      </w:r>
      <w:r>
        <w:rPr>
          <w:rFonts w:ascii="Calibri" w:eastAsia="Calibri"/>
          <w:b/>
          <w:sz w:val="24"/>
        </w:rPr>
        <w:t>) </w:t>
      </w:r>
      <w:r>
        <w:rPr>
          <w:b/>
          <w:sz w:val="24"/>
        </w:rPr>
        <w:t>立即原因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b/>
          <w:sz w:val="24"/>
        </w:rPr>
      </w:pPr>
      <w:r>
        <w:rPr>
          <w:b/>
          <w:sz w:val="24"/>
        </w:rPr>
        <w:t>不安全的狀況：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</w:tabs>
        <w:spacing w:line="225" w:lineRule="auto" w:before="6" w:after="0"/>
        <w:ind w:left="1558" w:right="207" w:hanging="360"/>
        <w:jc w:val="left"/>
        <w:rPr>
          <w:rFonts w:ascii="Calibri" w:eastAsia="Calibri"/>
          <w:b/>
          <w:sz w:val="24"/>
        </w:rPr>
      </w:pPr>
      <w:r>
        <w:rPr>
          <w:sz w:val="24"/>
        </w:rPr>
        <w:t>重型鋼帶捲以不穩定方式堆疊，且未使用任何防止倒塌的工程設施（</w:t>
      </w:r>
      <w:r>
        <w:rPr>
          <w:spacing w:val="-9"/>
          <w:sz w:val="24"/>
        </w:rPr>
        <w:t>如儲</w:t>
      </w:r>
      <w:r>
        <w:rPr>
          <w:sz w:val="24"/>
        </w:rPr>
        <w:t>存架、墊木）</w:t>
      </w:r>
      <w:r>
        <w:rPr>
          <w:spacing w:val="29"/>
          <w:sz w:val="24"/>
        </w:rPr>
        <w:t>。 </w:t>
      </w:r>
      <w:r>
        <w:rPr>
          <w:rFonts w:ascii="Calibri" w:eastAsia="Calibri"/>
          <w:b/>
          <w:sz w:val="24"/>
        </w:rPr>
        <w:t>(</w:t>
      </w:r>
      <w:r>
        <w:rPr>
          <w:b/>
          <w:sz w:val="24"/>
        </w:rPr>
        <w:t>假設</w:t>
      </w:r>
      <w:r>
        <w:rPr>
          <w:rFonts w:ascii="Calibri" w:eastAsia="Calibri"/>
          <w:b/>
          <w:sz w:val="24"/>
        </w:rPr>
        <w:t>)</w:t>
      </w:r>
    </w:p>
    <w:p>
      <w:pPr>
        <w:pStyle w:val="Heading1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09" w:lineRule="exact" w:before="0" w:after="0"/>
        <w:ind w:left="838" w:right="0" w:hanging="360"/>
        <w:jc w:val="left"/>
      </w:pPr>
      <w:r>
        <w:rPr/>
        <w:t>不安全的行為：</w:t>
      </w:r>
    </w:p>
    <w:p>
      <w:pPr>
        <w:pStyle w:val="BodyText"/>
        <w:spacing w:line="415" w:lineRule="exact"/>
        <w:ind w:left="1198"/>
      </w:pPr>
      <w:r>
        <w:rPr>
          <w:rFonts w:ascii="Calibri" w:eastAsia="Calibri"/>
        </w:rPr>
        <w:t>1. </w:t>
      </w:r>
      <w:r>
        <w:rPr/>
        <w:t>罹災者進入堆疊物料的潛在倒塌範圍內從事作業。</w:t>
      </w:r>
    </w:p>
    <w:p>
      <w:pPr>
        <w:pStyle w:val="Heading1"/>
        <w:spacing w:line="415" w:lineRule="exact"/>
      </w:pPr>
      <w:r>
        <w:rPr>
          <w:rFonts w:ascii="Calibri" w:eastAsia="Calibri"/>
        </w:rPr>
        <w:t>(</w:t>
      </w:r>
      <w:r>
        <w:rPr/>
        <w:t>二</w:t>
      </w:r>
      <w:r>
        <w:rPr>
          <w:rFonts w:ascii="Calibri" w:eastAsia="Calibri"/>
        </w:rPr>
        <w:t>) </w:t>
      </w:r>
      <w:r>
        <w:rPr/>
        <w:t>根本原因</w:t>
      </w: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415" w:lineRule="exact" w:before="0" w:after="0"/>
        <w:ind w:left="838" w:right="0" w:hanging="360"/>
        <w:jc w:val="left"/>
        <w:rPr>
          <w:b/>
          <w:sz w:val="24"/>
        </w:rPr>
      </w:pPr>
      <w:r>
        <w:rPr>
          <w:b/>
          <w:sz w:val="24"/>
        </w:rPr>
        <w:t>缺乏最基本的工程控制設施：</w:t>
      </w:r>
    </w:p>
    <w:p>
      <w:pPr>
        <w:pStyle w:val="ListParagraph"/>
        <w:numPr>
          <w:ilvl w:val="1"/>
          <w:numId w:val="5"/>
        </w:numPr>
        <w:tabs>
          <w:tab w:pos="1559" w:val="left" w:leader="none"/>
        </w:tabs>
        <w:spacing w:line="225" w:lineRule="auto" w:before="6" w:after="0"/>
        <w:ind w:left="1558" w:right="207" w:hanging="360"/>
        <w:jc w:val="both"/>
        <w:rPr>
          <w:sz w:val="24"/>
        </w:rPr>
      </w:pPr>
      <w:r>
        <w:rPr>
          <w:spacing w:val="-1"/>
          <w:sz w:val="24"/>
        </w:rPr>
        <w:t>對於儲存重達數噸至數十噸的鋼帶捲，公司完全未提供任何形式的專用儲存架或防止移動、倒塌的設施。這是最核心的、最根本的硬體設施失效， </w:t>
      </w:r>
      <w:r>
        <w:rPr>
          <w:sz w:val="24"/>
        </w:rPr>
        <w:t>使得後續所有管理或個人行為的改善都變得極為困難。</w:t>
      </w:r>
    </w:p>
    <w:p>
      <w:pPr>
        <w:pStyle w:val="Heading1"/>
        <w:numPr>
          <w:ilvl w:val="0"/>
          <w:numId w:val="5"/>
        </w:numPr>
        <w:tabs>
          <w:tab w:pos="839" w:val="left" w:leader="none"/>
        </w:tabs>
        <w:spacing w:line="410" w:lineRule="exact" w:before="0" w:after="0"/>
        <w:ind w:left="838" w:right="0" w:hanging="360"/>
        <w:jc w:val="left"/>
      </w:pPr>
      <w:r>
        <w:rPr/>
        <w:t>安全管理系統的完全真空：</w:t>
      </w:r>
    </w:p>
    <w:p>
      <w:pPr>
        <w:pStyle w:val="ListParagraph"/>
        <w:numPr>
          <w:ilvl w:val="1"/>
          <w:numId w:val="5"/>
        </w:numPr>
        <w:tabs>
          <w:tab w:pos="1558" w:val="left" w:leader="none"/>
          <w:tab w:pos="1559" w:val="left" w:leader="none"/>
        </w:tabs>
        <w:spacing w:line="415" w:lineRule="exact" w:before="0" w:after="0"/>
        <w:ind w:left="1558" w:right="0" w:hanging="360"/>
        <w:jc w:val="left"/>
        <w:rPr>
          <w:sz w:val="24"/>
        </w:rPr>
      </w:pPr>
      <w:r>
        <w:rPr>
          <w:sz w:val="24"/>
        </w:rPr>
        <w:t>組織從未對「重型物料儲存」此一高風險作業，建立任何安全作業程序</w:t>
      </w:r>
    </w:p>
    <w:p>
      <w:pPr>
        <w:pStyle w:val="BodyText"/>
        <w:spacing w:line="225" w:lineRule="auto" w:before="7"/>
        <w:ind w:left="1558" w:right="147"/>
      </w:pPr>
      <w:r>
        <w:rPr>
          <w:rFonts w:ascii="Calibri" w:eastAsia="Calibri"/>
        </w:rPr>
        <w:t>(SOP)</w:t>
      </w:r>
      <w:r>
        <w:rPr>
          <w:spacing w:val="-1"/>
        </w:rPr>
        <w:t>或標準。導致堆放方式、高度、地點全憑人員習慣，缺乏一致性與安</w:t>
      </w:r>
      <w:r>
        <w:rPr/>
        <w:t>全性考量。</w:t>
      </w:r>
    </w:p>
    <w:p>
      <w:pPr>
        <w:pStyle w:val="Heading1"/>
        <w:numPr>
          <w:ilvl w:val="0"/>
          <w:numId w:val="5"/>
        </w:numPr>
        <w:tabs>
          <w:tab w:pos="839" w:val="left" w:leader="none"/>
        </w:tabs>
        <w:spacing w:line="409" w:lineRule="exact" w:before="0" w:after="0"/>
        <w:ind w:left="838" w:right="0" w:hanging="360"/>
        <w:jc w:val="left"/>
      </w:pPr>
      <w:r>
        <w:rPr/>
        <w:t>風險評估與危害辨識的徹底失敗：</w:t>
      </w:r>
    </w:p>
    <w:p>
      <w:pPr>
        <w:pStyle w:val="ListParagraph"/>
        <w:numPr>
          <w:ilvl w:val="1"/>
          <w:numId w:val="5"/>
        </w:numPr>
        <w:tabs>
          <w:tab w:pos="1558" w:val="left" w:leader="none"/>
          <w:tab w:pos="1559" w:val="left" w:leader="none"/>
        </w:tabs>
        <w:spacing w:line="225" w:lineRule="auto" w:before="6" w:after="0"/>
        <w:ind w:left="1558" w:right="207" w:hanging="360"/>
        <w:jc w:val="left"/>
        <w:rPr>
          <w:sz w:val="24"/>
        </w:rPr>
      </w:pPr>
      <w:r>
        <w:rPr>
          <w:spacing w:val="-1"/>
          <w:sz w:val="24"/>
        </w:rPr>
        <w:t>管理階層未能辨識出不安全的物料堆疊會產生致命性的倒塌風險，因此也</w:t>
      </w:r>
      <w:r>
        <w:rPr>
          <w:sz w:val="24"/>
        </w:rPr>
        <w:t>未能規劃安全作業區域、實施人員管制，以及提供足夠的教育訓練。</w:t>
      </w:r>
    </w:p>
    <w:p>
      <w:pPr>
        <w:pStyle w:val="Heading1"/>
        <w:spacing w:line="410" w:lineRule="exact"/>
      </w:pPr>
      <w:r>
        <w:rPr>
          <w:rFonts w:ascii="Calibri" w:eastAsia="Calibri"/>
        </w:rPr>
        <w:t>(</w:t>
      </w:r>
      <w:r>
        <w:rPr/>
        <w:t>三</w:t>
      </w:r>
      <w:r>
        <w:rPr>
          <w:rFonts w:ascii="Calibri" w:eastAsia="Calibri"/>
        </w:rPr>
        <w:t>) </w:t>
      </w:r>
      <w:r>
        <w:rPr/>
        <w:t>矯正改善措施建議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b/>
          <w:sz w:val="24"/>
        </w:rPr>
      </w:pPr>
      <w:r>
        <w:rPr>
          <w:b/>
          <w:spacing w:val="11"/>
          <w:sz w:val="24"/>
        </w:rPr>
        <w:t>工程控制 </w:t>
      </w:r>
      <w:r>
        <w:rPr>
          <w:rFonts w:ascii="Calibri" w:hAnsi="Calibri" w:eastAsia="Calibri"/>
          <w:b/>
          <w:sz w:val="24"/>
        </w:rPr>
        <w:t>(</w:t>
      </w:r>
      <w:r>
        <w:rPr>
          <w:b/>
          <w:sz w:val="24"/>
        </w:rPr>
        <w:t>最優先</w:t>
      </w:r>
      <w:r>
        <w:rPr>
          <w:rFonts w:ascii="Calibri" w:hAnsi="Calibri" w:eastAsia="Calibri"/>
          <w:b/>
          <w:sz w:val="24"/>
        </w:rPr>
        <w:t>)</w:t>
      </w:r>
      <w:r>
        <w:rPr>
          <w:b/>
          <w:sz w:val="24"/>
        </w:rPr>
        <w:t>：</w:t>
      </w:r>
    </w:p>
    <w:p>
      <w:pPr>
        <w:pStyle w:val="ListParagraph"/>
        <w:numPr>
          <w:ilvl w:val="0"/>
          <w:numId w:val="6"/>
        </w:numPr>
        <w:tabs>
          <w:tab w:pos="1559" w:val="left" w:leader="none"/>
        </w:tabs>
        <w:spacing w:line="225" w:lineRule="auto" w:before="6" w:after="0"/>
        <w:ind w:left="1558" w:right="207" w:hanging="360"/>
        <w:jc w:val="left"/>
        <w:rPr>
          <w:sz w:val="24"/>
        </w:rPr>
      </w:pPr>
      <w:r>
        <w:rPr>
          <w:b/>
          <w:sz w:val="24"/>
        </w:rPr>
        <w:t>立即規劃並設置「鋼帶捲專用儲存架」： </w:t>
      </w:r>
      <w:r>
        <w:rPr>
          <w:sz w:val="24"/>
        </w:rPr>
        <w:t>此為最根本的解決方案。應依</w:t>
      </w:r>
      <w:r>
        <w:rPr>
          <w:spacing w:val="-1"/>
          <w:sz w:val="24"/>
        </w:rPr>
        <w:t>據鋼帶捲的尺寸與重量，設計並安裝足夠強度與數量的專用儲存架，徹底</w:t>
      </w:r>
      <w:r>
        <w:rPr>
          <w:sz w:val="24"/>
        </w:rPr>
        <w:t>根除因不當堆疊造成的倒塌風險。</w:t>
      </w:r>
    </w:p>
    <w:p>
      <w:pPr>
        <w:spacing w:after="0" w:line="225" w:lineRule="auto"/>
        <w:jc w:val="left"/>
        <w:rPr>
          <w:sz w:val="24"/>
        </w:rPr>
        <w:sectPr>
          <w:pgSz w:w="11910" w:h="16840"/>
          <w:pgMar w:top="1420" w:bottom="280" w:left="1300" w:right="1160"/>
        </w:sectPr>
      </w:pPr>
    </w:p>
    <w:p>
      <w:pPr>
        <w:pStyle w:val="ListParagraph"/>
        <w:numPr>
          <w:ilvl w:val="0"/>
          <w:numId w:val="6"/>
        </w:numPr>
        <w:tabs>
          <w:tab w:pos="1559" w:val="left" w:leader="none"/>
        </w:tabs>
        <w:spacing w:line="225" w:lineRule="auto" w:before="47" w:after="0"/>
        <w:ind w:left="1558" w:right="299" w:hanging="360"/>
        <w:jc w:val="left"/>
        <w:rPr>
          <w:sz w:val="24"/>
        </w:rPr>
      </w:pPr>
      <w:r>
        <w:rPr>
          <w:b/>
          <w:spacing w:val="1"/>
          <w:sz w:val="24"/>
        </w:rPr>
        <w:t>過渡期間的臨時措施：  </w:t>
      </w:r>
      <w:r>
        <w:rPr>
          <w:spacing w:val="1"/>
          <w:sz w:val="24"/>
        </w:rPr>
        <w:t>在儲存架未完成前，應立即採購足量的 </w:t>
      </w:r>
      <w:r>
        <w:rPr>
          <w:rFonts w:ascii="Calibri" w:eastAsia="Calibri"/>
          <w:sz w:val="24"/>
        </w:rPr>
        <w:t>L</w:t>
      </w:r>
      <w:r>
        <w:rPr>
          <w:rFonts w:ascii="Calibri" w:eastAsia="Calibri"/>
          <w:spacing w:val="22"/>
          <w:sz w:val="24"/>
        </w:rPr>
        <w:t> </w:t>
      </w:r>
      <w:r>
        <w:rPr>
          <w:sz w:val="24"/>
        </w:rPr>
        <w:t>型鋼 架、楔形墊木等輔具，並明訂鋼帶捲的堆放方式</w:t>
      </w:r>
      <w:r>
        <w:rPr>
          <w:rFonts w:ascii="Calibri" w:eastAsia="Calibri"/>
          <w:sz w:val="24"/>
        </w:rPr>
        <w:t>(</w:t>
      </w:r>
      <w:r>
        <w:rPr>
          <w:sz w:val="24"/>
        </w:rPr>
        <w:t>如金字塔式</w:t>
      </w:r>
      <w:r>
        <w:rPr>
          <w:rFonts w:ascii="Calibri" w:eastAsia="Calibri"/>
          <w:sz w:val="24"/>
        </w:rPr>
        <w:t>)</w:t>
      </w:r>
      <w:r>
        <w:rPr>
          <w:spacing w:val="-4"/>
          <w:sz w:val="24"/>
        </w:rPr>
        <w:t>與高度限制</w:t>
      </w:r>
    </w:p>
    <w:p>
      <w:pPr>
        <w:pStyle w:val="BodyText"/>
        <w:spacing w:line="410" w:lineRule="exact"/>
        <w:ind w:left="1558"/>
      </w:pPr>
      <w:r>
        <w:rPr>
          <w:rFonts w:ascii="Calibri" w:eastAsia="Calibri"/>
        </w:rPr>
        <w:t>(</w:t>
      </w:r>
      <w:r>
        <w:rPr/>
        <w:t>不得超過一層</w:t>
      </w:r>
      <w:r>
        <w:rPr>
          <w:rFonts w:ascii="Calibri" w:eastAsia="Calibri"/>
        </w:rPr>
        <w:t>)</w:t>
      </w:r>
      <w:r>
        <w:rPr/>
        <w:t>，禁止垂直堆疊。</w:t>
      </w:r>
    </w:p>
    <w:p>
      <w:pPr>
        <w:pStyle w:val="Heading1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</w:pPr>
      <w:r>
        <w:rPr/>
        <w:t>制度層面：</w:t>
      </w:r>
    </w:p>
    <w:p>
      <w:pPr>
        <w:pStyle w:val="ListParagraph"/>
        <w:numPr>
          <w:ilvl w:val="0"/>
          <w:numId w:val="7"/>
        </w:numPr>
        <w:tabs>
          <w:tab w:pos="1559" w:val="left" w:leader="none"/>
        </w:tabs>
        <w:spacing w:line="225" w:lineRule="auto" w:before="6" w:after="0"/>
        <w:ind w:left="1558" w:right="112" w:hanging="360"/>
        <w:jc w:val="left"/>
        <w:rPr>
          <w:sz w:val="24"/>
        </w:rPr>
      </w:pPr>
      <w:r>
        <w:rPr>
          <w:b/>
          <w:spacing w:val="3"/>
          <w:sz w:val="24"/>
        </w:rPr>
        <w:t>建立「物料儲存與堆放安全作業標準」： </w:t>
      </w:r>
      <w:r>
        <w:rPr>
          <w:sz w:val="24"/>
        </w:rPr>
        <w:t>立即制定 </w:t>
      </w:r>
      <w:r>
        <w:rPr>
          <w:rFonts w:ascii="Calibri" w:eastAsia="Calibri"/>
          <w:sz w:val="24"/>
        </w:rPr>
        <w:t>SOP</w:t>
      </w:r>
      <w:r>
        <w:rPr>
          <w:spacing w:val="-2"/>
          <w:sz w:val="24"/>
        </w:rPr>
        <w:t>，內容需涵蓋各類</w:t>
      </w:r>
      <w:r>
        <w:rPr>
          <w:sz w:val="24"/>
        </w:rPr>
        <w:t>物料</w:t>
      </w:r>
      <w:r>
        <w:rPr>
          <w:rFonts w:ascii="Calibri" w:eastAsia="Calibri"/>
          <w:sz w:val="24"/>
        </w:rPr>
        <w:t>(</w:t>
      </w:r>
      <w:r>
        <w:rPr>
          <w:sz w:val="24"/>
        </w:rPr>
        <w:t>特別是鋼捲</w:t>
      </w:r>
      <w:r>
        <w:rPr>
          <w:rFonts w:ascii="Calibri" w:eastAsia="Calibri"/>
          <w:sz w:val="24"/>
        </w:rPr>
        <w:t>)</w:t>
      </w:r>
      <w:r>
        <w:rPr>
          <w:sz w:val="24"/>
        </w:rPr>
        <w:t>的存放地點、堆放方式、高度限制、使用輔具、檢查標準等。</w:t>
      </w:r>
    </w:p>
    <w:p>
      <w:pPr>
        <w:pStyle w:val="ListParagraph"/>
        <w:numPr>
          <w:ilvl w:val="0"/>
          <w:numId w:val="7"/>
        </w:numPr>
        <w:tabs>
          <w:tab w:pos="1559" w:val="left" w:leader="none"/>
        </w:tabs>
        <w:spacing w:line="410" w:lineRule="exact" w:before="0" w:after="0"/>
        <w:ind w:left="1558" w:right="0" w:hanging="360"/>
        <w:jc w:val="left"/>
        <w:rPr>
          <w:sz w:val="24"/>
        </w:rPr>
      </w:pPr>
      <w:r>
        <w:rPr>
          <w:b/>
          <w:sz w:val="24"/>
        </w:rPr>
        <w:t>落實作業區域管理： </w:t>
      </w:r>
      <w:r>
        <w:rPr>
          <w:sz w:val="24"/>
        </w:rPr>
        <w:t>在儲存區地面上明確劃設「儲放區」、「作業</w:t>
      </w:r>
    </w:p>
    <w:p>
      <w:pPr>
        <w:pStyle w:val="BodyText"/>
        <w:spacing w:line="225" w:lineRule="auto" w:before="6"/>
        <w:ind w:left="1558" w:right="300"/>
      </w:pPr>
      <w:r>
        <w:rPr/>
        <w:t>區」、「人員通道」及「倒塌危害區</w:t>
      </w:r>
      <w:r>
        <w:rPr>
          <w:rFonts w:ascii="Calibri" w:eastAsia="Calibri"/>
        </w:rPr>
        <w:t>(</w:t>
      </w:r>
      <w:r>
        <w:rPr/>
        <w:t>紅區</w:t>
      </w:r>
      <w:r>
        <w:rPr>
          <w:rFonts w:ascii="Calibri" w:eastAsia="Calibri"/>
        </w:rPr>
        <w:t>)</w:t>
      </w:r>
      <w:r>
        <w:rPr/>
        <w:t>」，並嚴格禁止非作業必要人員進入紅區。</w:t>
      </w:r>
    </w:p>
    <w:p>
      <w:pPr>
        <w:pStyle w:val="Heading1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0" w:lineRule="exact" w:before="0" w:after="0"/>
        <w:ind w:left="838" w:right="0" w:hanging="360"/>
        <w:jc w:val="left"/>
      </w:pPr>
      <w:r>
        <w:rPr/>
        <w:t>人員層面：</w:t>
      </w:r>
    </w:p>
    <w:p>
      <w:pPr>
        <w:pStyle w:val="BodyText"/>
        <w:spacing w:line="225" w:lineRule="auto" w:before="6"/>
        <w:ind w:left="1558" w:right="207" w:hanging="360"/>
      </w:pPr>
      <w:r>
        <w:rPr>
          <w:rFonts w:ascii="Calibri" w:eastAsia="Calibri"/>
        </w:rPr>
        <w:t>1. </w:t>
      </w:r>
      <w:r>
        <w:rPr>
          <w:b/>
        </w:rPr>
        <w:t>實施物料儲存安全專項訓練：  </w:t>
      </w:r>
      <w:r>
        <w:rPr/>
        <w:t>針對所有相關人員（含管理幹部），利用本次事故案例，進行物料倒塌危害辨識與預防的專項訓練，確保全員了解新的 </w:t>
      </w:r>
      <w:r>
        <w:rPr>
          <w:rFonts w:ascii="Calibri" w:eastAsia="Calibri"/>
        </w:rPr>
        <w:t>SOP </w:t>
      </w:r>
      <w:r>
        <w:rPr/>
        <w:t>與安全規定。</w:t>
      </w:r>
    </w:p>
    <w:sectPr>
      <w:pgSz w:w="11910" w:h="16840"/>
      <w:pgMar w:top="1380" w:bottom="280" w:left="130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">
    <w:altName w:val="Segoe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微軟正黑體">
    <w:altName w:val="微軟正黑體"/>
    <w:charset w:val="88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1558" w:hanging="360"/>
        <w:jc w:val="left"/>
      </w:pPr>
      <w:rPr>
        <w:rFonts w:hint="default" w:ascii="Calibri" w:hAnsi="Calibri" w:eastAsia="Calibri" w:cs="Calibri"/>
        <w:spacing w:val="-15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4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3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2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0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9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9" w:hanging="36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558" w:hanging="360"/>
        <w:jc w:val="left"/>
      </w:pPr>
      <w:rPr>
        <w:rFonts w:hint="default" w:ascii="Calibri" w:hAnsi="Calibri" w:eastAsia="Calibri" w:cs="Calibri"/>
        <w:spacing w:val="-19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4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3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2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0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9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9" w:hanging="36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38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ind w:left="1558" w:hanging="360"/>
      </w:pPr>
      <w:rPr>
        <w:rFonts w:hint="default" w:ascii="Courier New" w:hAnsi="Courier New" w:eastAsia="Courier New" w:cs="Courier New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43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93" w:hanging="36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*"/>
      <w:lvlJc w:val="left"/>
      <w:pPr>
        <w:ind w:left="105" w:hanging="184"/>
      </w:pPr>
      <w:rPr>
        <w:rFonts w:hint="default" w:ascii="Segoe UI" w:hAnsi="Segoe UI" w:eastAsia="Segoe UI" w:cs="Segoe UI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487" w:hanging="18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74" w:hanging="1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61" w:hanging="1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48" w:hanging="1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35" w:hanging="1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22" w:hanging="1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09" w:hanging="1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96" w:hanging="184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0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22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4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6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28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30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32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4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36" w:hanging="252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555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50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45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40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35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30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25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0" w:hanging="25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8" w:hanging="360"/>
      </w:pPr>
      <w:rPr>
        <w:rFonts w:hint="default" w:ascii="Symbol" w:hAnsi="Symbol" w:eastAsia="Symbol" w:cs="Symbol"/>
        <w:w w:val="100"/>
        <w:sz w:val="20"/>
        <w:szCs w:val="20"/>
      </w:rPr>
    </w:lvl>
    <w:lvl w:ilvl="1">
      <w:start w:val="1"/>
      <w:numFmt w:val="decimal"/>
      <w:lvlText w:val="%2."/>
      <w:lvlJc w:val="left"/>
      <w:pPr>
        <w:ind w:left="1558" w:hanging="360"/>
        <w:jc w:val="left"/>
      </w:pPr>
      <w:rPr>
        <w:rFonts w:hint="default" w:ascii="Calibri" w:hAnsi="Calibri" w:eastAsia="Calibri" w:cs="Calibri"/>
        <w:spacing w:val="-18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43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93" w:hanging="360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軟正黑體" w:hAnsi="微軟正黑體" w:eastAsia="微軟正黑體" w:cs="微軟正黑體"/>
    </w:rPr>
  </w:style>
  <w:style w:styleId="BodyText" w:type="paragraph">
    <w:name w:val="Body Text"/>
    <w:basedOn w:val="Normal"/>
    <w:uiPriority w:val="1"/>
    <w:qFormat/>
    <w:pPr/>
    <w:rPr>
      <w:rFonts w:ascii="微軟正黑體" w:hAnsi="微軟正黑體" w:eastAsia="微軟正黑體" w:cs="微軟正黑體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428" w:lineRule="exact"/>
      <w:ind w:left="118"/>
      <w:outlineLvl w:val="1"/>
    </w:pPr>
    <w:rPr>
      <w:rFonts w:ascii="微軟正黑體" w:hAnsi="微軟正黑體" w:eastAsia="微軟正黑體" w:cs="微軟正黑體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415" w:lineRule="exact"/>
      <w:ind w:left="838" w:hanging="360"/>
    </w:pPr>
    <w:rPr>
      <w:rFonts w:ascii="微軟正黑體" w:hAnsi="微軟正黑體" w:eastAsia="微軟正黑體" w:cs="微軟正黑體"/>
    </w:rPr>
  </w:style>
  <w:style w:styleId="TableParagraph" w:type="paragraph">
    <w:name w:val="Table Paragraph"/>
    <w:basedOn w:val="Normal"/>
    <w:uiPriority w:val="1"/>
    <w:qFormat/>
    <w:pPr>
      <w:ind w:left="106"/>
    </w:pPr>
    <w:rPr>
      <w:rFonts w:ascii="微軟正黑體" w:hAnsi="微軟正黑體" w:eastAsia="微軟正黑體" w:cs="微軟正黑體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Ho</dc:creator>
  <dcterms:created xsi:type="dcterms:W3CDTF">2025-07-25T00:45:51Z</dcterms:created>
  <dcterms:modified xsi:type="dcterms:W3CDTF">2025-07-25T00:45:51Z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2025-07-15T00:00:00Z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2025-07-25T00:00:00Z</vt:filetime>
  </property>
</Properties>
</file>