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714" w:right="3714"/>
        <w:jc w:val="center"/>
      </w:pPr>
      <w:r>
        <w:rPr/>
        <w:t>倒塌案 </w:t>
      </w:r>
      <w:r>
        <w:rPr>
          <w:rFonts w:ascii="Calibri" w:eastAsia="Calibri"/>
        </w:rPr>
        <w:t>4_</w:t>
      </w:r>
      <w:r>
        <w:rPr/>
        <w:t>分析參考</w:t>
      </w:r>
    </w:p>
    <w:p>
      <w:pPr>
        <w:spacing w:before="267"/>
        <w:ind w:left="1962" w:right="0" w:firstLine="0"/>
        <w:jc w:val="left"/>
        <w:rPr>
          <w:b/>
          <w:sz w:val="24"/>
        </w:rPr>
      </w:pPr>
      <w:r>
        <w:rPr>
          <w:b/>
          <w:sz w:val="24"/>
        </w:rPr>
        <w:t>從事廢紙分檢作業發生廢紙堆崩塌災害調查分析報告</w:t>
      </w:r>
    </w:p>
    <w:p>
      <w:pPr>
        <w:pStyle w:val="BodyText"/>
        <w:spacing w:line="225" w:lineRule="auto" w:before="286"/>
        <w:ind w:left="115" w:right="208"/>
      </w:pPr>
      <w:r>
        <w:rPr>
          <w:b/>
        </w:rPr>
        <w:t>重要提醒： </w:t>
      </w:r>
      <w:r>
        <w:rPr/>
        <w:t>本分析報告是基於所提供案例的有限資訊 ，並結合事故調查的專業方法論進行。部分內容為根據邏輯與經驗所做的合理假設，並會明確標示為</w:t>
      </w:r>
    </w:p>
    <w:p>
      <w:pPr>
        <w:pStyle w:val="BodyText"/>
        <w:spacing w:line="225" w:lineRule="auto"/>
        <w:ind w:left="115" w:right="298"/>
      </w:pPr>
      <w:r>
        <w:rPr>
          <w:rFonts w:ascii="Calibri" w:eastAsia="Calibri"/>
          <w:b/>
        </w:rPr>
        <w:t>(</w:t>
      </w:r>
      <w:r>
        <w:rPr>
          <w:b/>
        </w:rPr>
        <w:t>假設</w:t>
      </w:r>
      <w:r>
        <w:rPr>
          <w:rFonts w:ascii="Calibri" w:eastAsia="Calibri"/>
          <w:b/>
        </w:rPr>
        <w:t>)</w:t>
      </w:r>
      <w:r>
        <w:rPr/>
        <w:t>。一場實際、完整的事故調查，需要更詳盡的現場勘查、人員訪談與物證檢驗來支持所有結論。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60.7pt;height:1.55pt;mso-position-horizontal-relative:page;mso-position-vertical-relative:paragraph;z-index:-1024;mso-wrap-distance-left:0;mso-wrap-distance-right:0" coordorigin="1276,155" coordsize="9214,31">
            <v:line style="position:absolute" from="1276,170" to="10489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484,157" stroked="true" strokeweight=".24pt" strokecolor="#9f9f9f">
              <v:stroke dashstyle="solid"/>
            </v:line>
            <v:rect style="position:absolute;left:10484;top:154;width:5;height:5" filled="true" fillcolor="#e2e2e2" stroked="false">
              <v:fill type="solid"/>
            </v:rect>
            <v:rect style="position:absolute;left:10484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484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484,183" stroked="true" strokeweight=".24pt" strokecolor="#e2e2e2">
              <v:stroke dashstyle="solid"/>
            </v:line>
            <v:rect style="position:absolute;left:10484;top:180;width:5;height:5" filled="true" fillcolor="#e2e2e2" stroked="false">
              <v:fill type="solid"/>
            </v:rect>
            <v:rect style="position:absolute;left:10484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非有害廢棄物清除業  </w:t>
      </w:r>
      <w:r>
        <w:rPr>
          <w:rFonts w:ascii="Calibri" w:hAnsi="Calibri" w:eastAsia="Calibri"/>
          <w:sz w:val="24"/>
        </w:rPr>
        <w:t>(3811)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物體崩塌  </w:t>
      </w:r>
      <w:r>
        <w:rPr>
          <w:rFonts w:ascii="Calibri" w:hAnsi="Calibri" w:eastAsia="Calibri"/>
          <w:sz w:val="24"/>
        </w:rPr>
        <w:t>(5)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媒介物： </w:t>
      </w:r>
      <w:r>
        <w:rPr>
          <w:sz w:val="24"/>
        </w:rPr>
        <w:t>其他（廢紙堆）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sz w:val="24"/>
        </w:rPr>
        <w:t>民國 </w:t>
      </w:r>
      <w:r>
        <w:rPr>
          <w:rFonts w:ascii="Calibri" w:hAnsi="Calibri" w:eastAsia="Calibri"/>
          <w:sz w:val="24"/>
        </w:rPr>
        <w:t>111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日約 </w:t>
      </w:r>
      <w:r>
        <w:rPr>
          <w:rFonts w:ascii="Calibri" w:hAnsi="Calibri" w:eastAsia="Calibri"/>
          <w:sz w:val="24"/>
        </w:rPr>
        <w:t>14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10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分至 </w:t>
      </w:r>
      <w:r>
        <w:rPr>
          <w:rFonts w:ascii="Calibri" w:hAnsi="Calibri" w:eastAsia="Calibri"/>
          <w:sz w:val="24"/>
        </w:rPr>
        <w:t>14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50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分之間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某股份有限公司台東廠，備料廢紙分檢區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5" w:lineRule="auto" w:before="6" w:after="0"/>
        <w:ind w:left="835" w:right="304" w:hanging="360"/>
        <w:jc w:val="both"/>
        <w:rPr>
          <w:sz w:val="24"/>
        </w:rPr>
      </w:pPr>
      <w:r>
        <w:rPr>
          <w:b/>
          <w:sz w:val="24"/>
        </w:rPr>
        <w:t>事故摘要： </w:t>
      </w:r>
      <w:r>
        <w:rPr>
          <w:sz w:val="24"/>
        </w:rPr>
        <w:t>分檢班勞工劉</w:t>
      </w:r>
      <w:r>
        <w:rPr>
          <w:rFonts w:ascii="Calibri" w:hAnsi="Calibri" w:eastAsia="Calibri"/>
          <w:sz w:val="24"/>
        </w:rPr>
        <w:t>○○</w:t>
      </w:r>
      <w:r>
        <w:rPr>
          <w:spacing w:val="-1"/>
          <w:sz w:val="24"/>
        </w:rPr>
        <w:t>於下午休息時間，獨自進入廢紙分檢作業區進行廢</w:t>
      </w:r>
      <w:r>
        <w:rPr>
          <w:sz w:val="24"/>
        </w:rPr>
        <w:t>紙粒剪鐵線作業 。與此同時，鏟車正在該區域進行廢紙集中堆置作業 。約 </w:t>
      </w:r>
      <w:r>
        <w:rPr>
          <w:rFonts w:ascii="Calibri" w:hAnsi="Calibri" w:eastAsia="Calibri"/>
          <w:sz w:val="24"/>
        </w:rPr>
        <w:t>14 </w:t>
      </w:r>
      <w:r>
        <w:rPr>
          <w:spacing w:val="-1"/>
          <w:sz w:val="24"/>
        </w:rPr>
        <w:t>時 </w:t>
      </w:r>
      <w:r>
        <w:rPr>
          <w:rFonts w:ascii="Calibri" w:hAnsi="Calibri" w:eastAsia="Calibri"/>
          <w:sz w:val="24"/>
        </w:rPr>
        <w:t>50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分，同事發現劉員失蹤，經調閱監視器並以鏟車開挖搜尋後，於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時 </w:t>
      </w:r>
      <w:r>
        <w:rPr>
          <w:rFonts w:ascii="Calibri" w:hAnsi="Calibri" w:eastAsia="Calibri"/>
          <w:sz w:val="24"/>
        </w:rPr>
        <w:t>20 </w:t>
      </w:r>
      <w:r>
        <w:rPr>
          <w:sz w:val="24"/>
        </w:rPr>
        <w:t>分發現劉員被埋在廢紙堆內，送醫後宣告不治 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67074pt;width:460.7pt;height:1.55pt;mso-position-horizontal-relative:page;mso-position-vertical-relative:paragraph;z-index:-1000;mso-wrap-distance-left:0;mso-wrap-distance-right:0" coordorigin="1276,155" coordsize="9214,31">
            <v:line style="position:absolute" from="1276,170" to="10489,170" stroked="true" strokeweight="1.5pt" strokecolor="#9f9f9f">
              <v:stroke dashstyle="solid"/>
            </v:line>
            <v:rect style="position:absolute;left:1275;top:155;width:5;height:5" filled="true" fillcolor="#9f9f9f" stroked="false">
              <v:fill type="solid"/>
            </v:rect>
            <v:rect style="position:absolute;left:1275;top:155;width:5;height:5" filled="true" fillcolor="#9f9f9f" stroked="false">
              <v:fill type="solid"/>
            </v:rect>
            <v:line style="position:absolute" from="1280,158" to="10484,158" stroked="true" strokeweight=".24pt" strokecolor="#9f9f9f">
              <v:stroke dashstyle="solid"/>
            </v:line>
            <v:rect style="position:absolute;left:10484;top:155;width:5;height:5" filled="true" fillcolor="#e2e2e2" stroked="false">
              <v:fill type="solid"/>
            </v:rect>
            <v:rect style="position:absolute;left:10484;top:155;width:5;height:5" filled="true" fillcolor="#9f9f9f" stroked="false">
              <v:fill type="solid"/>
            </v:rect>
            <v:rect style="position:absolute;left:1275;top:160;width:5;height:21" filled="true" fillcolor="#9f9f9f" stroked="false">
              <v:fill type="solid"/>
            </v:rect>
            <v:rect style="position:absolute;left:10484;top:160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484,183" stroked="true" strokeweight=".24pt" strokecolor="#e2e2e2">
              <v:stroke dashstyle="solid"/>
            </v:line>
            <v:rect style="position:absolute;left:10484;top:180;width:5;height:5" filled="true" fillcolor="#e2e2e2" stroked="false">
              <v:fill type="solid"/>
            </v:rect>
            <v:rect style="position:absolute;left:10484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115"/>
      </w:pPr>
      <w:r>
        <w:rPr/>
        <w:t>此圖將事故發生的事件及相關條件按時間順序呈現，以視覺化方式釐清因果關係。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60" w:right="13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816"/>
        <w:rPr>
          <w:sz w:val="20"/>
        </w:rPr>
      </w:pPr>
      <w:r>
        <w:rPr>
          <w:sz w:val="20"/>
        </w:rPr>
        <w:drawing>
          <wp:inline distT="0" distB="0" distL="0" distR="0">
            <wp:extent cx="4061963" cy="306562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963" cy="30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group style="position:absolute;margin-left:63.779999pt;margin-top:17.651312pt;width:460.7pt;height:1.55pt;mso-position-horizontal-relative:page;mso-position-vertical-relative:paragraph;z-index:-976;mso-wrap-distance-left:0;mso-wrap-distance-right:0" coordorigin="1276,353" coordsize="9214,31">
            <v:line style="position:absolute" from="1276,368" to="10489,368" stroked="true" strokeweight="1.5pt" strokecolor="#9f9f9f">
              <v:stroke dashstyle="solid"/>
            </v:line>
            <v:rect style="position:absolute;left:1275;top:353;width:5;height:5" filled="true" fillcolor="#9f9f9f" stroked="false">
              <v:fill type="solid"/>
            </v:rect>
            <v:rect style="position:absolute;left:1275;top:353;width:5;height:5" filled="true" fillcolor="#9f9f9f" stroked="false">
              <v:fill type="solid"/>
            </v:rect>
            <v:line style="position:absolute" from="1280,355" to="10484,355" stroked="true" strokeweight=".24pt" strokecolor="#9f9f9f">
              <v:stroke dashstyle="solid"/>
            </v:line>
            <v:rect style="position:absolute;left:10484;top:353;width:5;height:5" filled="true" fillcolor="#e2e2e2" stroked="false">
              <v:fill type="solid"/>
            </v:rect>
            <v:rect style="position:absolute;left:10484;top:353;width:5;height:5" filled="true" fillcolor="#9f9f9f" stroked="false">
              <v:fill type="solid"/>
            </v:rect>
            <v:rect style="position:absolute;left:1275;top:357;width:5;height:21" filled="true" fillcolor="#9f9f9f" stroked="false">
              <v:fill type="solid"/>
            </v:rect>
            <v:rect style="position:absolute;left:10484;top:357;width:5;height:21" filled="true" fillcolor="#e2e2e2" stroked="false">
              <v:fill type="solid"/>
            </v:rect>
            <v:rect style="position:absolute;left:1275;top:378;width:5;height:5" filled="true" fillcolor="#9f9f9f" stroked="false">
              <v:fill type="solid"/>
            </v:rect>
            <v:rect style="position:absolute;left:1275;top:378;width:5;height:5" filled="true" fillcolor="#e2e2e2" stroked="false">
              <v:fill type="solid"/>
            </v:rect>
            <v:line style="position:absolute" from="1280,381" to="10484,381" stroked="true" strokeweight=".24pt" strokecolor="#e2e2e2">
              <v:stroke dashstyle="solid"/>
            </v:line>
            <v:rect style="position:absolute;left:10484;top:378;width:5;height:5" filled="true" fillcolor="#e2e2e2" stroked="false">
              <v:fill type="solid"/>
            </v:rect>
            <v:rect style="position:absolute;left:10484;top:3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15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2215"/>
        <w:gridCol w:w="657"/>
        <w:gridCol w:w="964"/>
        <w:gridCol w:w="1775"/>
        <w:gridCol w:w="2292"/>
      </w:tblGrid>
      <w:tr>
        <w:trPr>
          <w:trHeight w:val="1037" w:hRule="atLeast"/>
        </w:trPr>
        <w:tc>
          <w:tcPr>
            <w:tcW w:w="1297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215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57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64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775" w:type="dxa"/>
          </w:tcPr>
          <w:p>
            <w:pPr>
              <w:pStyle w:val="TableParagraph"/>
              <w:spacing w:line="225" w:lineRule="auto"/>
              <w:ind w:left="110" w:right="178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92" w:type="dxa"/>
          </w:tcPr>
          <w:p>
            <w:pPr>
              <w:pStyle w:val="TableParagraph"/>
              <w:spacing w:line="225" w:lineRule="auto"/>
              <w:ind w:left="111" w:right="28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690" w:hRule="atLeast"/>
        </w:trPr>
        <w:tc>
          <w:tcPr>
            <w:tcW w:w="1297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111/1/6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13:50-15:00</w:t>
            </w:r>
          </w:p>
        </w:tc>
        <w:tc>
          <w:tcPr>
            <w:tcW w:w="2215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分檢班人員於休息室</w:t>
            </w:r>
          </w:p>
          <w:p>
            <w:pPr>
              <w:pStyle w:val="TableParagraph"/>
              <w:spacing w:line="338" w:lineRule="exact"/>
              <w:ind w:left="108"/>
              <w:rPr>
                <w:sz w:val="20"/>
              </w:rPr>
            </w:pPr>
            <w:r>
              <w:rPr>
                <w:sz w:val="20"/>
              </w:rPr>
              <w:t>休 息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spacing w:line="254" w:lineRule="exact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75" w:type="dxa"/>
          </w:tcPr>
          <w:p>
            <w:pPr>
              <w:pStyle w:val="TableParagraph"/>
              <w:spacing w:line="254" w:lineRule="exact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  <w:tc>
          <w:tcPr>
            <w:tcW w:w="2292" w:type="dxa"/>
          </w:tcPr>
          <w:p>
            <w:pPr>
              <w:pStyle w:val="TableParagraph"/>
              <w:spacing w:line="254" w:lineRule="exact"/>
              <w:ind w:left="111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  <w:tr>
        <w:trPr>
          <w:trHeight w:val="1730" w:hRule="atLeast"/>
        </w:trPr>
        <w:tc>
          <w:tcPr>
            <w:tcW w:w="1297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111/1/6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13:50-15:00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/>
              <w:ind w:left="108" w:right="293"/>
              <w:jc w:val="both"/>
              <w:rPr>
                <w:sz w:val="20"/>
              </w:rPr>
            </w:pPr>
            <w:r>
              <w:rPr>
                <w:sz w:val="20"/>
              </w:rPr>
              <w:t>鏟車司機石員等人駕駛鏟車進行廢紙集中堆置作業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spacing w:line="254" w:lineRule="exact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7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3" w:val="left" w:leader="none"/>
              </w:tabs>
              <w:spacing w:line="225" w:lineRule="auto" w:before="0" w:after="0"/>
              <w:ind w:left="110" w:right="200" w:firstLine="0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堆置作業改變</w:t>
            </w:r>
            <w:r>
              <w:rPr>
                <w:sz w:val="20"/>
              </w:rPr>
              <w:t>了廢紙堆的穩定性。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3" w:val="left" w:leader="none"/>
              </w:tabs>
              <w:spacing w:line="342" w:lineRule="exact" w:before="0" w:after="0"/>
              <w:ind w:left="362" w:right="0" w:hanging="25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人機同時同區</w:t>
            </w:r>
          </w:p>
          <w:p>
            <w:pPr>
              <w:pStyle w:val="TableParagraph"/>
              <w:spacing w:line="338" w:lineRule="exact"/>
              <w:ind w:left="11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作業</w:t>
            </w:r>
            <w:r>
              <w:rPr>
                <w:sz w:val="20"/>
              </w:rPr>
              <w:t>。</w:t>
            </w:r>
          </w:p>
        </w:tc>
        <w:tc>
          <w:tcPr>
            <w:tcW w:w="22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</w:tabs>
              <w:spacing w:line="225" w:lineRule="auto" w:before="0" w:after="0"/>
              <w:ind w:left="111" w:right="11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未建立人機分離的管</w:t>
            </w:r>
            <w:r>
              <w:rPr>
                <w:sz w:val="20"/>
              </w:rPr>
              <w:t>制程序。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</w:tabs>
              <w:spacing w:line="225" w:lineRule="auto" w:before="0" w:after="0"/>
              <w:ind w:left="111" w:right="11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風險評估未能辨識出</w:t>
            </w:r>
            <w:r>
              <w:rPr>
                <w:sz w:val="20"/>
              </w:rPr>
              <w:t>此一嚴重危害。</w:t>
            </w:r>
          </w:p>
        </w:tc>
      </w:tr>
      <w:tr>
        <w:trPr>
          <w:trHeight w:val="1730" w:hRule="atLeast"/>
        </w:trPr>
        <w:tc>
          <w:tcPr>
            <w:tcW w:w="1297" w:type="dxa"/>
          </w:tcPr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111/1/6 </w:t>
            </w:r>
            <w:r>
              <w:rPr>
                <w:sz w:val="20"/>
              </w:rPr>
              <w:t>約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14:10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/>
              <w:ind w:left="108" w:right="293"/>
              <w:rPr>
                <w:sz w:val="20"/>
              </w:rPr>
            </w:pPr>
            <w:r>
              <w:rPr>
                <w:sz w:val="20"/>
              </w:rPr>
              <w:t>罹災者劉員獨自進入廢紙分檢作業區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spacing w:line="254" w:lineRule="exact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3" w:val="left" w:leader="none"/>
              </w:tabs>
              <w:spacing w:line="225" w:lineRule="auto" w:before="0" w:after="0"/>
              <w:ind w:left="110" w:right="20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於休息時間擅</w:t>
            </w:r>
            <w:r>
              <w:rPr>
                <w:sz w:val="20"/>
              </w:rPr>
              <w:t>自作業。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3" w:val="left" w:leader="none"/>
              </w:tabs>
              <w:spacing w:line="225" w:lineRule="auto" w:before="0" w:after="0"/>
              <w:ind w:left="110" w:right="20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未向主管或同</w:t>
            </w:r>
            <w:r>
              <w:rPr>
                <w:sz w:val="20"/>
              </w:rPr>
              <w:t>事告知。</w:t>
            </w:r>
          </w:p>
        </w:tc>
        <w:tc>
          <w:tcPr>
            <w:tcW w:w="229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64" w:val="left" w:leader="none"/>
              </w:tabs>
              <w:spacing w:line="225" w:lineRule="auto" w:before="0" w:after="0"/>
              <w:ind w:left="111" w:right="11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休息時間管理與監督</w:t>
            </w:r>
            <w:r>
              <w:rPr>
                <w:sz w:val="20"/>
              </w:rPr>
              <w:t>機制失效。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4" w:val="left" w:leader="none"/>
              </w:tabs>
              <w:spacing w:line="225" w:lineRule="auto" w:before="0" w:after="0"/>
              <w:ind w:left="111" w:right="11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安全文化薄弱，員工</w:t>
            </w:r>
            <w:r>
              <w:rPr>
                <w:sz w:val="20"/>
              </w:rPr>
              <w:t>可能為求效率而便宜行</w:t>
            </w:r>
          </w:p>
          <w:p>
            <w:pPr>
              <w:pStyle w:val="TableParagraph"/>
              <w:spacing w:line="334" w:lineRule="exact"/>
              <w:ind w:left="111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事。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297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111/1/6 </w:t>
            </w:r>
            <w:r>
              <w:rPr>
                <w:sz w:val="20"/>
              </w:rPr>
              <w:t>約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14:10 </w:t>
            </w:r>
            <w:r>
              <w:rPr>
                <w:sz w:val="20"/>
              </w:rPr>
              <w:t>後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/>
              <w:ind w:left="108" w:right="293"/>
              <w:rPr>
                <w:sz w:val="20"/>
              </w:rPr>
            </w:pPr>
            <w:r>
              <w:rPr>
                <w:sz w:val="20"/>
              </w:rPr>
              <w:t>劉員在廢紙堆旁進行剪鐵線作業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spacing w:line="254" w:lineRule="exact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spacing w:line="225" w:lineRule="auto"/>
              <w:ind w:left="110" w:right="251"/>
              <w:rPr>
                <w:sz w:val="20"/>
              </w:rPr>
            </w:pPr>
            <w:r>
              <w:rPr>
                <w:sz w:val="20"/>
              </w:rPr>
              <w:t>處於物料堆崩塌的潛在危害範圍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內。</w:t>
            </w:r>
          </w:p>
        </w:tc>
        <w:tc>
          <w:tcPr>
            <w:tcW w:w="2292" w:type="dxa"/>
          </w:tcPr>
          <w:p>
            <w:pPr>
              <w:pStyle w:val="TableParagraph"/>
              <w:spacing w:line="225" w:lineRule="auto"/>
              <w:ind w:left="111" w:right="166"/>
              <w:rPr>
                <w:sz w:val="20"/>
              </w:rPr>
            </w:pPr>
            <w:r>
              <w:rPr>
                <w:sz w:val="20"/>
              </w:rPr>
              <w:t>缺乏對在鬆散物料堆旁作業的危害認知。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580" w:bottom="280" w:left="1160" w:right="1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2215"/>
        <w:gridCol w:w="657"/>
        <w:gridCol w:w="964"/>
        <w:gridCol w:w="1775"/>
        <w:gridCol w:w="2292"/>
      </w:tblGrid>
      <w:tr>
        <w:trPr>
          <w:trHeight w:val="1730" w:hRule="atLeast"/>
        </w:trPr>
        <w:tc>
          <w:tcPr>
            <w:tcW w:w="1297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111/1/6 </w:t>
            </w:r>
            <w:r>
              <w:rPr>
                <w:sz w:val="20"/>
              </w:rPr>
              <w:t>約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14:50 </w:t>
            </w:r>
            <w:r>
              <w:rPr>
                <w:sz w:val="20"/>
              </w:rPr>
              <w:t>前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 w:before="4"/>
              <w:ind w:left="108" w:right="293"/>
              <w:rPr>
                <w:sz w:val="20"/>
              </w:rPr>
            </w:pPr>
            <w:r>
              <w:rPr>
                <w:sz w:val="20"/>
              </w:rPr>
              <w:t>廢紙堆崩塌並掩埋罹災者劉員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3" w:val="left" w:leader="none"/>
              </w:tabs>
              <w:spacing w:line="225" w:lineRule="auto" w:before="4" w:after="0"/>
              <w:ind w:left="110" w:right="200" w:firstLine="0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廢紙堆因自身</w:t>
            </w:r>
            <w:r>
              <w:rPr>
                <w:sz w:val="20"/>
              </w:rPr>
              <w:t>重量與堆疊擾動而失穩。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3" w:val="left" w:leader="none"/>
              </w:tabs>
              <w:spacing w:line="342" w:lineRule="exact" w:before="0" w:after="0"/>
              <w:ind w:left="362" w:right="0" w:hanging="252"/>
              <w:jc w:val="both"/>
              <w:rPr>
                <w:sz w:val="20"/>
              </w:rPr>
            </w:pPr>
            <w:r>
              <w:rPr>
                <w:sz w:val="20"/>
              </w:rPr>
              <w:t>人員位於崩塌</w:t>
            </w:r>
          </w:p>
          <w:p>
            <w:pPr>
              <w:pStyle w:val="TableParagraph"/>
              <w:spacing w:line="327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的路徑上。</w:t>
            </w:r>
          </w:p>
        </w:tc>
        <w:tc>
          <w:tcPr>
            <w:tcW w:w="2292" w:type="dxa"/>
          </w:tcPr>
          <w:p>
            <w:pPr>
              <w:pStyle w:val="TableParagraph"/>
              <w:spacing w:line="225" w:lineRule="auto" w:before="4"/>
              <w:ind w:left="111" w:right="166"/>
              <w:jc w:val="both"/>
              <w:rPr>
                <w:sz w:val="20"/>
              </w:rPr>
            </w:pPr>
            <w:r>
              <w:rPr>
                <w:sz w:val="20"/>
              </w:rPr>
              <w:t>這是所有不安全狀況與不安全行為共同導致的最終結果。</w:t>
            </w:r>
          </w:p>
        </w:tc>
      </w:tr>
      <w:tr>
        <w:trPr>
          <w:trHeight w:val="1037" w:hRule="atLeast"/>
        </w:trPr>
        <w:tc>
          <w:tcPr>
            <w:tcW w:w="1297" w:type="dxa"/>
          </w:tcPr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111/1/6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14:50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 w:before="4"/>
              <w:ind w:left="108" w:right="293"/>
              <w:rPr>
                <w:sz w:val="20"/>
              </w:rPr>
            </w:pPr>
            <w:r>
              <w:rPr>
                <w:sz w:val="20"/>
              </w:rPr>
              <w:t>同事黃員發現劉員不在休息室，通報班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長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spacing w:line="225" w:lineRule="auto" w:before="4"/>
              <w:ind w:left="110" w:right="251"/>
              <w:rPr>
                <w:sz w:val="20"/>
              </w:rPr>
            </w:pPr>
            <w:r>
              <w:rPr>
                <w:sz w:val="20"/>
              </w:rPr>
              <w:t>人員清點與掌握機制存在漏洞。</w:t>
            </w:r>
          </w:p>
        </w:tc>
        <w:tc>
          <w:tcPr>
            <w:tcW w:w="2292" w:type="dxa"/>
          </w:tcPr>
          <w:p>
            <w:pPr>
              <w:pStyle w:val="TableParagraph"/>
              <w:ind w:left="111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  <w:tr>
        <w:trPr>
          <w:trHeight w:val="1037" w:hRule="atLeast"/>
        </w:trPr>
        <w:tc>
          <w:tcPr>
            <w:tcW w:w="1297" w:type="dxa"/>
          </w:tcPr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111/1/6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15:20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auto" w:before="4"/>
              <w:ind w:left="108" w:right="293"/>
              <w:rPr>
                <w:sz w:val="20"/>
              </w:rPr>
            </w:pPr>
            <w:r>
              <w:rPr>
                <w:sz w:val="20"/>
              </w:rPr>
              <w:t>經調閱監視器後，由鏟車開挖尋獲被埋的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劉 員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  <w:tc>
          <w:tcPr>
            <w:tcW w:w="2292" w:type="dxa"/>
          </w:tcPr>
          <w:p>
            <w:pPr>
              <w:pStyle w:val="TableParagraph"/>
              <w:spacing w:line="225" w:lineRule="auto" w:before="4"/>
              <w:ind w:left="111" w:right="166"/>
              <w:rPr>
                <w:sz w:val="20"/>
              </w:rPr>
            </w:pPr>
            <w:r>
              <w:rPr>
                <w:sz w:val="20"/>
              </w:rPr>
              <w:t>缺乏有效的緊急應變與搜救計畫。</w:t>
            </w:r>
          </w:p>
        </w:tc>
      </w:tr>
      <w:tr>
        <w:trPr>
          <w:trHeight w:val="691" w:hRule="atLeast"/>
        </w:trPr>
        <w:tc>
          <w:tcPr>
            <w:tcW w:w="1297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111/1/6 </w:t>
            </w:r>
            <w:r>
              <w:rPr>
                <w:sz w:val="20"/>
              </w:rPr>
              <w:t>事</w:t>
            </w:r>
          </w:p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215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罹災者經送醫急救仍</w:t>
            </w:r>
          </w:p>
          <w:p>
            <w:pPr>
              <w:pStyle w:val="TableParagraph"/>
              <w:spacing w:line="327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 治 。</w:t>
            </w:r>
          </w:p>
        </w:tc>
        <w:tc>
          <w:tcPr>
            <w:tcW w:w="657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4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75" w:type="dxa"/>
          </w:tcPr>
          <w:p>
            <w:pPr>
              <w:pStyle w:val="TableParagraph"/>
              <w:spacing w:line="345" w:lineRule="exact"/>
              <w:ind w:left="110"/>
              <w:rPr>
                <w:sz w:val="20"/>
              </w:rPr>
            </w:pPr>
            <w:r>
              <w:rPr>
                <w:sz w:val="20"/>
              </w:rPr>
              <w:t>因遭掩埋導致窒</w:t>
            </w:r>
          </w:p>
          <w:p>
            <w:pPr>
              <w:pStyle w:val="TableParagraph"/>
              <w:spacing w:line="327" w:lineRule="exact"/>
              <w:ind w:left="110"/>
              <w:rPr>
                <w:sz w:val="20"/>
              </w:rPr>
            </w:pPr>
            <w:r>
              <w:rPr>
                <w:sz w:val="20"/>
              </w:rPr>
              <w:t>息或壓砸傷。</w:t>
            </w:r>
          </w:p>
        </w:tc>
        <w:tc>
          <w:tcPr>
            <w:tcW w:w="2292" w:type="dxa"/>
          </w:tcPr>
          <w:p>
            <w:pPr>
              <w:pStyle w:val="TableParagraph"/>
              <w:ind w:left="111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10001pt;width:460.7pt;height:1.55pt;mso-position-horizontal-relative:page;mso-position-vertical-relative:paragraph;z-index:-952;mso-wrap-distance-left:0;mso-wrap-distance-right:0" coordorigin="1276,452" coordsize="9214,31">
            <v:line style="position:absolute" from="1276,467" to="10489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484,455" stroked="true" strokeweight=".239pt" strokecolor="#9f9f9f">
              <v:stroke dashstyle="solid"/>
            </v:line>
            <v:rect style="position:absolute;left:10484;top:452;width:5;height:5" filled="true" fillcolor="#e2e2e2" stroked="false">
              <v:fill type="solid"/>
            </v:rect>
            <v:rect style="position:absolute;left:10484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484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484,480" stroked="true" strokeweight=".239pt" strokecolor="#e2e2e2">
              <v:stroke dashstyle="solid"/>
            </v:line>
            <v:rect style="position:absolute;left:10484;top:477;width:5;height:5" filled="true" fillcolor="#e2e2e2" stroked="false">
              <v:fill type="solid"/>
            </v:rect>
            <v:rect style="position:absolute;left:10484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115"/>
      </w:pPr>
      <w:r>
        <w:rPr/>
        <w:t>本分析從最終的傷害事件開始，透過不斷追問「為什麼」來探究事件的根本原因。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1619250</wp:posOffset>
            </wp:positionH>
            <wp:positionV relativeFrom="paragraph">
              <wp:posOffset>125340</wp:posOffset>
            </wp:positionV>
            <wp:extent cx="4619450" cy="4366545"/>
            <wp:effectExtent l="0" t="0" r="0" b="0"/>
            <wp:wrapTopAndBottom/>
            <wp:docPr id="3" name="image2.png" descr="一張含有 文字, 螢幕擷取畫面, 字型, 數字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450" cy="4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3"/>
        </w:rPr>
      </w:pPr>
      <w:r>
        <w:rPr/>
        <w:pict>
          <v:group style="position:absolute;margin-left:63.779999pt;margin-top:14.592544pt;width:460.7pt;height:1.55pt;mso-position-horizontal-relative:page;mso-position-vertical-relative:paragraph;z-index:-904;mso-wrap-distance-left:0;mso-wrap-distance-right:0" coordorigin="1276,292" coordsize="9214,31">
            <v:line style="position:absolute" from="1276,307" to="10489,307" stroked="true" strokeweight="1.5pt" strokecolor="#9f9f9f">
              <v:stroke dashstyle="solid"/>
            </v:line>
            <v:rect style="position:absolute;left:1275;top:291;width:5;height:5" filled="true" fillcolor="#9f9f9f" stroked="false">
              <v:fill type="solid"/>
            </v:rect>
            <v:rect style="position:absolute;left:1275;top:291;width:5;height:5" filled="true" fillcolor="#9f9f9f" stroked="false">
              <v:fill type="solid"/>
            </v:rect>
            <v:line style="position:absolute" from="1280,294" to="10484,294" stroked="true" strokeweight=".24pt" strokecolor="#9f9f9f">
              <v:stroke dashstyle="solid"/>
            </v:line>
            <v:rect style="position:absolute;left:10484;top:291;width:5;height:5" filled="true" fillcolor="#e2e2e2" stroked="false">
              <v:fill type="solid"/>
            </v:rect>
            <v:rect style="position:absolute;left:10484;top:291;width:5;height:5" filled="true" fillcolor="#9f9f9f" stroked="false">
              <v:fill type="solid"/>
            </v:rect>
            <v:rect style="position:absolute;left:1275;top:296;width:5;height:21" filled="true" fillcolor="#9f9f9f" stroked="false">
              <v:fill type="solid"/>
            </v:rect>
            <v:rect style="position:absolute;left:10484;top:296;width:5;height:21" filled="true" fillcolor="#e2e2e2" stroked="false">
              <v:fill type="solid"/>
            </v:rect>
            <v:rect style="position:absolute;left:1275;top:317;width:5;height:5" filled="true" fillcolor="#9f9f9f" stroked="false">
              <v:fill type="solid"/>
            </v:rect>
            <v:rect style="position:absolute;left:1275;top:317;width:5;height:5" filled="true" fillcolor="#e2e2e2" stroked="false">
              <v:fill type="solid"/>
            </v:rect>
            <v:line style="position:absolute" from="1280,319" to="10484,319" stroked="true" strokeweight=".24pt" strokecolor="#e2e2e2">
              <v:stroke dashstyle="solid"/>
            </v:line>
            <v:rect style="position:absolute;left:10484;top:317;width:5;height:5" filled="true" fillcolor="#e2e2e2" stroked="false">
              <v:fill type="solid"/>
            </v:rect>
            <v:rect style="position:absolute;left:10484;top:317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420" w:bottom="280" w:left="1160" w:right="1300"/>
        </w:sectPr>
      </w:pPr>
    </w:p>
    <w:p>
      <w:pPr>
        <w:pStyle w:val="Heading1"/>
        <w:spacing w:before="28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1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鬆散物料堆（廢紙堆）崩塌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罹災者劉員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1213"/>
        <w:gridCol w:w="937"/>
        <w:gridCol w:w="2306"/>
        <w:gridCol w:w="3949"/>
      </w:tblGrid>
      <w:tr>
        <w:trPr>
          <w:trHeight w:val="1383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213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37" w:type="dxa"/>
          </w:tcPr>
          <w:p>
            <w:pPr>
              <w:pStyle w:val="TableParagraph"/>
              <w:spacing w:line="225" w:lineRule="auto"/>
              <w:ind w:right="215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306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949" w:type="dxa"/>
          </w:tcPr>
          <w:p>
            <w:pPr>
              <w:pStyle w:val="TableParagraph"/>
              <w:spacing w:line="343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行政管理</w:t>
            </w:r>
          </w:p>
          <w:p>
            <w:pPr>
              <w:pStyle w:val="TableParagraph"/>
              <w:spacing w:line="342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213" w:type="dxa"/>
          </w:tcPr>
          <w:p>
            <w:pPr>
              <w:pStyle w:val="TableParagraph"/>
              <w:spacing w:line="225" w:lineRule="auto"/>
              <w:ind w:right="119" w:hanging="1"/>
              <w:jc w:val="both"/>
              <w:rPr>
                <w:b/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b/>
                <w:sz w:val="20"/>
              </w:rPr>
              <w:t>人機作業分離管制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最關鍵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屏障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937" w:type="dxa"/>
          </w:tcPr>
          <w:p>
            <w:pPr>
              <w:pStyle w:val="TableParagraph"/>
              <w:spacing w:line="225" w:lineRule="auto"/>
              <w:ind w:right="215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2306" w:type="dxa"/>
          </w:tcPr>
          <w:p>
            <w:pPr>
              <w:pStyle w:val="TableParagraph"/>
              <w:spacing w:line="225" w:lineRule="auto"/>
              <w:ind w:left="108" w:right="184"/>
              <w:rPr>
                <w:sz w:val="20"/>
              </w:rPr>
            </w:pPr>
            <w:r>
              <w:rPr>
                <w:spacing w:val="-2"/>
                <w:sz w:val="20"/>
              </w:rPr>
              <w:t>未建立任何「鏟車堆料</w:t>
            </w:r>
            <w:r>
              <w:rPr>
                <w:sz w:val="20"/>
              </w:rPr>
              <w:t>時，人員淨空」的規 定。</w:t>
            </w:r>
          </w:p>
        </w:tc>
        <w:tc>
          <w:tcPr>
            <w:tcW w:w="3949" w:type="dxa"/>
          </w:tcPr>
          <w:p>
            <w:pPr>
              <w:pStyle w:val="TableParagraph"/>
              <w:spacing w:line="225" w:lineRule="auto"/>
              <w:ind w:left="108" w:right="106"/>
              <w:rPr>
                <w:sz w:val="20"/>
              </w:rPr>
            </w:pPr>
            <w:r>
              <w:rPr>
                <w:sz w:val="20"/>
              </w:rPr>
              <w:t>這是最致命的屏障失效。它允許了「移動</w:t>
            </w:r>
            <w:r>
              <w:rPr>
                <w:spacing w:val="-1"/>
                <w:sz w:val="20"/>
              </w:rPr>
              <w:t>性危害源</w:t>
            </w: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pacing w:val="-1"/>
                <w:sz w:val="20"/>
              </w:rPr>
              <w:t>鏟車</w:t>
            </w:r>
            <w:r>
              <w:rPr>
                <w:rFonts w:ascii="Segoe UI" w:eastAsia="Segoe UI"/>
                <w:spacing w:val="-1"/>
                <w:sz w:val="20"/>
              </w:rPr>
              <w:t>)</w:t>
            </w:r>
            <w:r>
              <w:rPr>
                <w:spacing w:val="-3"/>
                <w:sz w:val="20"/>
              </w:rPr>
              <w:t>」和「暴露於危害中的人員</w:t>
            </w:r>
          </w:p>
          <w:p>
            <w:pPr>
              <w:pStyle w:val="TableParagraph"/>
              <w:spacing w:line="342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pacing w:val="-1"/>
                <w:sz w:val="20"/>
              </w:rPr>
              <w:t>罹災者</w:t>
            </w:r>
            <w:r>
              <w:rPr>
                <w:rFonts w:ascii="Segoe UI" w:eastAsia="Segoe UI"/>
                <w:spacing w:val="-1"/>
                <w:sz w:val="20"/>
              </w:rPr>
              <w:t>)</w:t>
            </w:r>
            <w:r>
              <w:rPr>
                <w:spacing w:val="-1"/>
                <w:sz w:val="20"/>
              </w:rPr>
              <w:t>」同時存在於同一空間，使得事故</w:t>
            </w:r>
          </w:p>
          <w:p>
            <w:pPr>
              <w:pStyle w:val="TableParagraph"/>
              <w:spacing w:line="338" w:lineRule="exact"/>
              <w:ind w:left="108"/>
              <w:rPr>
                <w:sz w:val="20"/>
              </w:rPr>
            </w:pPr>
            <w:r>
              <w:rPr>
                <w:sz w:val="20"/>
              </w:rPr>
              <w:t>發生機率大幅提高。</w:t>
            </w:r>
          </w:p>
        </w:tc>
      </w:tr>
      <w:tr>
        <w:trPr>
          <w:trHeight w:val="1384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行政管理</w:t>
            </w:r>
          </w:p>
          <w:p>
            <w:pPr>
              <w:pStyle w:val="TableParagraph"/>
              <w:spacing w:line="341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213" w:type="dxa"/>
          </w:tcPr>
          <w:p>
            <w:pPr>
              <w:pStyle w:val="TableParagraph"/>
              <w:spacing w:line="225" w:lineRule="auto"/>
              <w:ind w:right="242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工作許可與區域管制</w:t>
            </w:r>
          </w:p>
        </w:tc>
        <w:tc>
          <w:tcPr>
            <w:tcW w:w="937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306" w:type="dxa"/>
          </w:tcPr>
          <w:p>
            <w:pPr>
              <w:pStyle w:val="TableParagraph"/>
              <w:spacing w:line="225" w:lineRule="auto"/>
              <w:ind w:left="108" w:right="184"/>
              <w:rPr>
                <w:sz w:val="20"/>
              </w:rPr>
            </w:pPr>
            <w:r>
              <w:rPr>
                <w:spacing w:val="-2"/>
                <w:sz w:val="20"/>
              </w:rPr>
              <w:t>作業區未設管制，人員</w:t>
            </w:r>
            <w:r>
              <w:rPr>
                <w:sz w:val="20"/>
              </w:rPr>
              <w:t>可於任何時間自由進 出，也無須申請。</w:t>
            </w:r>
          </w:p>
        </w:tc>
        <w:tc>
          <w:tcPr>
            <w:tcW w:w="3949" w:type="dxa"/>
          </w:tcPr>
          <w:p>
            <w:pPr>
              <w:pStyle w:val="TableParagraph"/>
              <w:spacing w:line="225" w:lineRule="auto"/>
              <w:ind w:left="108" w:right="227"/>
              <w:rPr>
                <w:sz w:val="20"/>
              </w:rPr>
            </w:pPr>
            <w:r>
              <w:rPr>
                <w:sz w:val="20"/>
              </w:rPr>
              <w:t>未能阻止罹災者在最危險的時段（堆料期間）進入最危險的區域（紙堆旁）。</w:t>
            </w:r>
          </w:p>
        </w:tc>
      </w:tr>
      <w:tr>
        <w:trPr>
          <w:trHeight w:val="1383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行政管理</w:t>
            </w:r>
          </w:p>
          <w:p>
            <w:pPr>
              <w:pStyle w:val="TableParagraph"/>
              <w:spacing w:line="341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213" w:type="dxa"/>
          </w:tcPr>
          <w:p>
            <w:pPr>
              <w:pStyle w:val="TableParagraph"/>
              <w:spacing w:line="225" w:lineRule="auto"/>
              <w:ind w:right="242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現場作業監督</w:t>
            </w:r>
          </w:p>
        </w:tc>
        <w:tc>
          <w:tcPr>
            <w:tcW w:w="937" w:type="dxa"/>
          </w:tcPr>
          <w:p>
            <w:pPr>
              <w:pStyle w:val="TableParagraph"/>
              <w:spacing w:line="225" w:lineRule="auto"/>
              <w:ind w:left="108" w:right="215"/>
              <w:rPr>
                <w:sz w:val="20"/>
              </w:rPr>
            </w:pPr>
            <w:r>
              <w:rPr>
                <w:sz w:val="20"/>
              </w:rPr>
              <w:t>完全失效</w:t>
            </w:r>
          </w:p>
        </w:tc>
        <w:tc>
          <w:tcPr>
            <w:tcW w:w="2306" w:type="dxa"/>
          </w:tcPr>
          <w:p>
            <w:pPr>
              <w:pStyle w:val="TableParagraph"/>
              <w:spacing w:line="225" w:lineRule="auto"/>
              <w:ind w:left="108" w:right="184"/>
              <w:jc w:val="both"/>
              <w:rPr>
                <w:sz w:val="20"/>
              </w:rPr>
            </w:pPr>
            <w:r>
              <w:rPr>
                <w:sz w:val="20"/>
              </w:rPr>
              <w:t>未能掌握休息時間人員的動向，也未能發現有人擅自進入作業區。</w:t>
            </w:r>
          </w:p>
        </w:tc>
        <w:tc>
          <w:tcPr>
            <w:tcW w:w="3949" w:type="dxa"/>
          </w:tcPr>
          <w:p>
            <w:pPr>
              <w:pStyle w:val="TableParagraph"/>
              <w:spacing w:line="225" w:lineRule="auto"/>
              <w:ind w:left="108" w:right="228"/>
              <w:rPr>
                <w:sz w:val="20"/>
              </w:rPr>
            </w:pPr>
            <w:r>
              <w:rPr>
                <w:sz w:val="20"/>
              </w:rPr>
              <w:t>監督的失效，讓罹災者的不安全行為（擅入）未能被及時發現並制止。</w:t>
            </w:r>
          </w:p>
        </w:tc>
      </w:tr>
      <w:tr>
        <w:trPr>
          <w:trHeight w:val="1383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213" w:type="dxa"/>
          </w:tcPr>
          <w:p>
            <w:pPr>
              <w:pStyle w:val="TableParagraph"/>
              <w:spacing w:line="225" w:lineRule="auto"/>
              <w:ind w:right="242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維持物料堆安全角度</w:t>
            </w:r>
          </w:p>
        </w:tc>
        <w:tc>
          <w:tcPr>
            <w:tcW w:w="937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2306" w:type="dxa"/>
          </w:tcPr>
          <w:p>
            <w:pPr>
              <w:pStyle w:val="TableParagraph"/>
              <w:spacing w:line="225" w:lineRule="auto"/>
              <w:ind w:left="108" w:right="184"/>
              <w:jc w:val="both"/>
              <w:rPr>
                <w:sz w:val="20"/>
              </w:rPr>
            </w:pPr>
            <w:r>
              <w:rPr>
                <w:sz w:val="20"/>
              </w:rPr>
              <w:t>鏟車持續堆疊，可能導致物料堆的「休止角」被破壞，形成不穩定狀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態。</w:t>
            </w:r>
          </w:p>
        </w:tc>
        <w:tc>
          <w:tcPr>
            <w:tcW w:w="3949" w:type="dxa"/>
          </w:tcPr>
          <w:p>
            <w:pPr>
              <w:pStyle w:val="TableParagraph"/>
              <w:spacing w:line="225" w:lineRule="auto"/>
              <w:ind w:left="108" w:right="227"/>
              <w:rPr>
                <w:sz w:val="20"/>
              </w:rPr>
            </w:pPr>
            <w:r>
              <w:rPr>
                <w:sz w:val="20"/>
              </w:rPr>
              <w:t>鬆散物料堆的穩定性被破壞，是崩塌發生的物理前提。</w:t>
            </w:r>
          </w:p>
        </w:tc>
      </w:tr>
      <w:tr>
        <w:trPr>
          <w:trHeight w:val="1384" w:hRule="atLeast"/>
        </w:trPr>
        <w:tc>
          <w:tcPr>
            <w:tcW w:w="798" w:type="dxa"/>
          </w:tcPr>
          <w:p>
            <w:pPr>
              <w:pStyle w:val="TableParagraph"/>
              <w:spacing w:line="225" w:lineRule="auto"/>
              <w:ind w:right="277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行政管理</w:t>
            </w:r>
          </w:p>
          <w:p>
            <w:pPr>
              <w:pStyle w:val="TableParagraph"/>
              <w:spacing w:line="341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213" w:type="dxa"/>
          </w:tcPr>
          <w:p>
            <w:pPr>
              <w:pStyle w:val="TableParagraph"/>
              <w:spacing w:line="225" w:lineRule="auto"/>
              <w:ind w:right="242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安全衛生教育訓練</w:t>
            </w:r>
          </w:p>
        </w:tc>
        <w:tc>
          <w:tcPr>
            <w:tcW w:w="937" w:type="dxa"/>
          </w:tcPr>
          <w:p>
            <w:pPr>
              <w:pStyle w:val="TableParagraph"/>
              <w:spacing w:line="225" w:lineRule="auto"/>
              <w:ind w:left="108" w:right="215"/>
              <w:rPr>
                <w:b/>
                <w:sz w:val="20"/>
              </w:rPr>
            </w:pPr>
            <w:r>
              <w:rPr>
                <w:sz w:val="20"/>
              </w:rPr>
              <w:t>嚴重不足 </w:t>
            </w:r>
            <w:r>
              <w:rPr>
                <w:rFonts w:ascii="Segoe UI" w:eastAsia="Segoe UI"/>
                <w:b/>
                <w:sz w:val="20"/>
              </w:rPr>
              <w:t>( </w:t>
            </w:r>
            <w:r>
              <w:rPr>
                <w:b/>
                <w:sz w:val="20"/>
              </w:rPr>
              <w:t>推</w:t>
            </w:r>
          </w:p>
          <w:p>
            <w:pPr>
              <w:pStyle w:val="TableParagraph"/>
              <w:spacing w:line="352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306" w:type="dxa"/>
          </w:tcPr>
          <w:p>
            <w:pPr>
              <w:pStyle w:val="TableParagraph"/>
              <w:spacing w:line="225" w:lineRule="auto"/>
              <w:ind w:left="108" w:right="184"/>
              <w:jc w:val="both"/>
              <w:rPr>
                <w:sz w:val="20"/>
              </w:rPr>
            </w:pPr>
            <w:r>
              <w:rPr>
                <w:sz w:val="20"/>
              </w:rPr>
              <w:t>未能讓員工認知到「在鬆散物料堆旁作業」以及「人機同時作業」的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致命風險。</w:t>
            </w:r>
          </w:p>
        </w:tc>
        <w:tc>
          <w:tcPr>
            <w:tcW w:w="3949" w:type="dxa"/>
          </w:tcPr>
          <w:p>
            <w:pPr>
              <w:pStyle w:val="TableParagraph"/>
              <w:spacing w:line="225" w:lineRule="auto"/>
              <w:ind w:left="108" w:right="227"/>
              <w:rPr>
                <w:sz w:val="20"/>
              </w:rPr>
            </w:pPr>
            <w:r>
              <w:rPr>
                <w:sz w:val="20"/>
              </w:rPr>
              <w:t>導致罹災者可能因輕忽或無知，而將自己置於險境。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1.973625pt;width:460.7pt;height:1.55pt;mso-position-horizontal-relative:page;mso-position-vertical-relative:paragraph;z-index:-880;mso-wrap-distance-left:0;mso-wrap-distance-right:0" coordorigin="1276,439" coordsize="9214,31">
            <v:line style="position:absolute" from="1276,454" to="10489,454" stroked="true" strokeweight="1.5pt" strokecolor="#9f9f9f">
              <v:stroke dashstyle="solid"/>
            </v:line>
            <v:rect style="position:absolute;left:1275;top:439;width:5;height:5" filled="true" fillcolor="#9f9f9f" stroked="false">
              <v:fill type="solid"/>
            </v:rect>
            <v:rect style="position:absolute;left:1275;top:439;width:5;height:5" filled="true" fillcolor="#9f9f9f" stroked="false">
              <v:fill type="solid"/>
            </v:rect>
            <v:line style="position:absolute" from="1280,442" to="10484,442" stroked="true" strokeweight=".24pt" strokecolor="#9f9f9f">
              <v:stroke dashstyle="solid"/>
            </v:line>
            <v:rect style="position:absolute;left:10484;top:439;width:5;height:5" filled="true" fillcolor="#e2e2e2" stroked="false">
              <v:fill type="solid"/>
            </v:rect>
            <v:rect style="position:absolute;left:10484;top:439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484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7" to="10484,467" stroked="true" strokeweight=".24pt" strokecolor="#e2e2e2">
              <v:stroke dashstyle="solid"/>
            </v:line>
            <v:rect style="position:absolute;left:10484;top:465;width:5;height:5" filled="true" fillcolor="#e2e2e2" stroked="false">
              <v:fill type="solid"/>
            </v:rect>
            <v:rect style="position:absolute;left:10484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115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661"/>
        <w:gridCol w:w="2002"/>
        <w:gridCol w:w="1876"/>
        <w:gridCol w:w="2570"/>
      </w:tblGrid>
      <w:tr>
        <w:trPr>
          <w:trHeight w:val="692" w:hRule="atLeast"/>
        </w:trPr>
        <w:tc>
          <w:tcPr>
            <w:tcW w:w="1097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661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00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先前、理想或未發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sz w:val="20"/>
              </w:rPr>
            </w:pPr>
            <w:r>
              <w:rPr>
                <w:spacing w:val="8"/>
                <w:sz w:val="20"/>
              </w:rPr>
              <w:t>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876" w:type="dxa"/>
          </w:tcPr>
          <w:p>
            <w:pPr>
              <w:pStyle w:val="TableParagraph"/>
              <w:spacing w:line="344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70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97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什麼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61" w:type="dxa"/>
          </w:tcPr>
          <w:p>
            <w:pPr>
              <w:pStyle w:val="TableParagraph"/>
              <w:spacing w:line="225" w:lineRule="auto"/>
              <w:ind w:right="142"/>
              <w:rPr>
                <w:sz w:val="20"/>
              </w:rPr>
            </w:pPr>
            <w:r>
              <w:rPr>
                <w:sz w:val="20"/>
              </w:rPr>
              <w:t>在</w:t>
            </w:r>
            <w:r>
              <w:rPr>
                <w:b/>
                <w:sz w:val="20"/>
              </w:rPr>
              <w:t>動態變化</w:t>
            </w:r>
            <w:r>
              <w:rPr>
                <w:sz w:val="20"/>
              </w:rPr>
              <w:t>的廢紙堆旁作業。</w:t>
            </w:r>
          </w:p>
        </w:tc>
        <w:tc>
          <w:tcPr>
            <w:tcW w:w="2002" w:type="dxa"/>
          </w:tcPr>
          <w:p>
            <w:pPr>
              <w:pStyle w:val="TableParagraph"/>
              <w:spacing w:line="225" w:lineRule="auto"/>
              <w:ind w:right="282"/>
              <w:rPr>
                <w:sz w:val="20"/>
              </w:rPr>
            </w:pPr>
            <w:r>
              <w:rPr>
                <w:sz w:val="20"/>
              </w:rPr>
              <w:t>在</w:t>
            </w:r>
            <w:r>
              <w:rPr>
                <w:b/>
                <w:sz w:val="20"/>
              </w:rPr>
              <w:t>靜態穩定</w:t>
            </w:r>
            <w:r>
              <w:rPr>
                <w:sz w:val="20"/>
              </w:rPr>
              <w:t>的廢紙堆旁，或在劃定安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全距離外作業。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auto"/>
              <w:ind w:left="106" w:right="156"/>
              <w:rPr>
                <w:sz w:val="20"/>
              </w:rPr>
            </w:pPr>
            <w:r>
              <w:rPr>
                <w:sz w:val="20"/>
              </w:rPr>
              <w:t>作業對象的「狀 </w:t>
            </w:r>
            <w:r>
              <w:rPr>
                <w:spacing w:val="-2"/>
                <w:sz w:val="20"/>
              </w:rPr>
              <w:t>態」由靜態變為動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態且不穩定。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/>
              <w:ind w:right="249"/>
              <w:rPr>
                <w:sz w:val="20"/>
              </w:rPr>
            </w:pPr>
            <w:r>
              <w:rPr>
                <w:sz w:val="20"/>
              </w:rPr>
              <w:t>在一個持續改變且隨時可能崩塌的物體旁作業，風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險呈幾何級數增加。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380" w:bottom="280" w:left="1160" w:right="1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661"/>
        <w:gridCol w:w="2002"/>
        <w:gridCol w:w="1876"/>
        <w:gridCol w:w="2570"/>
      </w:tblGrid>
      <w:tr>
        <w:trPr>
          <w:trHeight w:val="1037" w:hRule="atLeast"/>
        </w:trPr>
        <w:tc>
          <w:tcPr>
            <w:tcW w:w="1097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何時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61" w:type="dxa"/>
          </w:tcPr>
          <w:p>
            <w:pPr>
              <w:pStyle w:val="TableParagraph"/>
              <w:spacing w:line="225" w:lineRule="auto" w:before="4"/>
              <w:ind w:right="142"/>
              <w:rPr>
                <w:b/>
                <w:sz w:val="20"/>
              </w:rPr>
            </w:pPr>
            <w:r>
              <w:rPr>
                <w:sz w:val="20"/>
              </w:rPr>
              <w:t>於</w:t>
            </w:r>
            <w:r>
              <w:rPr>
                <w:b/>
                <w:sz w:val="20"/>
              </w:rPr>
              <w:t>休息時間</w:t>
            </w:r>
            <w:r>
              <w:rPr>
                <w:sz w:val="20"/>
              </w:rPr>
              <w:t>進 入，且</w:t>
            </w:r>
            <w:r>
              <w:rPr>
                <w:b/>
                <w:spacing w:val="-5"/>
                <w:sz w:val="20"/>
              </w:rPr>
              <w:t>與鏟車同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b/>
                <w:sz w:val="20"/>
              </w:rPr>
              <w:t>時作業</w:t>
            </w:r>
            <w:r>
              <w:rPr>
                <w:sz w:val="20"/>
              </w:rPr>
              <w:t>。</w:t>
            </w:r>
          </w:p>
        </w:tc>
        <w:tc>
          <w:tcPr>
            <w:tcW w:w="2002" w:type="dxa"/>
          </w:tcPr>
          <w:p>
            <w:pPr>
              <w:pStyle w:val="TableParagraph"/>
              <w:spacing w:line="225" w:lineRule="auto" w:before="4"/>
              <w:ind w:right="281"/>
              <w:rPr>
                <w:b/>
                <w:sz w:val="20"/>
              </w:rPr>
            </w:pPr>
            <w:r>
              <w:rPr>
                <w:sz w:val="20"/>
              </w:rPr>
              <w:t>於</w:t>
            </w:r>
            <w:r>
              <w:rPr>
                <w:b/>
                <w:sz w:val="20"/>
              </w:rPr>
              <w:t>表定工作時間</w:t>
            </w:r>
            <w:r>
              <w:rPr>
                <w:spacing w:val="-16"/>
                <w:sz w:val="20"/>
              </w:rPr>
              <w:t>進</w:t>
            </w:r>
            <w:r>
              <w:rPr>
                <w:spacing w:val="-1"/>
                <w:sz w:val="20"/>
              </w:rPr>
              <w:t>入，且確認</w:t>
            </w:r>
            <w:r>
              <w:rPr>
                <w:b/>
                <w:spacing w:val="-6"/>
                <w:sz w:val="20"/>
              </w:rPr>
              <w:t>鏟車已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停止作業</w:t>
            </w:r>
            <w:r>
              <w:rPr>
                <w:sz w:val="20"/>
              </w:rPr>
              <w:t>並駛離。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auto" w:before="4"/>
              <w:ind w:right="156"/>
              <w:rPr>
                <w:sz w:val="20"/>
              </w:rPr>
            </w:pPr>
            <w:r>
              <w:rPr>
                <w:sz w:val="20"/>
              </w:rPr>
              <w:t>作業的「時間點」與「條件」發生致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命性重疊。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4"/>
              <w:ind w:right="249"/>
              <w:rPr>
                <w:sz w:val="20"/>
              </w:rPr>
            </w:pPr>
            <w:r>
              <w:rPr>
                <w:spacing w:val="-2"/>
                <w:sz w:val="20"/>
              </w:rPr>
              <w:t>這是最關鍵的差異。「人</w:t>
            </w:r>
            <w:r>
              <w:rPr>
                <w:spacing w:val="-3"/>
                <w:sz w:val="20"/>
              </w:rPr>
              <w:t>機同時作業」的狀況，在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理想狀況下絕不應發生。</w:t>
            </w:r>
          </w:p>
        </w:tc>
      </w:tr>
      <w:tr>
        <w:trPr>
          <w:trHeight w:val="1037" w:hRule="atLeast"/>
        </w:trPr>
        <w:tc>
          <w:tcPr>
            <w:tcW w:w="1097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何地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61" w:type="dxa"/>
          </w:tcPr>
          <w:p>
            <w:pPr>
              <w:pStyle w:val="TableParagraph"/>
              <w:spacing w:line="225" w:lineRule="auto" w:before="4"/>
              <w:ind w:right="141"/>
              <w:rPr>
                <w:sz w:val="20"/>
              </w:rPr>
            </w:pPr>
            <w:r>
              <w:rPr>
                <w:sz w:val="20"/>
              </w:rPr>
              <w:t>位於廢紙堆底 </w:t>
            </w:r>
            <w:r>
              <w:rPr>
                <w:spacing w:val="-3"/>
                <w:sz w:val="20"/>
              </w:rPr>
              <w:t>部，崩塌的直接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範圍內 。</w:t>
            </w:r>
          </w:p>
        </w:tc>
        <w:tc>
          <w:tcPr>
            <w:tcW w:w="2002" w:type="dxa"/>
          </w:tcPr>
          <w:p>
            <w:pPr>
              <w:pStyle w:val="TableParagraph"/>
              <w:spacing w:line="225" w:lineRule="auto" w:before="4"/>
              <w:ind w:right="281"/>
              <w:rPr>
                <w:sz w:val="20"/>
              </w:rPr>
            </w:pPr>
            <w:r>
              <w:rPr>
                <w:sz w:val="20"/>
              </w:rPr>
              <w:t>位於指定的、安全的、與紙堆保持距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離的分檢區。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auto" w:before="4"/>
              <w:ind w:right="156"/>
              <w:rPr>
                <w:sz w:val="20"/>
              </w:rPr>
            </w:pPr>
            <w:r>
              <w:rPr>
                <w:sz w:val="20"/>
              </w:rPr>
              <w:t>人員的「位置」由安全區變為極度危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險的崩塌區。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4"/>
              <w:ind w:right="249"/>
              <w:rPr>
                <w:sz w:val="20"/>
              </w:rPr>
            </w:pPr>
            <w:r>
              <w:rPr>
                <w:sz w:val="20"/>
              </w:rPr>
              <w:t>讓人員直接暴露於危害之下，沒有任何逃生機會。</w:t>
            </w:r>
          </w:p>
        </w:tc>
      </w:tr>
      <w:tr>
        <w:trPr>
          <w:trHeight w:val="1037" w:hRule="atLeast"/>
        </w:trPr>
        <w:tc>
          <w:tcPr>
            <w:tcW w:w="1097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人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61" w:type="dxa"/>
          </w:tcPr>
          <w:p>
            <w:pPr>
              <w:pStyle w:val="TableParagraph"/>
              <w:spacing w:line="225" w:lineRule="auto" w:before="4"/>
              <w:ind w:right="142"/>
              <w:rPr>
                <w:sz w:val="20"/>
              </w:rPr>
            </w:pPr>
            <w:r>
              <w:rPr>
                <w:sz w:val="20"/>
              </w:rPr>
              <w:t>一個</w:t>
            </w:r>
            <w:r>
              <w:rPr>
                <w:b/>
                <w:sz w:val="20"/>
              </w:rPr>
              <w:t>無人監督、單獨作業</w:t>
            </w:r>
            <w:r>
              <w:rPr>
                <w:sz w:val="20"/>
              </w:rPr>
              <w:t>的勞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工。</w:t>
            </w:r>
          </w:p>
        </w:tc>
        <w:tc>
          <w:tcPr>
            <w:tcW w:w="2002" w:type="dxa"/>
          </w:tcPr>
          <w:p>
            <w:pPr>
              <w:pStyle w:val="TableParagraph"/>
              <w:spacing w:line="225" w:lineRule="auto" w:before="4"/>
              <w:ind w:right="281"/>
              <w:rPr>
                <w:sz w:val="20"/>
              </w:rPr>
            </w:pPr>
            <w:r>
              <w:rPr>
                <w:sz w:val="20"/>
              </w:rPr>
              <w:t>一個在班長指揮 </w:t>
            </w:r>
            <w:r>
              <w:rPr>
                <w:spacing w:val="-2"/>
                <w:sz w:val="20"/>
              </w:rPr>
              <w:t>下、與團隊共同作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業的勞工。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auto" w:before="4"/>
              <w:ind w:left="106" w:right="156"/>
              <w:rPr>
                <w:sz w:val="20"/>
              </w:rPr>
            </w:pPr>
            <w:r>
              <w:rPr>
                <w:sz w:val="20"/>
              </w:rPr>
              <w:t>作業的「監督狀 </w:t>
            </w:r>
            <w:r>
              <w:rPr>
                <w:spacing w:val="-2"/>
                <w:sz w:val="20"/>
              </w:rPr>
              <w:t>態」由有人監督變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為無人監督。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4"/>
              <w:ind w:right="249"/>
              <w:rPr>
                <w:sz w:val="20"/>
              </w:rPr>
            </w:pPr>
            <w:r>
              <w:rPr>
                <w:sz w:val="20"/>
              </w:rPr>
              <w:t>缺乏監督導致了不安全行為的發生與未能及時制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止。</w:t>
            </w:r>
          </w:p>
        </w:tc>
      </w:tr>
      <w:tr>
        <w:trPr>
          <w:trHeight w:val="1038" w:hRule="atLeast"/>
        </w:trPr>
        <w:tc>
          <w:tcPr>
            <w:tcW w:w="1097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何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61" w:type="dxa"/>
          </w:tcPr>
          <w:p>
            <w:pPr>
              <w:pStyle w:val="TableParagraph"/>
              <w:spacing w:line="225" w:lineRule="auto" w:before="5"/>
              <w:ind w:right="142"/>
              <w:rPr>
                <w:sz w:val="20"/>
              </w:rPr>
            </w:pPr>
            <w:r>
              <w:rPr>
                <w:sz w:val="20"/>
              </w:rPr>
              <w:t>以</w:t>
            </w:r>
            <w:r>
              <w:rPr>
                <w:b/>
                <w:sz w:val="20"/>
              </w:rPr>
              <w:t>擅自進入</w:t>
            </w:r>
            <w:r>
              <w:rPr>
                <w:sz w:val="20"/>
              </w:rPr>
              <w:t>的方式進行作業。</w:t>
            </w:r>
          </w:p>
        </w:tc>
        <w:tc>
          <w:tcPr>
            <w:tcW w:w="2002" w:type="dxa"/>
          </w:tcPr>
          <w:p>
            <w:pPr>
              <w:pStyle w:val="TableParagraph"/>
              <w:spacing w:line="225" w:lineRule="auto" w:before="5"/>
              <w:ind w:right="281"/>
              <w:rPr>
                <w:sz w:val="20"/>
              </w:rPr>
            </w:pPr>
            <w:r>
              <w:rPr>
                <w:sz w:val="20"/>
              </w:rPr>
              <w:t>依據班長指派，在確認安全後進入作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auto" w:before="5"/>
              <w:ind w:right="156"/>
              <w:rPr>
                <w:sz w:val="20"/>
              </w:rPr>
            </w:pPr>
            <w:r>
              <w:rPr>
                <w:sz w:val="20"/>
              </w:rPr>
              <w:t>作業的「啟動方 </w:t>
            </w:r>
            <w:r>
              <w:rPr>
                <w:spacing w:val="-3"/>
                <w:sz w:val="20"/>
              </w:rPr>
              <w:t>式」由有授權變為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未授權。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5"/>
              <w:ind w:right="249"/>
              <w:rPr>
                <w:sz w:val="20"/>
              </w:rPr>
            </w:pPr>
            <w:r>
              <w:rPr>
                <w:sz w:val="20"/>
              </w:rPr>
              <w:t>未經授權的作業，繞過了所有可能的安全檢查與程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序。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1pt;width:460.7pt;height:1.55pt;mso-position-horizontal-relative:page;mso-position-vertical-relative:paragraph;z-index:-856;mso-wrap-distance-left:0;mso-wrap-distance-right:0" coordorigin="1276,452" coordsize="9214,31">
            <v:line style="position:absolute" from="1276,468" to="10489,468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484,455" stroked="true" strokeweight=".239pt" strokecolor="#9f9f9f">
              <v:stroke dashstyle="solid"/>
            </v:line>
            <v:rect style="position:absolute;left:10484;top:452;width:5;height:5" filled="true" fillcolor="#e2e2e2" stroked="false">
              <v:fill type="solid"/>
            </v:rect>
            <v:rect style="position:absolute;left:10484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484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484,480" stroked="true" strokeweight=".239pt" strokecolor="#e2e2e2">
              <v:stroke dashstyle="solid"/>
            </v:line>
            <v:rect style="position:absolute;left:10484;top:477;width:5;height:5" filled="true" fillcolor="#e2e2e2" stroked="false">
              <v:fill type="solid"/>
            </v:rect>
            <v:rect style="position:absolute;left:10484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1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3486"/>
        <w:gridCol w:w="3731"/>
      </w:tblGrid>
      <w:tr>
        <w:trPr>
          <w:trHeight w:val="345" w:hRule="atLeast"/>
        </w:trPr>
        <w:tc>
          <w:tcPr>
            <w:tcW w:w="198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48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3731" w:type="dxa"/>
          </w:tcPr>
          <w:p>
            <w:pPr>
              <w:pStyle w:val="TableParagraph"/>
              <w:spacing w:line="32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421" w:hRule="atLeast"/>
        </w:trPr>
        <w:tc>
          <w:tcPr>
            <w:tcW w:w="1987" w:type="dxa"/>
          </w:tcPr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情境性違規</w:t>
            </w:r>
          </w:p>
          <w:p>
            <w:pPr>
              <w:pStyle w:val="TableParagraph"/>
              <w:ind w:right="855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(Situational Violation)</w:t>
            </w:r>
          </w:p>
        </w:tc>
        <w:tc>
          <w:tcPr>
            <w:tcW w:w="3486" w:type="dxa"/>
          </w:tcPr>
          <w:p>
            <w:pPr>
              <w:pStyle w:val="TableParagraph"/>
              <w:spacing w:line="225" w:lineRule="auto"/>
              <w:ind w:left="108" w:right="164"/>
              <w:rPr>
                <w:sz w:val="20"/>
              </w:rPr>
            </w:pPr>
            <w:r>
              <w:rPr>
                <w:sz w:val="20"/>
              </w:rPr>
              <w:t>罹災者劉員在休息時間，獨自進入正在進行堆料作業的危險區域工作 。此行為可能出自於想提前完成工作量的壓力，或是認為「只是進去一下剪個鐵線，很快就好」的僥倖心態。這是一種在特定情境下，為求方便而違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反安全規則的典型行為。</w:t>
            </w:r>
          </w:p>
        </w:tc>
        <w:tc>
          <w:tcPr>
            <w:tcW w:w="373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92" w:val="left" w:leader="none"/>
              </w:tabs>
              <w:spacing w:line="334" w:lineRule="exact" w:before="0" w:after="0"/>
              <w:ind w:left="108" w:right="0" w:firstLine="0"/>
              <w:jc w:val="left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安全文化與績效壓力： </w:t>
            </w:r>
            <w:r>
              <w:rPr>
                <w:sz w:val="20"/>
              </w:rPr>
              <w:t>組織可能存在</w:t>
            </w:r>
          </w:p>
          <w:p>
            <w:pPr>
              <w:pStyle w:val="TableParagraph"/>
              <w:spacing w:line="225" w:lineRule="auto" w:before="5"/>
              <w:ind w:left="108" w:right="210"/>
              <w:jc w:val="both"/>
              <w:rPr>
                <w:sz w:val="20"/>
              </w:rPr>
            </w:pPr>
            <w:r>
              <w:rPr>
                <w:sz w:val="20"/>
              </w:rPr>
              <w:t>「重效率、輕安全」的文化，導致員工為趕工而冒險。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2" w:val="left" w:leader="none"/>
              </w:tabs>
              <w:spacing w:line="225" w:lineRule="auto" w:before="0" w:after="0"/>
              <w:ind w:left="108" w:right="126" w:firstLine="0"/>
              <w:jc w:val="both"/>
              <w:rPr>
                <w:sz w:val="20"/>
              </w:rPr>
            </w:pPr>
            <w:r>
              <w:rPr>
                <w:b/>
                <w:spacing w:val="6"/>
                <w:sz w:val="20"/>
              </w:rPr>
              <w:t>監督系統失靈： </w:t>
            </w:r>
            <w:r>
              <w:rPr>
                <w:spacing w:val="-2"/>
                <w:sz w:val="20"/>
              </w:rPr>
              <w:t>現場監督機制完全失</w:t>
            </w:r>
            <w:r>
              <w:rPr>
                <w:sz w:val="20"/>
              </w:rPr>
              <w:t>效，未能管制休息時間的人員行為與作業區的進出，給予了違規行為發生的空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間。</w:t>
            </w:r>
          </w:p>
        </w:tc>
      </w:tr>
      <w:tr>
        <w:trPr>
          <w:trHeight w:val="2422" w:hRule="atLeast"/>
        </w:trPr>
        <w:tc>
          <w:tcPr>
            <w:tcW w:w="1987" w:type="dxa"/>
          </w:tcPr>
          <w:p>
            <w:pPr>
              <w:pStyle w:val="TableParagraph"/>
              <w:spacing w:line="3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ind w:right="199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(Knowledge-based mistake)</w:t>
            </w:r>
          </w:p>
        </w:tc>
        <w:tc>
          <w:tcPr>
            <w:tcW w:w="3486" w:type="dxa"/>
          </w:tcPr>
          <w:p>
            <w:pPr>
              <w:pStyle w:val="TableParagraph"/>
              <w:spacing w:line="225" w:lineRule="auto"/>
              <w:ind w:left="108" w:right="164"/>
              <w:jc w:val="both"/>
              <w:rPr>
                <w:sz w:val="20"/>
              </w:rPr>
            </w:pPr>
            <w:r>
              <w:rPr>
                <w:sz w:val="20"/>
              </w:rPr>
              <w:t>公司的</w:t>
            </w:r>
            <w:r>
              <w:rPr>
                <w:b/>
                <w:sz w:val="20"/>
              </w:rPr>
              <w:t>管理階層與規劃者</w:t>
            </w:r>
            <w:r>
              <w:rPr>
                <w:sz w:val="20"/>
              </w:rPr>
              <w:t>，未能認知到「人員」與「大型移動機具」在同一鬆散物料區作業是絕對禁止的。他們對此一基本安全原則的無知，導致未能建立最關鍵的「人機分離」管制屏障。</w:t>
            </w:r>
          </w:p>
        </w:tc>
        <w:tc>
          <w:tcPr>
            <w:tcW w:w="373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2" w:val="left" w:leader="none"/>
              </w:tabs>
              <w:spacing w:line="225" w:lineRule="auto" w:before="0" w:after="0"/>
              <w:ind w:left="108" w:right="126" w:firstLine="0"/>
              <w:jc w:val="both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管理系統的根本缺陷： </w:t>
            </w:r>
            <w:r>
              <w:rPr>
                <w:spacing w:val="-3"/>
                <w:sz w:val="20"/>
              </w:rPr>
              <w:t>公司的安全管</w:t>
            </w:r>
            <w:r>
              <w:rPr>
                <w:sz w:val="20"/>
              </w:rPr>
              <w:t>理系統存在巨大漏洞，完全沒有「人機分離」的概念與程序。風險評估未能辨識出此致命性危害。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2" w:val="left" w:leader="none"/>
              </w:tabs>
              <w:spacing w:line="225" w:lineRule="auto" w:before="0" w:after="0"/>
              <w:ind w:left="108" w:right="126" w:firstLine="0"/>
              <w:jc w:val="both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教育訓練的徹底失敗： </w:t>
            </w:r>
            <w:r>
              <w:rPr>
                <w:spacing w:val="-3"/>
                <w:sz w:val="20"/>
              </w:rPr>
              <w:t>安全訓練未能</w:t>
            </w:r>
            <w:r>
              <w:rPr>
                <w:sz w:val="20"/>
              </w:rPr>
              <w:t>傳達核心的安全原則，導致從上到下都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對此嚴重風險缺乏認知。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1.993114pt;width:460.7pt;height:1.55pt;mso-position-horizontal-relative:page;mso-position-vertical-relative:paragraph;z-index:-832;mso-wrap-distance-left:0;mso-wrap-distance-right:0" coordorigin="1276,440" coordsize="9214,31">
            <v:line style="position:absolute" from="1276,455" to="10489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2" to="10484,442" stroked="true" strokeweight=".239pt" strokecolor="#9f9f9f">
              <v:stroke dashstyle="solid"/>
            </v:line>
            <v:rect style="position:absolute;left:10484;top:440;width:5;height:5" filled="true" fillcolor="#e2e2e2" stroked="false">
              <v:fill type="solid"/>
            </v:rect>
            <v:rect style="position:absolute;left:10484;top:440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484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484,468" stroked="true" strokeweight=".239pt" strokecolor="#e2e2e2">
              <v:stroke dashstyle="solid"/>
            </v:line>
            <v:rect style="position:absolute;left:10484;top:465;width:5;height:5" filled="true" fillcolor="#e2e2e2" stroked="false">
              <v:fill type="solid"/>
            </v:rect>
            <v:rect style="position:absolute;left:10484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spacing w:line="415" w:lineRule="exact" w:before="0"/>
        <w:ind w:left="115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不安全的狀況：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鏟車正在對不穩定的廢紙堆進行堆疊作業，持續改變其穩定性 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</w:pPr>
      <w:r>
        <w:rPr/>
        <w:t>不安全的行為：</w:t>
      </w:r>
    </w:p>
    <w:p>
      <w:pPr>
        <w:spacing w:after="0" w:line="428" w:lineRule="exact"/>
        <w:jc w:val="left"/>
        <w:sectPr>
          <w:pgSz w:w="11910" w:h="16840"/>
          <w:pgMar w:top="1420" w:bottom="280" w:left="1160" w:right="1300"/>
        </w:sectPr>
      </w:pPr>
    </w:p>
    <w:p>
      <w:pPr>
        <w:pStyle w:val="BodyText"/>
        <w:spacing w:line="225" w:lineRule="auto" w:before="47"/>
        <w:ind w:left="1555" w:right="208" w:hanging="360"/>
      </w:pPr>
      <w:r>
        <w:rPr>
          <w:rFonts w:ascii="Calibri" w:eastAsia="Calibri"/>
        </w:rPr>
        <w:t>1. </w:t>
      </w:r>
      <w:r>
        <w:rPr/>
        <w:t>罹災者於休息時間，擅自進入正在進行堆疊作業的廢紙區，並於紙堆底部作 業 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9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人機作業未隔離的致命性管理缺陷：</w:t>
      </w:r>
    </w:p>
    <w:p>
      <w:pPr>
        <w:pStyle w:val="ListParagraph"/>
        <w:numPr>
          <w:ilvl w:val="1"/>
          <w:numId w:val="9"/>
        </w:numPr>
        <w:tabs>
          <w:tab w:pos="1556" w:val="left" w:leader="none"/>
        </w:tabs>
        <w:spacing w:line="225" w:lineRule="auto" w:before="6" w:after="0"/>
        <w:ind w:left="1555" w:right="208" w:hanging="360"/>
        <w:jc w:val="both"/>
        <w:rPr>
          <w:sz w:val="24"/>
        </w:rPr>
      </w:pPr>
      <w:r>
        <w:rPr>
          <w:b/>
          <w:sz w:val="24"/>
        </w:rPr>
        <w:t>最核心的根本原因</w:t>
      </w:r>
      <w:r>
        <w:rPr>
          <w:sz w:val="24"/>
        </w:rPr>
        <w:t>是，該作業場所完全沒有建立「人員與移動機具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鏟車</w:t>
      </w:r>
      <w:r>
        <w:rPr>
          <w:rFonts w:ascii="Calibri" w:hAnsi="Calibri" w:eastAsia="Calibri"/>
          <w:sz w:val="24"/>
        </w:rPr>
        <w:t>) </w:t>
      </w:r>
      <w:r>
        <w:rPr>
          <w:spacing w:val="-1"/>
          <w:sz w:val="24"/>
        </w:rPr>
        <w:t>必須分開作業」的管理程序與物理隔離措施。允許人員與正在堆高鬆散物</w:t>
      </w:r>
      <w:r>
        <w:rPr>
          <w:sz w:val="24"/>
        </w:rPr>
        <w:t>料的鏟車在同一區域作業，是直接導致此次事故的管理系統性崩潰。</w:t>
      </w:r>
    </w:p>
    <w:p>
      <w:pPr>
        <w:pStyle w:val="Heading1"/>
        <w:numPr>
          <w:ilvl w:val="0"/>
          <w:numId w:val="9"/>
        </w:numPr>
        <w:tabs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現場監督與門禁管制的完全失效：</w:t>
      </w:r>
    </w:p>
    <w:p>
      <w:pPr>
        <w:pStyle w:val="ListParagraph"/>
        <w:numPr>
          <w:ilvl w:val="1"/>
          <w:numId w:val="9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208" w:hanging="360"/>
        <w:jc w:val="left"/>
        <w:rPr>
          <w:sz w:val="24"/>
        </w:rPr>
      </w:pPr>
      <w:r>
        <w:rPr>
          <w:sz w:val="24"/>
        </w:rPr>
        <w:t>對於高度危險的作業區域，未能實施有效的進出管制。人員（</w:t>
      </w:r>
      <w:r>
        <w:rPr>
          <w:spacing w:val="-4"/>
          <w:sz w:val="24"/>
        </w:rPr>
        <w:t>尤其是休息</w:t>
      </w:r>
      <w:r>
        <w:rPr>
          <w:sz w:val="24"/>
        </w:rPr>
        <w:t>時間）的動向完全失控，現場監督名存實亡，無法制止不安全行為的發 生。</w:t>
      </w:r>
    </w:p>
    <w:p>
      <w:pPr>
        <w:pStyle w:val="Heading1"/>
        <w:numPr>
          <w:ilvl w:val="0"/>
          <w:numId w:val="9"/>
        </w:numPr>
        <w:tabs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缺乏對物料堆放作業的危害辨識與安全程序：</w:t>
      </w:r>
    </w:p>
    <w:p>
      <w:pPr>
        <w:pStyle w:val="ListParagraph"/>
        <w:numPr>
          <w:ilvl w:val="1"/>
          <w:numId w:val="9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208" w:hanging="360"/>
        <w:jc w:val="left"/>
        <w:rPr>
          <w:sz w:val="24"/>
        </w:rPr>
      </w:pPr>
      <w:r>
        <w:rPr>
          <w:spacing w:val="-1"/>
          <w:sz w:val="24"/>
        </w:rPr>
        <w:t>公司未針對廢紙堆放作業制定任何安全作業標準，也未能辨識出在鬆散物</w:t>
      </w:r>
      <w:r>
        <w:rPr>
          <w:sz w:val="24"/>
        </w:rPr>
        <w:t>料堆旁作業的崩塌風險，因此也未提供相關的教育訓練。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pacing w:val="11"/>
          <w:sz w:val="24"/>
        </w:rPr>
        <w:t>制度層面 </w:t>
      </w:r>
      <w:r>
        <w:rPr>
          <w:rFonts w:ascii="Calibri" w:hAnsi="Calibri" w:eastAsia="Calibri"/>
          <w:b/>
          <w:sz w:val="24"/>
        </w:rPr>
        <w:t>(</w:t>
      </w:r>
      <w:r>
        <w:rPr>
          <w:b/>
          <w:sz w:val="24"/>
        </w:rPr>
        <w:t>最優先</w:t>
      </w:r>
      <w:r>
        <w:rPr>
          <w:rFonts w:ascii="Calibri" w:hAns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225" w:lineRule="auto" w:before="6" w:after="0"/>
        <w:ind w:left="1555" w:right="208" w:hanging="360"/>
        <w:jc w:val="left"/>
        <w:rPr>
          <w:b/>
          <w:sz w:val="24"/>
        </w:rPr>
      </w:pPr>
      <w:r>
        <w:rPr>
          <w:b/>
          <w:sz w:val="24"/>
        </w:rPr>
        <w:t>立即建立並嚴格執行「人機分離」作業管制程序： </w:t>
      </w:r>
      <w:r>
        <w:rPr>
          <w:sz w:val="24"/>
        </w:rPr>
        <w:t>這是防止再發的</w:t>
      </w:r>
      <w:r>
        <w:rPr>
          <w:b/>
          <w:sz w:val="24"/>
        </w:rPr>
        <w:t>最高原則</w:t>
      </w:r>
      <w:r>
        <w:rPr>
          <w:sz w:val="24"/>
        </w:rPr>
        <w:t>。必須明文規定：</w:t>
      </w:r>
      <w:r>
        <w:rPr>
          <w:b/>
          <w:spacing w:val="-1"/>
          <w:sz w:val="24"/>
        </w:rPr>
        <w:t>任何時間，當鏟車或其他移動機具在物料區進行堆</w:t>
      </w:r>
      <w:r>
        <w:rPr>
          <w:b/>
          <w:sz w:val="24"/>
        </w:rPr>
        <w:t>疊、挖取作業時，所有非機具操作人員「絕對禁止」進入該劃定區域。</w:t>
      </w: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410" w:lineRule="exact" w:before="0" w:after="0"/>
        <w:ind w:left="1555" w:right="0" w:hanging="360"/>
        <w:jc w:val="left"/>
        <w:rPr>
          <w:sz w:val="24"/>
        </w:rPr>
      </w:pPr>
      <w:r>
        <w:rPr>
          <w:b/>
          <w:sz w:val="24"/>
        </w:rPr>
        <w:t>建立「作業區進出許可與查核」制度：  </w:t>
      </w:r>
      <w:r>
        <w:rPr>
          <w:sz w:val="24"/>
        </w:rPr>
        <w:t>在物料作業區入口設置管制點</w:t>
      </w:r>
    </w:p>
    <w:p>
      <w:pPr>
        <w:pStyle w:val="BodyText"/>
        <w:spacing w:line="225" w:lineRule="auto" w:before="6"/>
        <w:ind w:left="1555" w:right="208"/>
        <w:jc w:val="both"/>
      </w:pPr>
      <w:r>
        <w:rPr/>
        <w:t>（如柵欄、警示鏈），規定鏟車作業前，必須由司機或主管進行區域淨空確認，並掛上「作業中，禁止進入」警示牌。分檢人員進入前，也必須確認鏟車已停妥於安全區。</w:t>
      </w: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225" w:lineRule="auto" w:before="1" w:after="0"/>
        <w:ind w:left="1555" w:right="328" w:hanging="360"/>
        <w:jc w:val="left"/>
        <w:rPr>
          <w:sz w:val="24"/>
        </w:rPr>
      </w:pPr>
      <w:r>
        <w:rPr>
          <w:b/>
          <w:sz w:val="24"/>
        </w:rPr>
        <w:t>強化休息時間管理： </w:t>
      </w:r>
      <w:r>
        <w:rPr>
          <w:spacing w:val="-1"/>
          <w:sz w:val="24"/>
        </w:rPr>
        <w:t>明確規定休息時間所有人員應在指定的休息室，由</w:t>
      </w:r>
      <w:r>
        <w:rPr>
          <w:sz w:val="24"/>
        </w:rPr>
        <w:t>班長負責清點人數，嚴禁於休息時間從事任何作業。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09" w:lineRule="exact" w:before="0" w:after="0"/>
        <w:ind w:left="835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/>
        <w:t>設備層面：</w:t>
      </w:r>
    </w:p>
    <w:p>
      <w:pPr>
        <w:pStyle w:val="BodyText"/>
        <w:spacing w:line="225" w:lineRule="auto" w:before="6"/>
        <w:ind w:left="1555" w:right="300" w:hanging="360"/>
        <w:jc w:val="both"/>
      </w:pPr>
      <w:r>
        <w:rPr>
          <w:rFonts w:ascii="Calibri" w:eastAsia="Calibri"/>
        </w:rPr>
        <w:t>1. </w:t>
      </w:r>
      <w:r>
        <w:rPr>
          <w:b/>
        </w:rPr>
        <w:t>裝設作業區警報與監視系統：  </w:t>
      </w:r>
      <w:r>
        <w:rPr/>
        <w:t>在作業區裝設蜂鳴器或警示燈，當鏟車作業時自動啟動，以聽覺及視覺方式警告周邊人員。並強化 </w:t>
      </w:r>
      <w:r>
        <w:rPr>
          <w:rFonts w:ascii="Calibri" w:eastAsia="Calibri"/>
        </w:rPr>
        <w:t>CCTV </w:t>
      </w:r>
      <w:r>
        <w:rPr/>
        <w:t>監視範圍與管理，確保能即時監控。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11"/>
        </w:numPr>
        <w:tabs>
          <w:tab w:pos="1556" w:val="left" w:leader="none"/>
        </w:tabs>
        <w:spacing w:line="225" w:lineRule="auto" w:before="6" w:after="0"/>
        <w:ind w:left="1555" w:right="208" w:hanging="360"/>
        <w:jc w:val="left"/>
        <w:rPr>
          <w:sz w:val="24"/>
        </w:rPr>
      </w:pPr>
      <w:r>
        <w:rPr>
          <w:b/>
          <w:sz w:val="24"/>
        </w:rPr>
        <w:t>實施震撼教育與專項訓練： </w:t>
      </w:r>
      <w:r>
        <w:rPr>
          <w:sz w:val="24"/>
        </w:rPr>
        <w:t>立即將本次事故作為案例，對全體員工進行</w:t>
      </w:r>
      <w:r>
        <w:rPr>
          <w:spacing w:val="-1"/>
          <w:sz w:val="24"/>
        </w:rPr>
        <w:t>專項安全訓練，強力宣導「人機分離」的血淚教訓，建立全員「看到機具</w:t>
      </w:r>
      <w:r>
        <w:rPr>
          <w:sz w:val="24"/>
        </w:rPr>
        <w:t>在動，就絕不靠近」的反射性安全觀念。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80" w:bottom="280" w:left="1160" w:right="1300"/>
        </w:sectPr>
      </w:pPr>
    </w:p>
    <w:p>
      <w:pPr>
        <w:pStyle w:val="ListParagraph"/>
        <w:numPr>
          <w:ilvl w:val="0"/>
          <w:numId w:val="11"/>
        </w:numPr>
        <w:tabs>
          <w:tab w:pos="1556" w:val="left" w:leader="none"/>
        </w:tabs>
        <w:spacing w:line="225" w:lineRule="auto" w:before="47" w:after="0"/>
        <w:ind w:left="1555" w:right="208" w:hanging="360"/>
        <w:jc w:val="left"/>
        <w:rPr>
          <w:sz w:val="24"/>
        </w:rPr>
      </w:pPr>
      <w:r>
        <w:rPr>
          <w:b/>
          <w:sz w:val="24"/>
        </w:rPr>
        <w:t>落實主管監督責任與授權： </w:t>
      </w:r>
      <w:r>
        <w:rPr>
          <w:sz w:val="24"/>
        </w:rPr>
        <w:t>重新定義現場主管及班長的監督職責，要求</w:t>
      </w:r>
      <w:r>
        <w:rPr>
          <w:spacing w:val="-1"/>
          <w:sz w:val="24"/>
        </w:rPr>
        <w:t>其對「人機分離」的落實負全責，並授予其立即停止任何不安全作業的權</w:t>
      </w:r>
      <w:r>
        <w:rPr>
          <w:sz w:val="24"/>
        </w:rPr>
        <w:t>力。</w:t>
      </w:r>
    </w:p>
    <w:sectPr>
      <w:pgSz w:w="11910" w:h="16840"/>
      <w:pgMar w:top="1380" w:bottom="280" w:left="11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108" w:hanging="184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62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4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6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8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72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34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96" w:hanging="18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108" w:hanging="184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62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4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6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8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72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34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96" w:hanging="18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8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0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7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36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1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8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3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49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8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0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7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36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1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8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3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49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8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0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7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36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2025-07-25T00:46:13Z</dcterms:created>
  <dcterms:modified xsi:type="dcterms:W3CDTF">2025-07-25T00:46:13Z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