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0"/>
        <w:ind w:left="2982"/>
      </w:pPr>
      <w:r>
        <w:rPr>
          <w:shd w:fill="D9D9D9" w:color="auto" w:val="clear"/>
        </w:rPr>
        <w:t>「感電案 </w:t>
      </w:r>
      <w:r>
        <w:rPr>
          <w:rFonts w:ascii="Calibri" w:eastAsia="Calibri"/>
          <w:shd w:fill="D9D9D9" w:color="auto" w:val="clear"/>
        </w:rPr>
        <w:t>1_</w:t>
      </w:r>
      <w:r>
        <w:rPr>
          <w:shd w:fill="D9D9D9" w:color="auto" w:val="clear"/>
        </w:rPr>
        <w:t>演練」職災調查分析參考</w:t>
      </w:r>
    </w:p>
    <w:p>
      <w:pPr>
        <w:pStyle w:val="BodyText"/>
        <w:spacing w:line="225" w:lineRule="auto" w:before="286"/>
        <w:ind w:left="113" w:right="326"/>
      </w:pPr>
      <w:r>
        <w:rPr/>
        <w:t>分析方法包含 </w:t>
      </w:r>
      <w:r>
        <w:rPr>
          <w:rFonts w:ascii="Calibri" w:eastAsia="Calibri"/>
        </w:rPr>
        <w:t>ECFC</w:t>
      </w:r>
      <w:r>
        <w:rPr/>
        <w:t>、時間序列表、為何樹分析、屏障分析、變更分析、人為失效分析、及根本原因探討。</w:t>
      </w:r>
    </w:p>
    <w:p>
      <w:pPr>
        <w:pStyle w:val="Heading1"/>
        <w:spacing w:line="240" w:lineRule="auto" w:before="275"/>
        <w:ind w:left="113"/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事件成因分析（</w:t>
      </w:r>
      <w:r>
        <w:rPr>
          <w:rFonts w:ascii="Calibri" w:eastAsia="Calibri"/>
        </w:rPr>
        <w:t>ECFA</w:t>
      </w:r>
      <w:r>
        <w:rPr/>
        <w:t>）與事件成因圖（</w:t>
      </w:r>
      <w:r>
        <w:rPr>
          <w:rFonts w:ascii="Calibri" w:eastAsia="Calibri"/>
        </w:rPr>
        <w:t>ECFC</w:t>
      </w:r>
      <w:r>
        <w:rPr/>
        <w:t>）</w:t>
      </w:r>
    </w:p>
    <w:p>
      <w:pPr>
        <w:pStyle w:val="BodyText"/>
        <w:spacing w:before="14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750569</wp:posOffset>
            </wp:positionH>
            <wp:positionV relativeFrom="paragraph">
              <wp:posOffset>139336</wp:posOffset>
            </wp:positionV>
            <wp:extent cx="5932959" cy="153552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59" cy="15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rPr>
          <w:b/>
          <w:sz w:val="28"/>
        </w:rPr>
      </w:pPr>
    </w:p>
    <w:p>
      <w:pPr>
        <w:pStyle w:val="BodyText"/>
        <w:spacing w:line="428" w:lineRule="exact" w:before="1"/>
        <w:ind w:left="113"/>
      </w:pPr>
      <w:r>
        <w:rPr/>
        <w:t>圖例說明：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事件（黃色方框）</w:t>
      </w:r>
      <w:r>
        <w:rPr>
          <w:sz w:val="24"/>
        </w:rPr>
        <w:t>：按時間順序排列，描述事故關鍵動作。</w: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b w:val="0"/>
        </w:rPr>
      </w:pPr>
      <w:r>
        <w:rPr/>
        <w:t>條件（粉紅色橢圓形）</w:t>
      </w:r>
      <w:r>
        <w:rPr>
          <w:b w:val="0"/>
        </w:rPr>
        <w:t>：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14" w:right="0" w:firstLine="1080"/>
        <w:jc w:val="left"/>
        <w:rPr>
          <w:sz w:val="24"/>
        </w:rPr>
      </w:pPr>
      <w:r>
        <w:rPr>
          <w:sz w:val="24"/>
        </w:rPr>
        <w:t>實線：基於報告的明確條件（如未斷電、無監護人員）。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225" w:lineRule="auto" w:before="6" w:after="0"/>
        <w:ind w:left="114" w:right="2550" w:firstLine="1080"/>
        <w:jc w:val="left"/>
        <w:rPr>
          <w:sz w:val="24"/>
        </w:rPr>
      </w:pPr>
      <w:r>
        <w:rPr>
          <w:sz w:val="24"/>
        </w:rPr>
        <w:t>虛線藍框：假設條件（如絕緣失效），</w:t>
      </w:r>
      <w:r>
        <w:rPr>
          <w:spacing w:val="-3"/>
          <w:sz w:val="24"/>
        </w:rPr>
        <w:t>需進一步驗證。</w:t>
      </w:r>
      <w:r>
        <w:rPr>
          <w:sz w:val="24"/>
        </w:rPr>
        <w:t>延伸建議：結合「屏障分析」進一步探討為何斷電程式未被執行。</w:t>
      </w:r>
    </w:p>
    <w:p>
      <w:pPr>
        <w:pStyle w:val="BodyText"/>
        <w:spacing w:before="11"/>
        <w:rPr>
          <w:sz w:val="26"/>
        </w:rPr>
      </w:pPr>
      <w:r>
        <w:rPr/>
        <w:pict>
          <v:group style="position:absolute;margin-left:56.700001pt;margin-top:26.441309pt;width:482pt;height:.8pt;mso-position-horizontal-relative:page;mso-position-vertical-relative:paragraph;z-index:-1000;mso-wrap-distance-left:0;mso-wrap-distance-right:0" coordorigin="1134,529" coordsize="9640,16">
            <v:line style="position:absolute" from="1134,537" to="10774,537" stroked="true" strokeweight=".75pt" strokecolor="#9f9f9f">
              <v:stroke dashstyle="solid"/>
            </v:line>
            <v:rect style="position:absolute;left:1134;top:528;width:5;height:5" filled="true" fillcolor="#9f9f9f" stroked="false">
              <v:fill type="solid"/>
            </v:rect>
            <v:rect style="position:absolute;left:1134;top:528;width:5;height:5" filled="true" fillcolor="#9f9f9f" stroked="false">
              <v:fill type="solid"/>
            </v:rect>
            <v:line style="position:absolute" from="1139,531" to="10769,531" stroked="true" strokeweight=".24pt" strokecolor="#9f9f9f">
              <v:stroke dashstyle="solid"/>
            </v:line>
            <v:rect style="position:absolute;left:10768;top:528;width:5;height:5" filled="true" fillcolor="#e2e2e2" stroked="false">
              <v:fill type="solid"/>
            </v:rect>
            <v:rect style="position:absolute;left:10768;top:528;width:5;height:5" filled="true" fillcolor="#9f9f9f" stroked="false">
              <v:fill type="solid"/>
            </v:rect>
            <v:rect style="position:absolute;left:1134;top:533;width:5;height:6" filled="true" fillcolor="#9f9f9f" stroked="false">
              <v:fill type="solid"/>
            </v:rect>
            <v:rect style="position:absolute;left:10768;top:533;width:5;height:6" filled="true" fillcolor="#e2e2e2" stroked="false">
              <v:fill type="solid"/>
            </v:rect>
            <v:rect style="position:absolute;left:1134;top:539;width:5;height:5" filled="true" fillcolor="#9f9f9f" stroked="false">
              <v:fill type="solid"/>
            </v:rect>
            <v:rect style="position:absolute;left:1134;top:539;width:5;height:5" filled="true" fillcolor="#e2e2e2" stroked="false">
              <v:fill type="solid"/>
            </v:rect>
            <v:line style="position:absolute" from="1139,542" to="10769,542" stroked="true" strokeweight=".24pt" strokecolor="#e2e2e2">
              <v:stroke dashstyle="solid"/>
            </v:line>
            <v:rect style="position:absolute;left:10768;top:539;width:5;height:5" filled="true" fillcolor="#e2e2e2" stroked="false">
              <v:fill type="solid"/>
            </v:rect>
            <v:rect style="position:absolute;left:10768;top:539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spacing w:line="240" w:lineRule="auto" w:before="39"/>
        <w:rPr>
          <w:rFonts w:ascii="Calibri" w:eastAsia="Calibri"/>
        </w:rPr>
      </w:pPr>
      <w:r>
        <w:rPr/>
        <w:pict>
          <v:shape style="position:absolute;margin-left:77.940002pt;margin-top:2.61095pt;width:60pt;height:20.8pt;mso-position-horizontal-relative:page;mso-position-vertical-relative:paragraph;z-index:1096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時間序列表</w:t>
                  </w:r>
                </w:p>
              </w:txbxContent>
            </v:textbox>
            <v:fill type="solid"/>
            <w10:wrap type="none"/>
          </v:shape>
        </w:pict>
      </w:r>
      <w:r>
        <w:rPr/>
        <w:t>二</w:t>
      </w:r>
      <w:r>
        <w:rPr>
          <w:rFonts w:ascii="Calibri" w:eastAsia="Calibri"/>
        </w:rPr>
        <w:t>.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3269"/>
        <w:gridCol w:w="2208"/>
        <w:gridCol w:w="2738"/>
      </w:tblGrid>
      <w:tr>
        <w:trPr>
          <w:trHeight w:val="691" w:hRule="atLeast"/>
        </w:trPr>
        <w:tc>
          <w:tcPr>
            <w:tcW w:w="1414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3269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220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相關條件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（直接條件）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相關條件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（背景或前提）</w:t>
            </w:r>
          </w:p>
        </w:tc>
      </w:tr>
      <w:tr>
        <w:trPr>
          <w:trHeight w:val="692" w:hRule="atLeast"/>
        </w:trPr>
        <w:tc>
          <w:tcPr>
            <w:tcW w:w="1414" w:type="dxa"/>
          </w:tcPr>
          <w:p>
            <w:pPr>
              <w:pStyle w:val="TableParagraph"/>
              <w:spacing w:line="338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8 </w:t>
            </w:r>
            <w:r>
              <w:rPr>
                <w:sz w:val="20"/>
              </w:rPr>
              <w:t>月 </w:t>
            </w:r>
            <w:r>
              <w:rPr>
                <w:rFonts w:ascii="Segoe UI" w:eastAsia="Segoe UI"/>
                <w:sz w:val="20"/>
              </w:rPr>
              <w:t>6 </w:t>
            </w:r>
            <w:r>
              <w:rPr>
                <w:sz w:val="20"/>
              </w:rPr>
              <w:t>日</w:t>
            </w:r>
          </w:p>
          <w:p>
            <w:pPr>
              <w:pStyle w:val="TableParagraph"/>
              <w:spacing w:line="261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13:08</w:t>
            </w:r>
          </w:p>
        </w:tc>
        <w:tc>
          <w:tcPr>
            <w:tcW w:w="3269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罹災者抵達現場，開始更換天井燈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作業</w:t>
            </w:r>
          </w:p>
        </w:tc>
        <w:tc>
          <w:tcPr>
            <w:tcW w:w="220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無監督人員在場（假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公司未安排專人監督高風險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作業</w:t>
            </w:r>
          </w:p>
        </w:tc>
      </w:tr>
      <w:tr>
        <w:trPr>
          <w:trHeight w:val="691" w:hRule="atLeast"/>
        </w:trPr>
        <w:tc>
          <w:tcPr>
            <w:tcW w:w="1414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14:30</w:t>
            </w:r>
          </w:p>
        </w:tc>
        <w:tc>
          <w:tcPr>
            <w:tcW w:w="3269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未停止送電下調整燈具</w:t>
            </w:r>
          </w:p>
        </w:tc>
        <w:tc>
          <w:tcPr>
            <w:tcW w:w="220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未執行停電程式（假</w:t>
            </w:r>
          </w:p>
          <w:p>
            <w:pPr>
              <w:pStyle w:val="TableParagraph"/>
              <w:spacing w:line="340" w:lineRule="exact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43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缺乏明確停電作業 </w:t>
            </w:r>
            <w:r>
              <w:rPr>
                <w:rFonts w:ascii="Segoe UI" w:eastAsia="Segoe UI"/>
                <w:sz w:val="20"/>
              </w:rPr>
              <w:t>SOP</w:t>
            </w:r>
          </w:p>
        </w:tc>
      </w:tr>
      <w:tr>
        <w:trPr>
          <w:trHeight w:val="690" w:hRule="atLeast"/>
        </w:trPr>
        <w:tc>
          <w:tcPr>
            <w:tcW w:w="1414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14:30</w:t>
            </w:r>
          </w:p>
        </w:tc>
        <w:tc>
          <w:tcPr>
            <w:tcW w:w="3269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右手碰觸帶電螺旋金屬</w:t>
            </w:r>
          </w:p>
        </w:tc>
        <w:tc>
          <w:tcPr>
            <w:tcW w:w="2208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未使用絕緣工具（假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未提供或要求使用絕緣工具</w:t>
            </w:r>
          </w:p>
        </w:tc>
      </w:tr>
      <w:tr>
        <w:trPr>
          <w:trHeight w:val="691" w:hRule="atLeast"/>
        </w:trPr>
        <w:tc>
          <w:tcPr>
            <w:tcW w:w="1414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14:30</w:t>
            </w:r>
          </w:p>
        </w:tc>
        <w:tc>
          <w:tcPr>
            <w:tcW w:w="3269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感電倒地</w:t>
            </w:r>
          </w:p>
        </w:tc>
        <w:tc>
          <w:tcPr>
            <w:tcW w:w="2208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未穿戴絕緣手套（假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未進行個人防護裝備檢查</w:t>
            </w:r>
          </w:p>
        </w:tc>
      </w:tr>
      <w:tr>
        <w:trPr>
          <w:trHeight w:val="691" w:hRule="atLeast"/>
        </w:trPr>
        <w:tc>
          <w:tcPr>
            <w:tcW w:w="1414" w:type="dxa"/>
          </w:tcPr>
          <w:p>
            <w:pPr>
              <w:pStyle w:val="TableParagraph"/>
              <w:spacing w:line="253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16:11</w:t>
            </w:r>
          </w:p>
        </w:tc>
        <w:tc>
          <w:tcPr>
            <w:tcW w:w="3269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送醫不治死亡</w:t>
            </w:r>
          </w:p>
        </w:tc>
        <w:tc>
          <w:tcPr>
            <w:tcW w:w="2208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延遲發現事故（假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  <w:tc>
          <w:tcPr>
            <w:tcW w:w="2738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缺乏緊急應變程式</w:t>
            </w:r>
          </w:p>
        </w:tc>
      </w:tr>
    </w:tbl>
    <w:p>
      <w:pPr>
        <w:pStyle w:val="BodyText"/>
        <w:spacing w:before="11"/>
        <w:rPr>
          <w:rFonts w:ascii="Calibri"/>
          <w:b/>
          <w:sz w:val="9"/>
        </w:rPr>
      </w:pPr>
      <w:r>
        <w:rPr/>
        <w:pict>
          <v:group style="position:absolute;margin-left:56.700001pt;margin-top:8.050524pt;width:482pt;height:.8pt;mso-position-horizontal-relative:page;mso-position-vertical-relative:paragraph;z-index:-976;mso-wrap-distance-left:0;mso-wrap-distance-right:0" coordorigin="1134,161" coordsize="9640,16">
            <v:line style="position:absolute" from="1134,169" to="10774,169" stroked="true" strokeweight=".8pt" strokecolor="#9f9f9f">
              <v:stroke dashstyle="solid"/>
            </v:line>
            <v:rect style="position:absolute;left:1134;top:161;width:5;height:5" filled="true" fillcolor="#9f9f9f" stroked="false">
              <v:fill type="solid"/>
            </v:rect>
            <v:rect style="position:absolute;left:1134;top:161;width:5;height:5" filled="true" fillcolor="#9f9f9f" stroked="false">
              <v:fill type="solid"/>
            </v:rect>
            <v:line style="position:absolute" from="1139,163" to="10769,163" stroked="true" strokeweight=".239pt" strokecolor="#9f9f9f">
              <v:stroke dashstyle="solid"/>
            </v:line>
            <v:rect style="position:absolute;left:10768;top:161;width:5;height:5" filled="true" fillcolor="#e2e2e2" stroked="false">
              <v:fill type="solid"/>
            </v:rect>
            <v:rect style="position:absolute;left:10768;top:161;width:5;height:5" filled="true" fillcolor="#9f9f9f" stroked="false">
              <v:fill type="solid"/>
            </v:rect>
            <v:rect style="position:absolute;left:1134;top:165;width:5;height:7" filled="true" fillcolor="#9f9f9f" stroked="false">
              <v:fill type="solid"/>
            </v:rect>
            <v:rect style="position:absolute;left:10768;top:165;width:5;height:7" filled="true" fillcolor="#e2e2e2" stroked="false">
              <v:fill type="solid"/>
            </v:rect>
            <v:rect style="position:absolute;left:1134;top:171;width:5;height:5" filled="true" fillcolor="#9f9f9f" stroked="false">
              <v:fill type="solid"/>
            </v:rect>
            <v:rect style="position:absolute;left:1134;top:171;width:5;height:5" filled="true" fillcolor="#e2e2e2" stroked="false">
              <v:fill type="solid"/>
            </v:rect>
            <v:line style="position:absolute" from="1139,174" to="10769,174" stroked="true" strokeweight=".239pt" strokecolor="#e2e2e2">
              <v:stroke dashstyle="solid"/>
            </v:line>
            <v:rect style="position:absolute;left:10768;top:171;width:5;height:5" filled="true" fillcolor="#e2e2e2" stroked="false">
              <v:fill type="solid"/>
            </v:rect>
            <v:rect style="position:absolute;left:10768;top:17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7"/>
        <w:rPr>
          <w:rFonts w:ascii="Calibri"/>
          <w:b/>
        </w:rPr>
      </w:pPr>
    </w:p>
    <w:p>
      <w:pPr>
        <w:spacing w:before="0"/>
        <w:ind w:left="114" w:right="0" w:firstLine="0"/>
        <w:jc w:val="left"/>
        <w:rPr>
          <w:b/>
          <w:sz w:val="24"/>
        </w:rPr>
      </w:pPr>
      <w:r>
        <w:rPr>
          <w:b/>
          <w:sz w:val="24"/>
        </w:rPr>
        <w:t>三</w:t>
      </w:r>
      <w:r>
        <w:rPr>
          <w:rFonts w:ascii="Calibri" w:eastAsia="Calibri"/>
          <w:b/>
          <w:sz w:val="24"/>
        </w:rPr>
        <w:t>. </w:t>
      </w:r>
      <w:r>
        <w:rPr>
          <w:b/>
          <w:sz w:val="24"/>
        </w:rPr>
        <w:t>為何樹分析（</w:t>
      </w:r>
      <w:r>
        <w:rPr>
          <w:rFonts w:ascii="Calibri" w:eastAsia="Calibri"/>
          <w:b/>
          <w:sz w:val="24"/>
        </w:rPr>
        <w:t>Why Tree</w:t>
      </w:r>
      <w:r>
        <w:rPr>
          <w:b/>
          <w:sz w:val="24"/>
        </w:rPr>
        <w:t>）</w:t>
      </w: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584" w:top="940" w:bottom="780" w:left="1020" w:right="1020"/>
          <w:pgNumType w:start="1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5938061" cy="4962144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061" cy="49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428" w:lineRule="exact" w:before="39"/>
        <w:ind w:left="114"/>
      </w:pPr>
      <w:r>
        <w:rPr/>
        <w:t>假設說明：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未確認斷電狀態</w:t>
      </w:r>
      <w:r>
        <w:rPr>
          <w:sz w:val="24"/>
        </w:rPr>
        <w:t>：根據感電事實反推電源未確實隔離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rFonts w:ascii="Calibri" w:eastAsia="Calibri"/>
          <w:sz w:val="24"/>
        </w:rPr>
      </w:pPr>
      <w:r>
        <w:rPr>
          <w:b/>
          <w:sz w:val="24"/>
        </w:rPr>
        <w:t>未穿戴絕緣防護具</w:t>
      </w:r>
      <w:r>
        <w:rPr>
          <w:spacing w:val="-1"/>
          <w:sz w:val="24"/>
        </w:rPr>
        <w:t>：從死亡路徑推測缺乏基本電工 </w:t>
      </w:r>
      <w:r>
        <w:rPr>
          <w:rFonts w:ascii="Calibri" w:eastAsia="Calibri"/>
          <w:sz w:val="24"/>
        </w:rPr>
        <w:t>PPE</w:t>
      </w:r>
    </w:p>
    <w:p>
      <w:pPr>
        <w:pStyle w:val="BodyText"/>
        <w:spacing w:line="428" w:lineRule="exact"/>
        <w:ind w:left="113"/>
      </w:pPr>
      <w:r>
        <w:rPr/>
        <w:t>根本原因鏈：設備帶電→程式違反→監督缺位→管理制度失效→安全文化缺失</w:t>
      </w:r>
    </w:p>
    <w:p>
      <w:pPr>
        <w:pStyle w:val="BodyText"/>
        <w:spacing w:before="3"/>
        <w:rPr>
          <w:sz w:val="26"/>
        </w:rPr>
      </w:pPr>
      <w:r>
        <w:rPr/>
        <w:pict>
          <v:group style="position:absolute;margin-left:56.700001pt;margin-top:26.068886pt;width:482pt;height:.8pt;mso-position-horizontal-relative:page;mso-position-vertical-relative:paragraph;z-index:-928;mso-wrap-distance-left:0;mso-wrap-distance-right:0" coordorigin="1134,521" coordsize="9640,16">
            <v:line style="position:absolute" from="1134,529" to="10774,529" stroked="true" strokeweight=".8pt" strokecolor="#9f9f9f">
              <v:stroke dashstyle="solid"/>
            </v:line>
            <v:rect style="position:absolute;left:1134;top:521;width:5;height:5" filled="true" fillcolor="#9f9f9f" stroked="false">
              <v:fill type="solid"/>
            </v:rect>
            <v:rect style="position:absolute;left:1134;top:521;width:5;height:5" filled="true" fillcolor="#9f9f9f" stroked="false">
              <v:fill type="solid"/>
            </v:rect>
            <v:line style="position:absolute" from="1139,524" to="10769,524" stroked="true" strokeweight=".24pt" strokecolor="#9f9f9f">
              <v:stroke dashstyle="solid"/>
            </v:line>
            <v:rect style="position:absolute;left:10768;top:521;width:5;height:5" filled="true" fillcolor="#e2e2e2" stroked="false">
              <v:fill type="solid"/>
            </v:rect>
            <v:rect style="position:absolute;left:10768;top:521;width:5;height:5" filled="true" fillcolor="#9f9f9f" stroked="false">
              <v:fill type="solid"/>
            </v:rect>
            <v:rect style="position:absolute;left:1134;top:526;width:5;height:6" filled="true" fillcolor="#9f9f9f" stroked="false">
              <v:fill type="solid"/>
            </v:rect>
            <v:rect style="position:absolute;left:10768;top:526;width:5;height:6" filled="true" fillcolor="#e2e2e2" stroked="false">
              <v:fill type="solid"/>
            </v:rect>
            <v:rect style="position:absolute;left:1134;top:532;width:5;height:5" filled="true" fillcolor="#9f9f9f" stroked="false">
              <v:fill type="solid"/>
            </v:rect>
            <v:rect style="position:absolute;left:1134;top:532;width:5;height:5" filled="true" fillcolor="#e2e2e2" stroked="false">
              <v:fill type="solid"/>
            </v:rect>
            <v:line style="position:absolute" from="1139,535" to="10769,535" stroked="true" strokeweight=".24pt" strokecolor="#e2e2e2">
              <v:stroke dashstyle="solid"/>
            </v:line>
            <v:rect style="position:absolute;left:10768;top:532;width:5;height:5" filled="true" fillcolor="#e2e2e2" stroked="false">
              <v:fill type="solid"/>
            </v:rect>
            <v:rect style="position:absolute;left:10768;top:53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spacing w:line="240" w:lineRule="auto" w:before="39"/>
        <w:rPr>
          <w:rFonts w:ascii="Calibri" w:eastAsia="Calibri"/>
        </w:rPr>
      </w:pPr>
      <w:r>
        <w:rPr/>
        <w:pict>
          <v:shape style="position:absolute;margin-left:77.940002pt;margin-top:2.610933pt;width:48pt;height:20.8pt;mso-position-horizontal-relative:page;mso-position-vertical-relative:paragraph;z-index:1168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屏障分析</w:t>
                  </w:r>
                </w:p>
              </w:txbxContent>
            </v:textbox>
            <v:fill type="solid"/>
            <w10:wrap type="none"/>
          </v:shape>
        </w:pict>
      </w:r>
      <w:r>
        <w:rPr/>
        <w:t>四</w:t>
      </w:r>
      <w:r>
        <w:rPr>
          <w:rFonts w:ascii="Calibri" w:eastAsia="Calibri"/>
        </w:rPr>
        <w:t>.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1616"/>
        <w:gridCol w:w="2085"/>
        <w:gridCol w:w="2416"/>
      </w:tblGrid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屏障類別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屏障表現</w:t>
            </w:r>
          </w:p>
        </w:tc>
        <w:tc>
          <w:tcPr>
            <w:tcW w:w="208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影響事故的方式</w:t>
            </w:r>
          </w:p>
        </w:tc>
      </w:tr>
      <w:tr>
        <w:trPr>
          <w:trHeight w:val="345" w:hRule="atLeast"/>
        </w:trPr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停電程式</w:t>
            </w:r>
          </w:p>
        </w:tc>
        <w:tc>
          <w:tcPr>
            <w:tcW w:w="16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未執行</w:t>
            </w:r>
          </w:p>
        </w:tc>
        <w:tc>
          <w:tcPr>
            <w:tcW w:w="2085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缺乏明確 </w:t>
            </w:r>
            <w:r>
              <w:rPr>
                <w:rFonts w:ascii="Segoe UI" w:eastAsia="Segoe UI"/>
                <w:sz w:val="20"/>
              </w:rPr>
              <w:t>SOP </w:t>
            </w:r>
            <w:r>
              <w:rPr>
                <w:sz w:val="20"/>
              </w:rPr>
              <w:t>或監督</w:t>
            </w:r>
          </w:p>
        </w:tc>
        <w:tc>
          <w:tcPr>
            <w:tcW w:w="24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直接導致帶電作業風險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絕緣工具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未使用</w:t>
            </w:r>
          </w:p>
        </w:tc>
        <w:tc>
          <w:tcPr>
            <w:tcW w:w="208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未提供或未要求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增加感電可能性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個人防護裝備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未穿戴絕緣手套</w:t>
            </w:r>
          </w:p>
        </w:tc>
        <w:tc>
          <w:tcPr>
            <w:tcW w:w="208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未檢查或未提供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未能阻斷電流通路</w:t>
            </w:r>
          </w:p>
        </w:tc>
      </w:tr>
      <w:tr>
        <w:trPr>
          <w:trHeight w:val="345" w:hRule="atLeast"/>
        </w:trPr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現場監督</w:t>
            </w:r>
          </w:p>
        </w:tc>
        <w:tc>
          <w:tcPr>
            <w:tcW w:w="16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無人在場</w:t>
            </w:r>
          </w:p>
        </w:tc>
        <w:tc>
          <w:tcPr>
            <w:tcW w:w="2085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未安排專人監督</w:t>
            </w:r>
          </w:p>
        </w:tc>
        <w:tc>
          <w:tcPr>
            <w:tcW w:w="24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無法及時制止不安全行為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緊急應變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延遲發現與通報</w:t>
            </w:r>
          </w:p>
        </w:tc>
        <w:tc>
          <w:tcPr>
            <w:tcW w:w="208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缺乏緊急應變程式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延誤救援時間</w:t>
            </w:r>
          </w:p>
        </w:tc>
      </w:tr>
    </w:tbl>
    <w:p>
      <w:pPr>
        <w:pStyle w:val="BodyText"/>
        <w:spacing w:before="11"/>
        <w:rPr>
          <w:rFonts w:ascii="Calibri"/>
          <w:b/>
          <w:sz w:val="9"/>
        </w:rPr>
      </w:pPr>
      <w:r>
        <w:rPr/>
        <w:pict>
          <v:group style="position:absolute;margin-left:56.700001pt;margin-top:8.052524pt;width:482pt;height:.8pt;mso-position-horizontal-relative:page;mso-position-vertical-relative:paragraph;z-index:-904;mso-wrap-distance-left:0;mso-wrap-distance-right:0" coordorigin="1134,161" coordsize="9640,16">
            <v:line style="position:absolute" from="1134,169" to="10774,169" stroked="true" strokeweight=".75pt" strokecolor="#9f9f9f">
              <v:stroke dashstyle="solid"/>
            </v:line>
            <v:rect style="position:absolute;left:1134;top:161;width:5;height:5" filled="true" fillcolor="#9f9f9f" stroked="false">
              <v:fill type="solid"/>
            </v:rect>
            <v:rect style="position:absolute;left:1134;top:161;width:5;height:5" filled="true" fillcolor="#9f9f9f" stroked="false">
              <v:fill type="solid"/>
            </v:rect>
            <v:line style="position:absolute" from="1139,163" to="10769,163" stroked="true" strokeweight=".239pt" strokecolor="#9f9f9f">
              <v:stroke dashstyle="solid"/>
            </v:line>
            <v:rect style="position:absolute;left:10768;top:161;width:5;height:5" filled="true" fillcolor="#e2e2e2" stroked="false">
              <v:fill type="solid"/>
            </v:rect>
            <v:rect style="position:absolute;left:10768;top:161;width:5;height:5" filled="true" fillcolor="#9f9f9f" stroked="false">
              <v:fill type="solid"/>
            </v:rect>
            <v:rect style="position:absolute;left:1134;top:165;width:5;height:7" filled="true" fillcolor="#9f9f9f" stroked="false">
              <v:fill type="solid"/>
            </v:rect>
            <v:rect style="position:absolute;left:10768;top:165;width:5;height:7" filled="true" fillcolor="#e2e2e2" stroked="false">
              <v:fill type="solid"/>
            </v:rect>
            <v:rect style="position:absolute;left:1134;top:171;width:5;height:5" filled="true" fillcolor="#9f9f9f" stroked="false">
              <v:fill type="solid"/>
            </v:rect>
            <v:rect style="position:absolute;left:1134;top:171;width:5;height:5" filled="true" fillcolor="#e2e2e2" stroked="false">
              <v:fill type="solid"/>
            </v:rect>
            <v:line style="position:absolute" from="1139,174" to="10769,174" stroked="true" strokeweight=".239pt" strokecolor="#e2e2e2">
              <v:stroke dashstyle="solid"/>
            </v:line>
            <v:rect style="position:absolute;left:10768;top:171;width:5;height:5" filled="true" fillcolor="#e2e2e2" stroked="false">
              <v:fill type="solid"/>
            </v:rect>
            <v:rect style="position:absolute;left:10768;top:171;width:5;height:5" filled="true" fillcolor="#e2e2e2" stroked="false">
              <v:fill type="solid"/>
            </v:rect>
            <w10:wrap type="topAndBottom"/>
          </v:group>
        </w:pict>
      </w:r>
    </w:p>
    <w:p>
      <w:pPr>
        <w:spacing w:after="0"/>
        <w:rPr>
          <w:rFonts w:ascii="Calibri"/>
          <w:sz w:val="9"/>
        </w:rPr>
        <w:sectPr>
          <w:pgSz w:w="11910" w:h="16840"/>
          <w:pgMar w:header="0" w:footer="584" w:top="1560" w:bottom="780" w:left="1020" w:right="1020"/>
        </w:sectPr>
      </w:pPr>
    </w:p>
    <w:p>
      <w:pPr>
        <w:spacing w:before="20"/>
        <w:ind w:left="114" w:right="0" w:firstLine="0"/>
        <w:jc w:val="left"/>
        <w:rPr>
          <w:rFonts w:ascii="Calibri" w:eastAsia="Calibri"/>
          <w:b/>
          <w:sz w:val="24"/>
        </w:rPr>
      </w:pPr>
      <w:r>
        <w:rPr/>
        <w:pict>
          <v:shape style="position:absolute;margin-left:77.940002pt;margin-top:1.660938pt;width:48pt;height:20.8pt;mso-position-horizontal-relative:page;mso-position-vertical-relative:paragraph;z-index:1240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變更分析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4"/>
        </w:rPr>
        <w:t>五</w:t>
      </w:r>
      <w:r>
        <w:rPr>
          <w:rFonts w:ascii="Calibri" w:eastAsia="Calibri"/>
          <w:b/>
          <w:sz w:val="24"/>
        </w:rPr>
        <w:t>.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1416"/>
        <w:gridCol w:w="2416"/>
        <w:gridCol w:w="1617"/>
        <w:gridCol w:w="2416"/>
      </w:tblGrid>
      <w:tr>
        <w:trPr>
          <w:trHeight w:val="346" w:hRule="atLeast"/>
        </w:trPr>
        <w:tc>
          <w:tcPr>
            <w:tcW w:w="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理想狀況（假設）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差異（變更）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效果評估</w:t>
            </w:r>
          </w:p>
        </w:tc>
      </w:tr>
      <w:tr>
        <w:trPr>
          <w:trHeight w:val="346" w:hRule="atLeast"/>
        </w:trPr>
        <w:tc>
          <w:tcPr>
            <w:tcW w:w="835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WHAT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帶電作業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停電後作業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未執行停電程式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直接導致感電風險</w:t>
            </w:r>
          </w:p>
        </w:tc>
      </w:tr>
      <w:tr>
        <w:trPr>
          <w:trHeight w:val="345" w:hRule="atLeast"/>
        </w:trPr>
        <w:tc>
          <w:tcPr>
            <w:tcW w:w="835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HOW</w:t>
            </w:r>
          </w:p>
        </w:tc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徒手調整燈具</w:t>
            </w:r>
          </w:p>
        </w:tc>
        <w:tc>
          <w:tcPr>
            <w:tcW w:w="24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使用絕緣工具</w:t>
            </w:r>
          </w:p>
        </w:tc>
        <w:tc>
          <w:tcPr>
            <w:tcW w:w="1617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未使用絕緣工具</w:t>
            </w:r>
          </w:p>
        </w:tc>
        <w:tc>
          <w:tcPr>
            <w:tcW w:w="2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增加感電可能性</w:t>
            </w:r>
          </w:p>
        </w:tc>
      </w:tr>
      <w:tr>
        <w:trPr>
          <w:trHeight w:val="346" w:hRule="atLeast"/>
        </w:trPr>
        <w:tc>
          <w:tcPr>
            <w:tcW w:w="835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WHO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無監督人員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有專人監督高風險作業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監督缺失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未能及時糾正不安全行為</w:t>
            </w:r>
          </w:p>
        </w:tc>
      </w:tr>
      <w:tr>
        <w:trPr>
          <w:trHeight w:val="346" w:hRule="atLeast"/>
        </w:trPr>
        <w:tc>
          <w:tcPr>
            <w:tcW w:w="835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OTHER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臨時性作業</w:t>
            </w:r>
          </w:p>
        </w:tc>
        <w:tc>
          <w:tcPr>
            <w:tcW w:w="24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預先規劃停電與安全措施</w:t>
            </w:r>
          </w:p>
        </w:tc>
        <w:tc>
          <w:tcPr>
            <w:tcW w:w="16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未經風險評估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未識別潛在危害</w:t>
            </w:r>
          </w:p>
        </w:tc>
      </w:tr>
    </w:tbl>
    <w:p>
      <w:pPr>
        <w:pStyle w:val="BodyText"/>
        <w:rPr>
          <w:rFonts w:ascii="Calibri"/>
          <w:b/>
          <w:sz w:val="10"/>
        </w:rPr>
      </w:pPr>
      <w:r>
        <w:rPr/>
        <w:pict>
          <v:group style="position:absolute;margin-left:56.700001pt;margin-top:8.092594pt;width:482pt;height:.8pt;mso-position-horizontal-relative:page;mso-position-vertical-relative:paragraph;z-index:-856;mso-wrap-distance-left:0;mso-wrap-distance-right:0" coordorigin="1134,162" coordsize="9640,16">
            <v:line style="position:absolute" from="1134,170" to="10774,170" stroked="true" strokeweight=".8pt" strokecolor="#9f9f9f">
              <v:stroke dashstyle="solid"/>
            </v:line>
            <v:rect style="position:absolute;left:1134;top:161;width:5;height:5" filled="true" fillcolor="#9f9f9f" stroked="false">
              <v:fill type="solid"/>
            </v:rect>
            <v:rect style="position:absolute;left:1134;top:161;width:5;height:5" filled="true" fillcolor="#9f9f9f" stroked="false">
              <v:fill type="solid"/>
            </v:rect>
            <v:line style="position:absolute" from="1139,164" to="10769,164" stroked="true" strokeweight=".239pt" strokecolor="#9f9f9f">
              <v:stroke dashstyle="solid"/>
            </v:line>
            <v:rect style="position:absolute;left:10768;top:161;width:5;height:5" filled="true" fillcolor="#e2e2e2" stroked="false">
              <v:fill type="solid"/>
            </v:rect>
            <v:rect style="position:absolute;left:10768;top:161;width:5;height:5" filled="true" fillcolor="#9f9f9f" stroked="false">
              <v:fill type="solid"/>
            </v:rect>
            <v:rect style="position:absolute;left:1134;top:166;width:5;height:7" filled="true" fillcolor="#9f9f9f" stroked="false">
              <v:fill type="solid"/>
            </v:rect>
            <v:rect style="position:absolute;left:10768;top:166;width:5;height:7" filled="true" fillcolor="#e2e2e2" stroked="false">
              <v:fill type="solid"/>
            </v:rect>
            <v:rect style="position:absolute;left:1134;top:172;width:5;height:5" filled="true" fillcolor="#9f9f9f" stroked="false">
              <v:fill type="solid"/>
            </v:rect>
            <v:rect style="position:absolute;left:1134;top:172;width:5;height:5" filled="true" fillcolor="#e2e2e2" stroked="false">
              <v:fill type="solid"/>
            </v:rect>
            <v:line style="position:absolute" from="1139,175" to="10769,175" stroked="true" strokeweight=".239pt" strokecolor="#e2e2e2">
              <v:stroke dashstyle="solid"/>
            </v:line>
            <v:rect style="position:absolute;left:10768;top:172;width:5;height:5" filled="true" fillcolor="#e2e2e2" stroked="false">
              <v:fill type="solid"/>
            </v:rect>
            <v:rect style="position:absolute;left:10768;top:17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8"/>
        <w:rPr>
          <w:rFonts w:ascii="Calibri"/>
          <w:b/>
          <w:sz w:val="25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797"/>
        <w:gridCol w:w="643"/>
        <w:gridCol w:w="2393"/>
        <w:gridCol w:w="2616"/>
      </w:tblGrid>
      <w:tr>
        <w:trPr>
          <w:trHeight w:val="415" w:hRule="atLeast"/>
        </w:trPr>
        <w:tc>
          <w:tcPr>
            <w:tcW w:w="4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95" w:lineRule="exact"/>
              <w:ind w:left="0"/>
              <w:rPr>
                <w:rFonts w:ascii="Calibri" w:eastAsia="Calibri"/>
                <w:b/>
                <w:sz w:val="24"/>
              </w:rPr>
            </w:pPr>
            <w:r>
              <w:rPr>
                <w:b/>
                <w:sz w:val="24"/>
              </w:rPr>
              <w:t>六</w:t>
            </w:r>
            <w:r>
              <w:rPr>
                <w:rFonts w:ascii="Calibri" w:eastAsia="Calibri"/>
                <w:b/>
                <w:sz w:val="24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395" w:lineRule="exact"/>
              <w:ind w:left="4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人為失效分析</w:t>
            </w:r>
          </w:p>
        </w:tc>
        <w:tc>
          <w:tcPr>
            <w:tcW w:w="5009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1217" w:type="dxa"/>
            <w:gridSpan w:val="2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失效類型</w:t>
            </w:r>
          </w:p>
        </w:tc>
        <w:tc>
          <w:tcPr>
            <w:tcW w:w="3036" w:type="dxa"/>
            <w:gridSpan w:val="2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可能原因（直接）</w:t>
            </w:r>
          </w:p>
        </w:tc>
        <w:tc>
          <w:tcPr>
            <w:tcW w:w="2616" w:type="dxa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根本原因（管理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系統）</w:t>
            </w:r>
          </w:p>
        </w:tc>
      </w:tr>
      <w:tr>
        <w:trPr>
          <w:trHeight w:val="346" w:hRule="atLeast"/>
        </w:trPr>
        <w:tc>
          <w:tcPr>
            <w:tcW w:w="121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規則性錯誤</w:t>
            </w:r>
          </w:p>
        </w:tc>
        <w:tc>
          <w:tcPr>
            <w:tcW w:w="3036" w:type="dxa"/>
            <w:gridSpan w:val="2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未遵守停電程式（假設無 </w:t>
            </w:r>
            <w:r>
              <w:rPr>
                <w:rFonts w:ascii="Segoe UI" w:eastAsia="Segoe UI"/>
                <w:sz w:val="20"/>
              </w:rPr>
              <w:t>SOP</w:t>
            </w:r>
            <w:r>
              <w:rPr>
                <w:sz w:val="20"/>
              </w:rPr>
              <w:t>）</w:t>
            </w:r>
          </w:p>
        </w:tc>
        <w:tc>
          <w:tcPr>
            <w:tcW w:w="26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缺乏明確作業程式與培訓</w:t>
            </w:r>
          </w:p>
        </w:tc>
      </w:tr>
      <w:tr>
        <w:trPr>
          <w:trHeight w:val="345" w:hRule="atLeast"/>
        </w:trPr>
        <w:tc>
          <w:tcPr>
            <w:tcW w:w="1217" w:type="dxa"/>
            <w:gridSpan w:val="2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技能性錯誤</w:t>
            </w:r>
          </w:p>
        </w:tc>
        <w:tc>
          <w:tcPr>
            <w:tcW w:w="3036" w:type="dxa"/>
            <w:gridSpan w:val="2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未正確使用絕緣工具</w:t>
            </w:r>
          </w:p>
        </w:tc>
        <w:tc>
          <w:tcPr>
            <w:tcW w:w="2616" w:type="dxa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未提供工具或訓練不足</w:t>
            </w:r>
          </w:p>
        </w:tc>
      </w:tr>
      <w:tr>
        <w:trPr>
          <w:trHeight w:val="346" w:hRule="atLeast"/>
        </w:trPr>
        <w:tc>
          <w:tcPr>
            <w:tcW w:w="121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違規行為</w:t>
            </w:r>
          </w:p>
        </w:tc>
        <w:tc>
          <w:tcPr>
            <w:tcW w:w="3036" w:type="dxa"/>
            <w:gridSpan w:val="2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未穿戴防護裝備</w:t>
            </w:r>
          </w:p>
        </w:tc>
        <w:tc>
          <w:tcPr>
            <w:tcW w:w="26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安全文化薄弱，未強制要求</w:t>
            </w:r>
          </w:p>
        </w:tc>
      </w:tr>
    </w:tbl>
    <w:p>
      <w:pPr>
        <w:pStyle w:val="BodyText"/>
        <w:rPr>
          <w:rFonts w:ascii="Calibri"/>
          <w:b/>
          <w:sz w:val="11"/>
        </w:rPr>
      </w:pPr>
      <w:r>
        <w:rPr/>
        <w:pict>
          <v:group style="position:absolute;margin-left:56.700001pt;margin-top:8.7pt;width:482pt;height:.8pt;mso-position-horizontal-relative:page;mso-position-vertical-relative:paragraph;z-index:-832;mso-wrap-distance-left:0;mso-wrap-distance-right:0" coordorigin="1134,174" coordsize="9640,16">
            <v:line style="position:absolute" from="1134,182" to="10774,182" stroked="true" strokeweight=".751pt" strokecolor="#9f9f9f">
              <v:stroke dashstyle="solid"/>
            </v:line>
            <v:rect style="position:absolute;left:1134;top:174;width:5;height:5" filled="true" fillcolor="#9f9f9f" stroked="false">
              <v:fill type="solid"/>
            </v:rect>
            <v:rect style="position:absolute;left:1134;top:174;width:5;height:5" filled="true" fillcolor="#9f9f9f" stroked="false">
              <v:fill type="solid"/>
            </v:rect>
            <v:line style="position:absolute" from="1139,176" to="10769,176" stroked="true" strokeweight=".24pt" strokecolor="#9f9f9f">
              <v:stroke dashstyle="solid"/>
            </v:line>
            <v:rect style="position:absolute;left:10768;top:174;width:5;height:5" filled="true" fillcolor="#e2e2e2" stroked="false">
              <v:fill type="solid"/>
            </v:rect>
            <v:rect style="position:absolute;left:10768;top:174;width:5;height:5" filled="true" fillcolor="#9f9f9f" stroked="false">
              <v:fill type="solid"/>
            </v:rect>
            <v:rect style="position:absolute;left:1134;top:178;width:5;height:6" filled="true" fillcolor="#9f9f9f" stroked="false">
              <v:fill type="solid"/>
            </v:rect>
            <v:rect style="position:absolute;left:10768;top:178;width:5;height:6" filled="true" fillcolor="#e2e2e2" stroked="false">
              <v:fill type="solid"/>
            </v:rect>
            <v:rect style="position:absolute;left:1134;top:184;width:5;height:5" filled="true" fillcolor="#9f9f9f" stroked="false">
              <v:fill type="solid"/>
            </v:rect>
            <v:rect style="position:absolute;left:1134;top:184;width:5;height:5" filled="true" fillcolor="#e2e2e2" stroked="false">
              <v:fill type="solid"/>
            </v:rect>
            <v:line style="position:absolute" from="1139,187" to="10769,187" stroked="true" strokeweight=".24pt" strokecolor="#e2e2e2">
              <v:stroke dashstyle="solid"/>
            </v:line>
            <v:rect style="position:absolute;left:10768;top:184;width:5;height:5" filled="true" fillcolor="#e2e2e2" stroked="false">
              <v:fill type="solid"/>
            </v:rect>
            <v:rect style="position:absolute;left:10768;top:18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7"/>
        <w:rPr>
          <w:rFonts w:ascii="Calibri"/>
          <w:b/>
        </w:rPr>
      </w:pPr>
    </w:p>
    <w:p>
      <w:pPr>
        <w:spacing w:line="428" w:lineRule="exact" w:before="0"/>
        <w:ind w:left="114" w:right="0" w:firstLine="0"/>
        <w:jc w:val="left"/>
        <w:rPr>
          <w:b/>
          <w:sz w:val="24"/>
        </w:rPr>
      </w:pPr>
      <w:r>
        <w:rPr>
          <w:b/>
          <w:sz w:val="24"/>
        </w:rPr>
        <w:t>七</w:t>
      </w:r>
      <w:r>
        <w:rPr>
          <w:rFonts w:ascii="Calibri" w:eastAsia="Calibri"/>
          <w:b/>
          <w:sz w:val="24"/>
        </w:rPr>
        <w:t>. </w:t>
      </w:r>
      <w:r>
        <w:rPr>
          <w:b/>
          <w:sz w:val="24"/>
          <w:shd w:fill="D9D9D9" w:color="auto" w:val="clear"/>
        </w:rPr>
        <w:t>根本原因探討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管理系統缺失</w:t>
      </w:r>
      <w:r>
        <w:rPr>
          <w:sz w:val="24"/>
        </w:rPr>
        <w:t>：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未建立高風險作業（如帶電作業）的標準程式（</w:t>
      </w:r>
      <w:r>
        <w:rPr>
          <w:rFonts w:ascii="Calibri" w:hAnsi="Calibri" w:eastAsia="Calibri"/>
          <w:sz w:val="24"/>
        </w:rPr>
        <w:t>SOP</w:t>
      </w:r>
      <w:r>
        <w:rPr>
          <w:sz w:val="24"/>
        </w:rPr>
        <w:t>）。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未提供必要的絕緣工具和防護裝備。</w:t>
      </w:r>
    </w:p>
    <w:p>
      <w:pPr>
        <w:pStyle w:val="Heading1"/>
        <w:numPr>
          <w:ilvl w:val="0"/>
          <w:numId w:val="3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b w:val="0"/>
        </w:rPr>
      </w:pPr>
      <w:r>
        <w:rPr/>
        <w:t>監督與文化問題</w:t>
      </w:r>
      <w:r>
        <w:rPr>
          <w:b w:val="0"/>
        </w:rPr>
        <w:t>：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未安排專人監督臨時性高風險作業。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安全文化薄弱，默許不安全行為（如徒手操作）。</w:t>
      </w:r>
    </w:p>
    <w:p>
      <w:pPr>
        <w:pStyle w:val="Heading1"/>
        <w:numPr>
          <w:ilvl w:val="0"/>
          <w:numId w:val="3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b w:val="0"/>
        </w:rPr>
      </w:pPr>
      <w:r>
        <w:rPr/>
        <w:t>應急準備不足</w:t>
      </w:r>
      <w:r>
        <w:rPr>
          <w:b w:val="0"/>
        </w:rPr>
        <w:t>：</w:t>
      </w:r>
    </w:p>
    <w:p>
      <w:pPr>
        <w:pStyle w:val="ListParagraph"/>
        <w:numPr>
          <w:ilvl w:val="1"/>
          <w:numId w:val="3"/>
        </w:numPr>
        <w:tabs>
          <w:tab w:pos="1553" w:val="left" w:leader="none"/>
          <w:tab w:pos="1554" w:val="left" w:leader="none"/>
        </w:tabs>
        <w:spacing w:line="428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缺乏緊急應變程式，導致救援延遲。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13"/>
      </w:pPr>
      <w:r>
        <w:rPr/>
        <w:t>本回答由 </w:t>
      </w:r>
      <w:r>
        <w:rPr>
          <w:rFonts w:ascii="Calibri" w:eastAsia="Calibri"/>
        </w:rPr>
        <w:t>AI </w:t>
      </w:r>
      <w:r>
        <w:rPr/>
        <w:t>生成並經講師潤飾，內容僅供參考，請仔細甄別。</w:t>
      </w:r>
    </w:p>
    <w:sectPr>
      <w:pgSz w:w="11910" w:h="16840"/>
      <w:pgMar w:header="0" w:footer="584" w:top="940" w:bottom="7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軟正黑體">
    <w:altName w:val="微軟正黑體"/>
    <w:charset w:val="88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140015pt;margin-top:801.724976pt;width:9.1pt;height:12.05pt;mso-position-horizontal-relative:page;mso-position-vertical-relative:page;z-index:-12664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4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8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4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5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61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14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84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4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5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15" w:lineRule="exact"/>
      <w:ind w:left="114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34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spacing w:line="326" w:lineRule="exact"/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2025-07-25T00:10:07Z</dcterms:created>
  <dcterms:modified xsi:type="dcterms:W3CDTF">2025-07-25T00:10:07Z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