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28"/>
        <w:ind w:left="3644" w:right="3643"/>
        <w:jc w:val="center"/>
      </w:pPr>
      <w:r>
        <w:rPr/>
        <w:t>感電案 </w:t>
      </w:r>
      <w:r>
        <w:rPr>
          <w:rFonts w:ascii="Calibri" w:eastAsia="Calibri"/>
        </w:rPr>
        <w:t>2_</w:t>
      </w:r>
      <w:r>
        <w:rPr/>
        <w:t>分析參考</w:t>
      </w:r>
    </w:p>
    <w:p>
      <w:pPr>
        <w:spacing w:before="267"/>
        <w:ind w:left="1894" w:right="0" w:firstLine="0"/>
        <w:jc w:val="left"/>
        <w:rPr>
          <w:b/>
          <w:sz w:val="24"/>
        </w:rPr>
      </w:pPr>
      <w:r>
        <w:rPr>
          <w:b/>
          <w:sz w:val="24"/>
        </w:rPr>
        <w:t>從事配電盤配線作業發生感電致死災害調查分析報告</w:t>
      </w:r>
    </w:p>
    <w:p>
      <w:pPr>
        <w:pStyle w:val="BodyText"/>
        <w:spacing w:line="225" w:lineRule="auto" w:before="286"/>
        <w:ind w:left="118" w:right="187"/>
        <w:jc w:val="both"/>
      </w:pPr>
      <w:r>
        <w:rPr>
          <w:b/>
        </w:rPr>
        <w:t>重要提醒： </w:t>
      </w:r>
      <w:r>
        <w:rPr/>
        <w:t>本分析報告是基於所提供案例的有限資訊，並結合事故調查的專業方法論進行。部分內容為根據邏輯與經驗所做的合理假設，並會明確標示為 </w:t>
      </w:r>
      <w:r>
        <w:rPr>
          <w:rFonts w:ascii="Calibri" w:eastAsia="Calibri"/>
          <w:b/>
        </w:rPr>
        <w:t>(</w:t>
      </w:r>
      <w:r>
        <w:rPr>
          <w:b/>
        </w:rPr>
        <w:t>假設</w:t>
      </w:r>
      <w:r>
        <w:rPr>
          <w:rFonts w:ascii="Calibri" w:eastAsia="Calibri"/>
          <w:b/>
        </w:rPr>
        <w:t>)</w:t>
      </w:r>
      <w:r>
        <w:rPr/>
        <w:t>。一場實際、完整的事故調查，需要更詳盡的現場勘查、人員訪談與物證檢驗來支持所有結</w:t>
      </w:r>
    </w:p>
    <w:p>
      <w:pPr>
        <w:pStyle w:val="BodyText"/>
        <w:spacing w:line="410" w:lineRule="exact"/>
        <w:ind w:left="118"/>
        <w:jc w:val="both"/>
      </w:pPr>
      <w:r>
        <w:rPr/>
        <w:t>論。</w:t>
      </w:r>
    </w:p>
    <w:p>
      <w:pPr>
        <w:pStyle w:val="Heading1"/>
        <w:spacing w:line="415" w:lineRule="exact"/>
        <w:jc w:val="both"/>
      </w:pPr>
      <w:r>
        <w:rPr/>
        <w:t>事故基本資料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行業分類： </w:t>
      </w:r>
      <w:r>
        <w:rPr>
          <w:sz w:val="24"/>
        </w:rPr>
        <w:t>機電、電信及電路設備安裝業  </w:t>
      </w:r>
      <w:r>
        <w:rPr>
          <w:rFonts w:ascii="Calibri" w:hAnsi="Calibri" w:eastAsia="Calibri"/>
          <w:sz w:val="24"/>
        </w:rPr>
        <w:t>(4331)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災害類型： </w:t>
      </w:r>
      <w:r>
        <w:rPr>
          <w:sz w:val="24"/>
        </w:rPr>
        <w:t>感電  </w:t>
      </w:r>
      <w:r>
        <w:rPr>
          <w:rFonts w:ascii="Calibri" w:hAnsi="Calibri" w:eastAsia="Calibri"/>
          <w:sz w:val="24"/>
        </w:rPr>
        <w:t>(13)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11"/>
          <w:sz w:val="24"/>
        </w:rPr>
        <w:t>媒介物： </w:t>
      </w:r>
      <w:r>
        <w:rPr>
          <w:sz w:val="24"/>
        </w:rPr>
        <w:t>電力設備  </w:t>
      </w:r>
      <w:r>
        <w:rPr>
          <w:rFonts w:ascii="Calibri" w:hAnsi="Calibri" w:eastAsia="Calibri"/>
          <w:sz w:val="24"/>
        </w:rPr>
        <w:t>(352)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b/>
          <w:sz w:val="24"/>
        </w:rPr>
        <w:t>罹災情形： </w:t>
      </w:r>
      <w:r>
        <w:rPr>
          <w:sz w:val="24"/>
        </w:rPr>
        <w:t>死亡 </w:t>
      </w:r>
      <w:r>
        <w:rPr>
          <w:rFonts w:ascii="Calibri" w:hAnsi="Calibri" w:eastAsia="Calibri"/>
          <w:sz w:val="24"/>
        </w:rPr>
        <w:t>1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人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b/>
          <w:spacing w:val="9"/>
          <w:sz w:val="24"/>
        </w:rPr>
        <w:t>事故時間： </w:t>
      </w:r>
      <w:r>
        <w:rPr>
          <w:sz w:val="24"/>
        </w:rPr>
        <w:t>民國 </w:t>
      </w:r>
      <w:r>
        <w:rPr>
          <w:rFonts w:ascii="Calibri" w:hAnsi="Calibri" w:eastAsia="Calibri"/>
          <w:sz w:val="24"/>
        </w:rPr>
        <w:t>109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年 </w:t>
      </w:r>
      <w:r>
        <w:rPr>
          <w:rFonts w:ascii="Calibri" w:hAnsi="Calibri" w:eastAsia="Calibri"/>
          <w:sz w:val="24"/>
        </w:rPr>
        <w:t>9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月 </w:t>
      </w:r>
      <w:r>
        <w:rPr>
          <w:rFonts w:ascii="Calibri" w:hAnsi="Calibri" w:eastAsia="Calibri"/>
          <w:sz w:val="24"/>
        </w:rPr>
        <w:t>6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日，約 </w:t>
      </w:r>
      <w:r>
        <w:rPr>
          <w:rFonts w:ascii="Calibri" w:hAnsi="Calibri" w:eastAsia="Calibri"/>
          <w:sz w:val="24"/>
        </w:rPr>
        <w:t>14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時 </w:t>
      </w:r>
      <w:r>
        <w:rPr>
          <w:rFonts w:ascii="Calibri" w:hAnsi="Calibri" w:eastAsia="Calibri"/>
          <w:sz w:val="24"/>
        </w:rPr>
        <w:t>25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分許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b/>
          <w:sz w:val="24"/>
        </w:rPr>
        <w:t>事故地點： </w:t>
      </w:r>
      <w:r>
        <w:rPr>
          <w:sz w:val="24"/>
        </w:rPr>
        <w:t>大雪山某工作區，配電室內南側配電盤前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25" w:lineRule="auto" w:before="6" w:after="0"/>
        <w:ind w:left="838" w:right="195" w:hanging="360"/>
        <w:jc w:val="left"/>
        <w:rPr>
          <w:sz w:val="24"/>
        </w:rPr>
      </w:pPr>
      <w:r>
        <w:rPr>
          <w:b/>
          <w:sz w:val="24"/>
        </w:rPr>
        <w:t>事故摘要： </w:t>
      </w:r>
      <w:r>
        <w:rPr>
          <w:sz w:val="24"/>
        </w:rPr>
        <w:t>雇主邱</w:t>
      </w:r>
      <w:r>
        <w:rPr>
          <w:rFonts w:ascii="Calibri" w:hAnsi="Calibri" w:eastAsia="Calibri"/>
          <w:sz w:val="24"/>
        </w:rPr>
        <w:t>○○</w:t>
      </w:r>
      <w:r>
        <w:rPr>
          <w:sz w:val="24"/>
        </w:rPr>
        <w:t>僱用勞工劉</w:t>
      </w:r>
      <w:r>
        <w:rPr>
          <w:rFonts w:ascii="Calibri" w:hAnsi="Calibri" w:eastAsia="Calibri"/>
          <w:sz w:val="24"/>
        </w:rPr>
        <w:t>○○</w:t>
      </w:r>
      <w:r>
        <w:rPr>
          <w:sz w:val="24"/>
        </w:rPr>
        <w:t>進行配電盤拉線、配線作業。 當日下午 </w:t>
      </w:r>
      <w:r>
        <w:rPr>
          <w:rFonts w:ascii="Calibri" w:hAnsi="Calibri" w:eastAsia="Calibri"/>
          <w:spacing w:val="-9"/>
          <w:sz w:val="24"/>
        </w:rPr>
        <w:t>14 </w:t>
      </w:r>
      <w:r>
        <w:rPr>
          <w:sz w:val="24"/>
        </w:rPr>
        <w:t>時 </w:t>
      </w:r>
      <w:r>
        <w:rPr>
          <w:rFonts w:ascii="Calibri" w:hAnsi="Calibri" w:eastAsia="Calibri"/>
          <w:sz w:val="24"/>
        </w:rPr>
        <w:t>25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分許，劉員於南側配電盤前作業時突然發出「啊」一聲後倒地昏迷。 災害疑似劉員在未停電狀況下，右手不慎碰觸無熔絲開關之裸露帶電端子，左手同時觸碰配電盤金屬外殼，構成感電迴路所致，經送醫後宣告不治。</w:t>
      </w: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70.900002pt;margin-top:7.73194pt;width:453.65pt;height:1.55pt;mso-position-horizontal-relative:page;mso-position-vertical-relative:paragraph;z-index:-1024;mso-wrap-distance-left:0;mso-wrap-distance-right:0" coordorigin="1418,155" coordsize="9073,31">
            <v:line style="position:absolute" from="1418,170" to="10490,170" stroked="true" strokeweight="1.5pt" strokecolor="#9f9f9f">
              <v:stroke dashstyle="solid"/>
            </v:line>
            <v:rect style="position:absolute;left:1418;top:155;width:5;height:5" filled="true" fillcolor="#9f9f9f" stroked="false">
              <v:fill type="solid"/>
            </v:rect>
            <v:rect style="position:absolute;left:1418;top:155;width:5;height:5" filled="true" fillcolor="#9f9f9f" stroked="false">
              <v:fill type="solid"/>
            </v:rect>
            <v:line style="position:absolute" from="1423,157" to="10486,157" stroked="true" strokeweight=".24pt" strokecolor="#9f9f9f">
              <v:stroke dashstyle="solid"/>
            </v:line>
            <v:rect style="position:absolute;left:10485;top:155;width:5;height:5" filled="true" fillcolor="#e2e2e2" stroked="false">
              <v:fill type="solid"/>
            </v:rect>
            <v:rect style="position:absolute;left:10485;top:155;width:5;height:5" filled="true" fillcolor="#9f9f9f" stroked="false">
              <v:fill type="solid"/>
            </v:rect>
            <v:rect style="position:absolute;left:1418;top:159;width:5;height:21" filled="true" fillcolor="#9f9f9f" stroked="false">
              <v:fill type="solid"/>
            </v:rect>
            <v:rect style="position:absolute;left:10485;top:159;width:5;height:21" filled="true" fillcolor="#e2e2e2" stroked="false">
              <v:fill type="solid"/>
            </v:rect>
            <v:rect style="position:absolute;left:1418;top:180;width:5;height:5" filled="true" fillcolor="#9f9f9f" stroked="false">
              <v:fill type="solid"/>
            </v:rect>
            <v:rect style="position:absolute;left:1418;top:180;width:5;height:5" filled="true" fillcolor="#e2e2e2" stroked="false">
              <v:fill type="solid"/>
            </v:rect>
            <v:line style="position:absolute" from="1423,183" to="10486,183" stroked="true" strokeweight=".24pt" strokecolor="#e2e2e2">
              <v:stroke dashstyle="solid"/>
            </v:line>
            <v:rect style="position:absolute;left:10485;top:180;width:5;height:5" filled="true" fillcolor="#e2e2e2" stroked="false">
              <v:fill type="solid"/>
            </v:rect>
            <v:rect style="position:absolute;left:10485;top:18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6"/>
        <w:rPr>
          <w:rFonts w:ascii="Calibri" w:eastAsia="Calibri"/>
        </w:rPr>
      </w:pPr>
      <w:r>
        <w:rPr/>
        <w:t>一</w:t>
      </w:r>
      <w:r>
        <w:rPr>
          <w:rFonts w:ascii="Calibri" w:eastAsia="Calibri"/>
        </w:rPr>
        <w:t>. </w:t>
      </w:r>
      <w:r>
        <w:rPr/>
        <w:t>事件成因分析圖  </w:t>
      </w:r>
      <w:r>
        <w:rPr>
          <w:rFonts w:ascii="Calibri" w:eastAsia="Calibri"/>
        </w:rPr>
        <w:t>(ECFC)</w:t>
      </w:r>
    </w:p>
    <w:p>
      <w:pPr>
        <w:pStyle w:val="BodyText"/>
        <w:spacing w:line="428" w:lineRule="exact"/>
        <w:ind w:left="118"/>
      </w:pPr>
      <w:r>
        <w:rPr/>
        <w:t>此圖將事故發生的事件及相關條件按時間順序呈現，以視覺化方式釐清因果關係。</w:t>
      </w:r>
    </w:p>
    <w:p>
      <w:pPr>
        <w:pStyle w:val="BodyText"/>
        <w:spacing w:before="1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1179830</wp:posOffset>
            </wp:positionH>
            <wp:positionV relativeFrom="paragraph">
              <wp:posOffset>176423</wp:posOffset>
            </wp:positionV>
            <wp:extent cx="4877645" cy="2741485"/>
            <wp:effectExtent l="0" t="0" r="0" b="0"/>
            <wp:wrapTopAndBottom/>
            <wp:docPr id="1" name="image1.png" descr="一張含有 文字, 圖表, 螢幕擷取畫面, 方案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645" cy="274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1910" w:h="16840"/>
          <w:pgMar w:top="1380" w:bottom="280" w:left="1300" w:right="1300"/>
        </w:sectPr>
      </w:pPr>
    </w:p>
    <w:p>
      <w:pPr>
        <w:pStyle w:val="BodyText"/>
        <w:spacing w:before="17"/>
        <w:rPr>
          <w:sz w:val="15"/>
        </w:rPr>
      </w:pPr>
    </w:p>
    <w:p>
      <w:pPr>
        <w:pStyle w:val="BodyText"/>
        <w:spacing w:line="31" w:lineRule="exact"/>
        <w:ind w:left="103"/>
        <w:rPr>
          <w:sz w:val="3"/>
        </w:rPr>
      </w:pPr>
      <w:r>
        <w:rPr>
          <w:position w:val="0"/>
          <w:sz w:val="3"/>
        </w:rPr>
        <w:pict>
          <v:group style="width:453.65pt;height:1.55pt;mso-position-horizontal-relative:char;mso-position-vertical-relative:line" coordorigin="0,0" coordsize="9073,31">
            <v:line style="position:absolute" from="0,15" to="9072,15" stroked="true" strokeweight="1.5pt" strokecolor="#9f9f9f">
              <v:stroke dashstyle="solid"/>
            </v:line>
            <v:rect style="position:absolute;left:0;top:0;width:5;height:5" filled="true" fillcolor="#9f9f9f" stroked="false">
              <v:fill type="solid"/>
            </v:rect>
            <v:rect style="position:absolute;left:0;top:0;width:5;height:5" filled="true" fillcolor="#9f9f9f" stroked="false">
              <v:fill type="solid"/>
            </v:rect>
            <v:line style="position:absolute" from="5,3" to="9068,3" stroked="true" strokeweight=".239pt" strokecolor="#9f9f9f">
              <v:stroke dashstyle="solid"/>
            </v:line>
            <v:rect style="position:absolute;left:9067;top:0;width:5;height:5" filled="true" fillcolor="#e2e2e2" stroked="false">
              <v:fill type="solid"/>
            </v:rect>
            <v:rect style="position:absolute;left:9067;top:0;width:5;height:5" filled="true" fillcolor="#9f9f9f" stroked="false">
              <v:fill type="solid"/>
            </v:rect>
            <v:rect style="position:absolute;left:0;top:5;width:5;height:21" filled="true" fillcolor="#9f9f9f" stroked="false">
              <v:fill type="solid"/>
            </v:rect>
            <v:rect style="position:absolute;left:9067;top:5;width:5;height:21" filled="true" fillcolor="#e2e2e2" stroked="false">
              <v:fill type="solid"/>
            </v:rect>
            <v:rect style="position:absolute;left:0;top:25;width:5;height:5" filled="true" fillcolor="#9f9f9f" stroked="false">
              <v:fill type="solid"/>
            </v:rect>
            <v:rect style="position:absolute;left:0;top:25;width:5;height:5" filled="true" fillcolor="#e2e2e2" stroked="false">
              <v:fill type="solid"/>
            </v:rect>
            <v:line style="position:absolute" from="5,28" to="9068,28" stroked="true" strokeweight=".239pt" strokecolor="#e2e2e2">
              <v:stroke dashstyle="solid"/>
            </v:line>
            <v:rect style="position:absolute;left:9067;top:25;width:5;height:5" filled="true" fillcolor="#e2e2e2" stroked="false">
              <v:fill type="solid"/>
            </v:rect>
            <v:rect style="position:absolute;left:9067;top:25;width:5;height:5" filled="true" fillcolor="#e2e2e2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Heading1"/>
        <w:spacing w:before="36"/>
      </w:pPr>
      <w:r>
        <w:rPr/>
        <w:t>二</w:t>
      </w:r>
      <w:r>
        <w:rPr>
          <w:rFonts w:ascii="Calibri" w:eastAsia="Calibri"/>
        </w:rPr>
        <w:t>. </w:t>
      </w:r>
      <w:r>
        <w:rPr/>
        <w:t>時間序列表</w:t>
      </w:r>
    </w:p>
    <w:p>
      <w:pPr>
        <w:pStyle w:val="BodyText"/>
        <w:spacing w:line="428" w:lineRule="exact"/>
        <w:ind w:left="118"/>
      </w:pPr>
      <w:r>
        <w:rPr/>
        <w:t>此表以表格形式記錄事故發生的先後順序和相關條件，作為 </w:t>
      </w:r>
      <w:r>
        <w:rPr>
          <w:rFonts w:ascii="Calibri" w:eastAsia="Calibri"/>
        </w:rPr>
        <w:t>ECFC </w:t>
      </w:r>
      <w:r>
        <w:rPr/>
        <w:t>的輔助。</w:t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2"/>
        <w:gridCol w:w="2207"/>
        <w:gridCol w:w="652"/>
        <w:gridCol w:w="953"/>
        <w:gridCol w:w="1885"/>
        <w:gridCol w:w="2184"/>
      </w:tblGrid>
      <w:tr>
        <w:trPr>
          <w:trHeight w:val="1037" w:hRule="atLeast"/>
        </w:trPr>
        <w:tc>
          <w:tcPr>
            <w:tcW w:w="1182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日期時間</w:t>
            </w:r>
          </w:p>
        </w:tc>
        <w:tc>
          <w:tcPr>
            <w:tcW w:w="2207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652" w:type="dxa"/>
          </w:tcPr>
          <w:p>
            <w:pPr>
              <w:pStyle w:val="TableParagraph"/>
              <w:spacing w:line="333" w:lineRule="exact"/>
              <w:ind w:left="106"/>
              <w:rPr>
                <w:sz w:val="20"/>
              </w:rPr>
            </w:pPr>
            <w:r>
              <w:rPr>
                <w:sz w:val="20"/>
              </w:rPr>
              <w:t>事實</w:t>
            </w:r>
          </w:p>
          <w:p>
            <w:pPr>
              <w:pStyle w:val="TableParagraph"/>
              <w:spacing w:line="346" w:lineRule="exact"/>
              <w:ind w:left="106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假</w:t>
            </w:r>
          </w:p>
          <w:p>
            <w:pPr>
              <w:pStyle w:val="TableParagraph"/>
              <w:spacing w:line="338" w:lineRule="exact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設</w:t>
            </w:r>
          </w:p>
        </w:tc>
        <w:tc>
          <w:tcPr>
            <w:tcW w:w="953" w:type="dxa"/>
          </w:tcPr>
          <w:p>
            <w:pPr>
              <w:pStyle w:val="TableParagraph"/>
              <w:spacing w:line="333" w:lineRule="exact"/>
              <w:ind w:left="106"/>
              <w:rPr>
                <w:sz w:val="20"/>
              </w:rPr>
            </w:pPr>
            <w:r>
              <w:rPr>
                <w:sz w:val="20"/>
              </w:rPr>
              <w:t>主</w:t>
            </w:r>
            <w:r>
              <w:rPr>
                <w:rFonts w:ascii="Segoe UI" w:eastAsia="Segoe UI"/>
                <w:sz w:val="20"/>
              </w:rPr>
              <w:t>(P)/</w:t>
            </w:r>
            <w:r>
              <w:rPr>
                <w:sz w:val="20"/>
              </w:rPr>
              <w:t>次</w:t>
            </w:r>
          </w:p>
          <w:p>
            <w:pPr>
              <w:pStyle w:val="TableParagraph"/>
              <w:spacing w:line="346" w:lineRule="exact"/>
              <w:ind w:left="105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(S)</w:t>
            </w:r>
            <w:r>
              <w:rPr>
                <w:sz w:val="20"/>
              </w:rPr>
              <w:t>事件</w:t>
            </w:r>
          </w:p>
          <w:p>
            <w:pPr>
              <w:pStyle w:val="TableParagraph"/>
              <w:spacing w:line="338" w:lineRule="exact"/>
              <w:ind w:left="105"/>
              <w:rPr>
                <w:sz w:val="20"/>
              </w:rPr>
            </w:pPr>
            <w:r>
              <w:rPr>
                <w:w w:val="100"/>
                <w:sz w:val="20"/>
              </w:rPr>
              <w:t>軸</w:t>
            </w:r>
          </w:p>
        </w:tc>
        <w:tc>
          <w:tcPr>
            <w:tcW w:w="1885" w:type="dxa"/>
          </w:tcPr>
          <w:p>
            <w:pPr>
              <w:pStyle w:val="TableParagraph"/>
              <w:spacing w:line="225" w:lineRule="auto"/>
              <w:ind w:right="292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1 (</w:t>
            </w:r>
            <w:r>
              <w:rPr>
                <w:sz w:val="20"/>
              </w:rPr>
              <w:t>直接條件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184" w:type="dxa"/>
          </w:tcPr>
          <w:p>
            <w:pPr>
              <w:pStyle w:val="TableParagraph"/>
              <w:spacing w:line="225" w:lineRule="auto"/>
              <w:ind w:left="106" w:right="143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2 (</w:t>
            </w:r>
            <w:r>
              <w:rPr>
                <w:sz w:val="20"/>
              </w:rPr>
              <w:t>條件 </w:t>
            </w:r>
            <w:r>
              <w:rPr>
                <w:rFonts w:ascii="Segoe UI" w:eastAsia="Segoe UI"/>
                <w:sz w:val="20"/>
              </w:rPr>
              <w:t>1 </w:t>
            </w:r>
            <w:r>
              <w:rPr>
                <w:sz w:val="20"/>
              </w:rPr>
              <w:t>的背景或前提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304" w:hRule="atLeast"/>
        </w:trPr>
        <w:tc>
          <w:tcPr>
            <w:tcW w:w="1182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109/9/6</w:t>
            </w:r>
          </w:p>
        </w:tc>
        <w:tc>
          <w:tcPr>
            <w:tcW w:w="2207" w:type="dxa"/>
            <w:tcBorders>
              <w:bottom w:val="nil"/>
            </w:tcBorders>
          </w:tcPr>
          <w:p>
            <w:pPr>
              <w:pStyle w:val="TableParagraph"/>
              <w:spacing w:line="285" w:lineRule="exact"/>
              <w:rPr>
                <w:sz w:val="20"/>
              </w:rPr>
            </w:pPr>
            <w:r>
              <w:rPr>
                <w:sz w:val="20"/>
              </w:rPr>
              <w:t>罹災者劉員於南側配</w:t>
            </w:r>
          </w:p>
        </w:tc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spacing w:line="285" w:lineRule="exact"/>
              <w:ind w:left="106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53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85" w:type="dxa"/>
            <w:tcBorders>
              <w:bottom w:val="nil"/>
            </w:tcBorders>
          </w:tcPr>
          <w:p>
            <w:pPr>
              <w:pStyle w:val="TableParagraph"/>
              <w:spacing w:line="285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1. </w:t>
            </w:r>
            <w:r>
              <w:rPr>
                <w:sz w:val="20"/>
              </w:rPr>
              <w:t>於帶電電路或其</w:t>
            </w:r>
          </w:p>
        </w:tc>
        <w:tc>
          <w:tcPr>
            <w:tcW w:w="2184" w:type="dxa"/>
            <w:tcBorders>
              <w:bottom w:val="nil"/>
            </w:tcBorders>
          </w:tcPr>
          <w:p>
            <w:pPr>
              <w:pStyle w:val="TableParagraph"/>
              <w:spacing w:line="285" w:lineRule="exact"/>
              <w:ind w:left="106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1. </w:t>
            </w:r>
            <w:r>
              <w:rPr>
                <w:sz w:val="20"/>
              </w:rPr>
              <w:t>未規劃安全的作業</w:t>
            </w:r>
          </w:p>
        </w:tc>
      </w:tr>
      <w:tr>
        <w:trPr>
          <w:trHeight w:val="386" w:hRule="atLeast"/>
        </w:trPr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5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14:00 </w:t>
            </w:r>
            <w:r>
              <w:rPr>
                <w:sz w:val="20"/>
              </w:rPr>
              <w:t>許</w:t>
            </w:r>
          </w:p>
        </w:tc>
        <w:tc>
          <w:tcPr>
            <w:tcW w:w="22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48" w:lineRule="exact" w:before="18"/>
              <w:rPr>
                <w:sz w:val="20"/>
              </w:rPr>
            </w:pPr>
            <w:r>
              <w:rPr>
                <w:sz w:val="20"/>
              </w:rPr>
              <w:t>電盤前，開始進行拉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48" w:lineRule="exact" w:before="18"/>
              <w:rPr>
                <w:sz w:val="20"/>
              </w:rPr>
            </w:pPr>
            <w:r>
              <w:rPr>
                <w:sz w:val="20"/>
              </w:rPr>
              <w:t>鄰近處作業。</w:t>
            </w:r>
          </w:p>
        </w:tc>
        <w:tc>
          <w:tcPr>
            <w:tcW w:w="21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48" w:lineRule="exact" w:before="18"/>
              <w:ind w:left="106"/>
              <w:rPr>
                <w:sz w:val="20"/>
              </w:rPr>
            </w:pPr>
            <w:r>
              <w:rPr>
                <w:sz w:val="20"/>
              </w:rPr>
              <w:t>方法。</w:t>
            </w:r>
          </w:p>
        </w:tc>
      </w:tr>
      <w:tr>
        <w:trPr>
          <w:trHeight w:val="345" w:hRule="atLeast"/>
        </w:trPr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線作業。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2. </w:t>
            </w:r>
            <w:r>
              <w:rPr>
                <w:sz w:val="20"/>
              </w:rPr>
              <w:t>雇主邱員在另一</w:t>
            </w:r>
          </w:p>
        </w:tc>
        <w:tc>
          <w:tcPr>
            <w:tcW w:w="21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6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2. </w:t>
            </w:r>
            <w:r>
              <w:rPr>
                <w:sz w:val="20"/>
              </w:rPr>
              <w:t>監督管理機制失</w:t>
            </w:r>
          </w:p>
        </w:tc>
      </w:tr>
      <w:tr>
        <w:trPr>
          <w:trHeight w:val="345" w:hRule="atLeast"/>
        </w:trPr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0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處作業，未在旁直</w:t>
            </w:r>
          </w:p>
        </w:tc>
        <w:tc>
          <w:tcPr>
            <w:tcW w:w="21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效。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346" w:hRule="atLeast"/>
        </w:trPr>
        <w:tc>
          <w:tcPr>
            <w:tcW w:w="118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0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  <w:tcBorders>
              <w:top w:val="nil"/>
            </w:tcBorders>
          </w:tcPr>
          <w:p>
            <w:pPr>
              <w:pStyle w:val="TableParagraph"/>
              <w:spacing w:line="327" w:lineRule="exact"/>
              <w:rPr>
                <w:sz w:val="20"/>
              </w:rPr>
            </w:pPr>
            <w:r>
              <w:rPr>
                <w:sz w:val="20"/>
              </w:rPr>
              <w:t>接監督。</w:t>
            </w:r>
          </w:p>
        </w:tc>
        <w:tc>
          <w:tcPr>
            <w:tcW w:w="218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4" w:hRule="atLeast"/>
        </w:trPr>
        <w:tc>
          <w:tcPr>
            <w:tcW w:w="1182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109/9/6</w:t>
            </w:r>
          </w:p>
        </w:tc>
        <w:tc>
          <w:tcPr>
            <w:tcW w:w="2207" w:type="dxa"/>
            <w:tcBorders>
              <w:bottom w:val="nil"/>
            </w:tcBorders>
          </w:tcPr>
          <w:p>
            <w:pPr>
              <w:pStyle w:val="TableParagraph"/>
              <w:spacing w:line="285" w:lineRule="exact"/>
              <w:rPr>
                <w:sz w:val="20"/>
              </w:rPr>
            </w:pPr>
            <w:r>
              <w:rPr>
                <w:sz w:val="20"/>
              </w:rPr>
              <w:t>劉員右手不慎碰觸無</w:t>
            </w:r>
          </w:p>
        </w:tc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spacing w:line="285" w:lineRule="exact"/>
              <w:ind w:left="106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53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85" w:type="dxa"/>
            <w:tcBorders>
              <w:bottom w:val="nil"/>
            </w:tcBorders>
          </w:tcPr>
          <w:p>
            <w:pPr>
              <w:pStyle w:val="TableParagraph"/>
              <w:spacing w:line="285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1. </w:t>
            </w:r>
            <w:r>
              <w:rPr>
                <w:sz w:val="20"/>
              </w:rPr>
              <w:t>未穿戴絕緣用防</w:t>
            </w:r>
          </w:p>
        </w:tc>
        <w:tc>
          <w:tcPr>
            <w:tcW w:w="2184" w:type="dxa"/>
            <w:tcBorders>
              <w:bottom w:val="nil"/>
            </w:tcBorders>
          </w:tcPr>
          <w:p>
            <w:pPr>
              <w:pStyle w:val="TableParagraph"/>
              <w:spacing w:line="285" w:lineRule="exact"/>
              <w:ind w:left="106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1. </w:t>
            </w:r>
            <w:r>
              <w:rPr>
                <w:sz w:val="20"/>
              </w:rPr>
              <w:t>未要求或提供合適</w:t>
            </w:r>
          </w:p>
        </w:tc>
      </w:tr>
      <w:tr>
        <w:trPr>
          <w:trHeight w:val="385" w:hRule="atLeast"/>
        </w:trPr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5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14:25 </w:t>
            </w:r>
            <w:r>
              <w:rPr>
                <w:sz w:val="20"/>
              </w:rPr>
              <w:t>許</w:t>
            </w:r>
          </w:p>
        </w:tc>
        <w:tc>
          <w:tcPr>
            <w:tcW w:w="22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48" w:lineRule="exact" w:before="17"/>
              <w:rPr>
                <w:sz w:val="20"/>
              </w:rPr>
            </w:pPr>
            <w:r>
              <w:rPr>
                <w:sz w:val="20"/>
              </w:rPr>
              <w:t>熔絲開關之金屬裸露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48" w:lineRule="exact" w:before="17"/>
              <w:ind w:left="106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推</w:t>
            </w:r>
          </w:p>
        </w:tc>
        <w:tc>
          <w:tcPr>
            <w:tcW w:w="95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48" w:lineRule="exact" w:before="17"/>
              <w:rPr>
                <w:sz w:val="20"/>
              </w:rPr>
            </w:pPr>
            <w:r>
              <w:rPr>
                <w:sz w:val="20"/>
              </w:rPr>
              <w:t>護具。</w:t>
            </w:r>
          </w:p>
        </w:tc>
        <w:tc>
          <w:tcPr>
            <w:tcW w:w="21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48" w:lineRule="exact" w:before="17"/>
              <w:ind w:left="106"/>
              <w:rPr>
                <w:sz w:val="20"/>
              </w:rPr>
            </w:pPr>
            <w:r>
              <w:rPr>
                <w:sz w:val="20"/>
              </w:rPr>
              <w:t>的個人防護具。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</w:t>
            </w:r>
          </w:p>
        </w:tc>
      </w:tr>
      <w:tr>
        <w:trPr>
          <w:trHeight w:val="346" w:hRule="atLeast"/>
        </w:trPr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帶電端子。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斷</w:t>
            </w:r>
          </w:p>
        </w:tc>
        <w:tc>
          <w:tcPr>
            <w:tcW w:w="95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2. </w:t>
            </w:r>
            <w:r>
              <w:rPr>
                <w:sz w:val="20"/>
              </w:rPr>
              <w:t>無熔絲開關處於</w:t>
            </w:r>
          </w:p>
        </w:tc>
        <w:tc>
          <w:tcPr>
            <w:tcW w:w="21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346" w:hRule="atLeast"/>
        </w:trPr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0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帶電狀態。</w:t>
            </w:r>
          </w:p>
        </w:tc>
        <w:tc>
          <w:tcPr>
            <w:tcW w:w="21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6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2. </w:t>
            </w:r>
            <w:r>
              <w:rPr>
                <w:sz w:val="20"/>
              </w:rPr>
              <w:t>未執行停電、上</w:t>
            </w:r>
          </w:p>
        </w:tc>
      </w:tr>
      <w:tr>
        <w:trPr>
          <w:trHeight w:val="345" w:hRule="atLeast"/>
        </w:trPr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0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3. </w:t>
            </w:r>
            <w:r>
              <w:rPr>
                <w:sz w:val="20"/>
              </w:rPr>
              <w:t>端子處於裸露無</w:t>
            </w:r>
          </w:p>
        </w:tc>
        <w:tc>
          <w:tcPr>
            <w:tcW w:w="21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6"/>
              <w:rPr>
                <w:sz w:val="20"/>
              </w:rPr>
            </w:pPr>
            <w:r>
              <w:rPr>
                <w:sz w:val="20"/>
              </w:rPr>
              <w:t>鎖、掛牌 </w:t>
            </w:r>
            <w:r>
              <w:rPr>
                <w:rFonts w:ascii="Segoe UI" w:eastAsia="Segoe UI"/>
                <w:sz w:val="20"/>
              </w:rPr>
              <w:t>(LOTO) </w:t>
            </w:r>
            <w:r>
              <w:rPr>
                <w:sz w:val="20"/>
              </w:rPr>
              <w:t>程</w:t>
            </w:r>
          </w:p>
        </w:tc>
      </w:tr>
      <w:tr>
        <w:trPr>
          <w:trHeight w:val="345" w:hRule="atLeast"/>
        </w:trPr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0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絕緣防護狀態。</w:t>
            </w:r>
          </w:p>
        </w:tc>
        <w:tc>
          <w:tcPr>
            <w:tcW w:w="21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序。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345" w:hRule="atLeast"/>
        </w:trPr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0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5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3. </w:t>
            </w:r>
            <w:r>
              <w:rPr>
                <w:sz w:val="20"/>
              </w:rPr>
              <w:t>設備本質安全不</w:t>
            </w:r>
          </w:p>
        </w:tc>
      </w:tr>
      <w:tr>
        <w:trPr>
          <w:trHeight w:val="346" w:hRule="atLeast"/>
        </w:trPr>
        <w:tc>
          <w:tcPr>
            <w:tcW w:w="118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0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  <w:tcBorders>
              <w:top w:val="nil"/>
            </w:tcBorders>
          </w:tcPr>
          <w:p>
            <w:pPr>
              <w:pStyle w:val="TableParagraph"/>
              <w:spacing w:line="327" w:lineRule="exact"/>
              <w:ind w:left="105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足。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299" w:hRule="atLeast"/>
        </w:trPr>
        <w:tc>
          <w:tcPr>
            <w:tcW w:w="1182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109/9/6</w:t>
            </w:r>
          </w:p>
        </w:tc>
        <w:tc>
          <w:tcPr>
            <w:tcW w:w="2207" w:type="dxa"/>
            <w:tcBorders>
              <w:bottom w:val="nil"/>
            </w:tcBorders>
          </w:tcPr>
          <w:p>
            <w:pPr>
              <w:pStyle w:val="TableParagraph"/>
              <w:spacing w:line="280" w:lineRule="exact"/>
              <w:rPr>
                <w:sz w:val="20"/>
              </w:rPr>
            </w:pPr>
            <w:r>
              <w:rPr>
                <w:sz w:val="20"/>
              </w:rPr>
              <w:t>劉員左手碰觸配電盤</w:t>
            </w:r>
          </w:p>
        </w:tc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spacing w:line="280" w:lineRule="exact"/>
              <w:ind w:left="106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53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85" w:type="dxa"/>
            <w:tcBorders>
              <w:bottom w:val="nil"/>
            </w:tcBorders>
          </w:tcPr>
          <w:p>
            <w:pPr>
              <w:pStyle w:val="TableParagraph"/>
              <w:spacing w:line="280" w:lineRule="exact"/>
              <w:rPr>
                <w:sz w:val="20"/>
              </w:rPr>
            </w:pPr>
            <w:r>
              <w:rPr>
                <w:sz w:val="20"/>
              </w:rPr>
              <w:t>人體成為電流導通</w:t>
            </w:r>
          </w:p>
        </w:tc>
        <w:tc>
          <w:tcPr>
            <w:tcW w:w="2184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6" w:hRule="atLeast"/>
        </w:trPr>
        <w:tc>
          <w:tcPr>
            <w:tcW w:w="11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1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14:25 </w:t>
            </w:r>
            <w:r>
              <w:rPr>
                <w:sz w:val="20"/>
              </w:rPr>
              <w:t>許</w:t>
            </w:r>
          </w:p>
        </w:tc>
        <w:tc>
          <w:tcPr>
            <w:tcW w:w="22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44" w:lineRule="exact" w:before="12"/>
              <w:rPr>
                <w:sz w:val="20"/>
              </w:rPr>
            </w:pPr>
            <w:r>
              <w:rPr>
                <w:sz w:val="20"/>
              </w:rPr>
              <w:t>金屬外殼，構成感電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44" w:lineRule="exact" w:before="12"/>
              <w:ind w:left="106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推</w:t>
            </w:r>
          </w:p>
        </w:tc>
        <w:tc>
          <w:tcPr>
            <w:tcW w:w="95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44" w:lineRule="exact" w:before="12"/>
              <w:rPr>
                <w:sz w:val="20"/>
              </w:rPr>
            </w:pPr>
            <w:r>
              <w:rPr>
                <w:sz w:val="20"/>
              </w:rPr>
              <w:t>路徑。</w:t>
            </w:r>
          </w:p>
        </w:tc>
        <w:tc>
          <w:tcPr>
            <w:tcW w:w="21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1" w:hRule="atLeast"/>
        </w:trPr>
        <w:tc>
          <w:tcPr>
            <w:tcW w:w="118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07" w:type="dxa"/>
            <w:tcBorders>
              <w:top w:val="nil"/>
            </w:tcBorders>
          </w:tcPr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迴路。</w:t>
            </w:r>
          </w:p>
        </w:tc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spacing w:line="322" w:lineRule="exact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斷</w:t>
            </w:r>
          </w:p>
        </w:tc>
        <w:tc>
          <w:tcPr>
            <w:tcW w:w="95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1182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109/9/6</w:t>
            </w:r>
          </w:p>
        </w:tc>
        <w:tc>
          <w:tcPr>
            <w:tcW w:w="2207" w:type="dxa"/>
            <w:tcBorders>
              <w:bottom w:val="nil"/>
            </w:tcBorders>
          </w:tcPr>
          <w:p>
            <w:pPr>
              <w:pStyle w:val="TableParagraph"/>
              <w:spacing w:line="280" w:lineRule="exact"/>
              <w:rPr>
                <w:sz w:val="20"/>
              </w:rPr>
            </w:pPr>
            <w:r>
              <w:rPr>
                <w:sz w:val="20"/>
              </w:rPr>
              <w:t>劉員發出「啊」一聲</w:t>
            </w:r>
          </w:p>
        </w:tc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spacing w:line="280" w:lineRule="exact"/>
              <w:ind w:left="106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53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85" w:type="dxa"/>
            <w:tcBorders>
              <w:bottom w:val="nil"/>
            </w:tcBorders>
          </w:tcPr>
          <w:p>
            <w:pPr>
              <w:pStyle w:val="TableParagraph"/>
              <w:spacing w:line="280" w:lineRule="exact"/>
              <w:rPr>
                <w:sz w:val="20"/>
              </w:rPr>
            </w:pPr>
            <w:r>
              <w:rPr>
                <w:sz w:val="20"/>
              </w:rPr>
              <w:t>因感電導致生理機</w:t>
            </w:r>
          </w:p>
        </w:tc>
        <w:tc>
          <w:tcPr>
            <w:tcW w:w="2184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82" w:hRule="atLeast"/>
        </w:trPr>
        <w:tc>
          <w:tcPr>
            <w:tcW w:w="1182" w:type="dxa"/>
            <w:tcBorders>
              <w:top w:val="nil"/>
            </w:tcBorders>
          </w:tcPr>
          <w:p>
            <w:pPr>
              <w:pStyle w:val="TableParagraph"/>
              <w:spacing w:line="301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14:25 </w:t>
            </w:r>
            <w:r>
              <w:rPr>
                <w:sz w:val="20"/>
              </w:rPr>
              <w:t>許</w:t>
            </w:r>
          </w:p>
        </w:tc>
        <w:tc>
          <w:tcPr>
            <w:tcW w:w="2207" w:type="dxa"/>
            <w:tcBorders>
              <w:top w:val="nil"/>
            </w:tcBorders>
          </w:tcPr>
          <w:p>
            <w:pPr>
              <w:pStyle w:val="TableParagraph"/>
              <w:spacing w:line="349" w:lineRule="exact" w:before="13"/>
              <w:rPr>
                <w:sz w:val="20"/>
              </w:rPr>
            </w:pPr>
            <w:r>
              <w:rPr>
                <w:sz w:val="20"/>
              </w:rPr>
              <w:t>後，倒地昏迷。</w:t>
            </w:r>
          </w:p>
        </w:tc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  <w:tcBorders>
              <w:top w:val="nil"/>
            </w:tcBorders>
          </w:tcPr>
          <w:p>
            <w:pPr>
              <w:pStyle w:val="TableParagraph"/>
              <w:spacing w:line="349" w:lineRule="exact" w:before="13"/>
              <w:rPr>
                <w:sz w:val="20"/>
              </w:rPr>
            </w:pPr>
            <w:r>
              <w:rPr>
                <w:sz w:val="20"/>
              </w:rPr>
              <w:t>能嚴重受損。</w:t>
            </w:r>
          </w:p>
        </w:tc>
        <w:tc>
          <w:tcPr>
            <w:tcW w:w="21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1182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109/9/6</w:t>
            </w:r>
          </w:p>
        </w:tc>
        <w:tc>
          <w:tcPr>
            <w:tcW w:w="2207" w:type="dxa"/>
            <w:tcBorders>
              <w:bottom w:val="nil"/>
            </w:tcBorders>
          </w:tcPr>
          <w:p>
            <w:pPr>
              <w:pStyle w:val="TableParagraph"/>
              <w:spacing w:line="285" w:lineRule="exact"/>
              <w:rPr>
                <w:sz w:val="20"/>
              </w:rPr>
            </w:pPr>
            <w:r>
              <w:rPr>
                <w:sz w:val="20"/>
              </w:rPr>
              <w:t>雇主邱員發現後通報</w:t>
            </w:r>
          </w:p>
        </w:tc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spacing w:line="285" w:lineRule="exact"/>
              <w:ind w:left="106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53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S</w:t>
            </w:r>
          </w:p>
        </w:tc>
        <w:tc>
          <w:tcPr>
            <w:tcW w:w="1885" w:type="dxa"/>
            <w:tcBorders>
              <w:bottom w:val="nil"/>
            </w:tcBorders>
          </w:tcPr>
          <w:p>
            <w:pPr>
              <w:pStyle w:val="TableParagraph"/>
              <w:spacing w:line="285" w:lineRule="exact"/>
              <w:rPr>
                <w:sz w:val="20"/>
              </w:rPr>
            </w:pPr>
            <w:r>
              <w:rPr>
                <w:sz w:val="20"/>
              </w:rPr>
              <w:t>啟動緊急應變。</w:t>
            </w:r>
          </w:p>
        </w:tc>
        <w:tc>
          <w:tcPr>
            <w:tcW w:w="2184" w:type="dxa"/>
            <w:tcBorders>
              <w:bottom w:val="nil"/>
            </w:tcBorders>
          </w:tcPr>
          <w:p>
            <w:pPr>
              <w:pStyle w:val="TableParagraph"/>
              <w:spacing w:line="285" w:lineRule="exact"/>
              <w:ind w:left="106"/>
              <w:rPr>
                <w:sz w:val="20"/>
              </w:rPr>
            </w:pPr>
            <w:r>
              <w:rPr>
                <w:sz w:val="20"/>
              </w:rPr>
              <w:t>緊急應變計畫可能不</w:t>
            </w:r>
          </w:p>
        </w:tc>
      </w:tr>
      <w:tr>
        <w:trPr>
          <w:trHeight w:val="387" w:hRule="atLeast"/>
        </w:trPr>
        <w:tc>
          <w:tcPr>
            <w:tcW w:w="1182" w:type="dxa"/>
            <w:tcBorders>
              <w:top w:val="nil"/>
            </w:tcBorders>
          </w:tcPr>
          <w:p>
            <w:pPr>
              <w:pStyle w:val="TableParagraph"/>
              <w:spacing w:line="30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14:25 </w:t>
            </w:r>
            <w:r>
              <w:rPr>
                <w:sz w:val="20"/>
              </w:rPr>
              <w:t>後</w:t>
            </w:r>
          </w:p>
        </w:tc>
        <w:tc>
          <w:tcPr>
            <w:tcW w:w="2207" w:type="dxa"/>
            <w:tcBorders>
              <w:top w:val="nil"/>
            </w:tcBorders>
          </w:tcPr>
          <w:p>
            <w:pPr>
              <w:pStyle w:val="TableParagraph"/>
              <w:spacing w:line="350" w:lineRule="exact" w:before="17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119</w:t>
            </w:r>
            <w:r>
              <w:rPr>
                <w:sz w:val="20"/>
              </w:rPr>
              <w:t>，將劉員送醫。</w:t>
            </w:r>
          </w:p>
        </w:tc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  <w:tcBorders>
              <w:top w:val="nil"/>
            </w:tcBorders>
          </w:tcPr>
          <w:p>
            <w:pPr>
              <w:pStyle w:val="TableParagraph"/>
              <w:spacing w:line="350" w:lineRule="exact" w:before="17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足或未演練。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692" w:hRule="atLeast"/>
        </w:trPr>
        <w:tc>
          <w:tcPr>
            <w:tcW w:w="1182" w:type="dxa"/>
          </w:tcPr>
          <w:p>
            <w:pPr>
              <w:pStyle w:val="TableParagraph"/>
              <w:spacing w:line="253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109/9/6</w:t>
            </w:r>
          </w:p>
          <w:p>
            <w:pPr>
              <w:pStyle w:val="TableParagraph"/>
              <w:spacing w:line="266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17:11</w:t>
            </w:r>
          </w:p>
        </w:tc>
        <w:tc>
          <w:tcPr>
            <w:tcW w:w="2207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z w:val="20"/>
              </w:rPr>
              <w:t>劉員經急救後，宣告</w:t>
            </w:r>
          </w:p>
          <w:p>
            <w:pPr>
              <w:pStyle w:val="TableParagraph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不治死亡。</w:t>
            </w:r>
          </w:p>
        </w:tc>
        <w:tc>
          <w:tcPr>
            <w:tcW w:w="652" w:type="dxa"/>
          </w:tcPr>
          <w:p>
            <w:pPr>
              <w:pStyle w:val="TableParagraph"/>
              <w:spacing w:line="344" w:lineRule="exact"/>
              <w:ind w:left="106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53" w:type="dxa"/>
          </w:tcPr>
          <w:p>
            <w:pPr>
              <w:pStyle w:val="TableParagraph"/>
              <w:spacing w:line="254" w:lineRule="exact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85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z w:val="20"/>
              </w:rPr>
              <w:t>感電傷害過於嚴</w:t>
            </w:r>
          </w:p>
          <w:p>
            <w:pPr>
              <w:pStyle w:val="TableParagraph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重。</w:t>
            </w:r>
          </w:p>
        </w:tc>
        <w:tc>
          <w:tcPr>
            <w:tcW w:w="218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4"/>
        <w:rPr>
          <w:sz w:val="21"/>
        </w:rPr>
      </w:pPr>
      <w:r>
        <w:rPr/>
        <w:pict>
          <v:group style="position:absolute;margin-left:70.900002pt;margin-top:22.003084pt;width:453.65pt;height:1.55pt;mso-position-horizontal-relative:page;mso-position-vertical-relative:paragraph;z-index:-952;mso-wrap-distance-left:0;mso-wrap-distance-right:0" coordorigin="1418,440" coordsize="9073,31">
            <v:line style="position:absolute" from="1418,455" to="10490,455" stroked="true" strokeweight="1.5pt" strokecolor="#9f9f9f">
              <v:stroke dashstyle="solid"/>
            </v:line>
            <v:rect style="position:absolute;left:1418;top:440;width:5;height:5" filled="true" fillcolor="#9f9f9f" stroked="false">
              <v:fill type="solid"/>
            </v:rect>
            <v:rect style="position:absolute;left:1418;top:440;width:5;height:5" filled="true" fillcolor="#9f9f9f" stroked="false">
              <v:fill type="solid"/>
            </v:rect>
            <v:line style="position:absolute" from="1423,443" to="10486,443" stroked="true" strokeweight=".239pt" strokecolor="#9f9f9f">
              <v:stroke dashstyle="solid"/>
            </v:line>
            <v:rect style="position:absolute;left:10485;top:440;width:5;height:5" filled="true" fillcolor="#e2e2e2" stroked="false">
              <v:fill type="solid"/>
            </v:rect>
            <v:rect style="position:absolute;left:10485;top:440;width:5;height:5" filled="true" fillcolor="#9f9f9f" stroked="false">
              <v:fill type="solid"/>
            </v:rect>
            <v:rect style="position:absolute;left:1418;top:445;width:5;height:21" filled="true" fillcolor="#9f9f9f" stroked="false">
              <v:fill type="solid"/>
            </v:rect>
            <v:rect style="position:absolute;left:10485;top:445;width:5;height:21" filled="true" fillcolor="#e2e2e2" stroked="false">
              <v:fill type="solid"/>
            </v:rect>
            <v:rect style="position:absolute;left:1418;top:465;width:5;height:5" filled="true" fillcolor="#9f9f9f" stroked="false">
              <v:fill type="solid"/>
            </v:rect>
            <v:rect style="position:absolute;left:1418;top:465;width:5;height:5" filled="true" fillcolor="#e2e2e2" stroked="false">
              <v:fill type="solid"/>
            </v:rect>
            <v:line style="position:absolute" from="1423,468" to="10486,468" stroked="true" strokeweight=".239pt" strokecolor="#e2e2e2">
              <v:stroke dashstyle="solid"/>
            </v:line>
            <v:rect style="position:absolute;left:10485;top:465;width:5;height:5" filled="true" fillcolor="#e2e2e2" stroked="false">
              <v:fill type="solid"/>
            </v:rect>
            <v:rect style="position:absolute;left:10485;top:465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三</w:t>
      </w:r>
      <w:r>
        <w:rPr>
          <w:rFonts w:ascii="Calibri" w:eastAsia="Calibri"/>
        </w:rPr>
        <w:t>. </w:t>
      </w:r>
      <w:r>
        <w:rPr/>
        <w:t>為何樹分析  </w:t>
      </w:r>
      <w:r>
        <w:rPr>
          <w:rFonts w:ascii="Calibri" w:eastAsia="Calibri"/>
        </w:rPr>
        <w:t>(Why Tree)</w:t>
      </w:r>
    </w:p>
    <w:p>
      <w:pPr>
        <w:pStyle w:val="BodyText"/>
        <w:spacing w:line="428" w:lineRule="exact"/>
        <w:ind w:left="118"/>
      </w:pPr>
      <w:r>
        <w:rPr/>
        <w:t>本分析從最終的傷害事件開始，透過不斷追問「為什麼」來探究事件的根本原因。</w:t>
      </w:r>
    </w:p>
    <w:p>
      <w:pPr>
        <w:spacing w:after="0" w:line="428" w:lineRule="exact"/>
        <w:sectPr>
          <w:pgSz w:w="11910" w:h="16840"/>
          <w:pgMar w:top="1580" w:bottom="280" w:left="1300" w:right="1300"/>
        </w:sectPr>
      </w:pPr>
    </w:p>
    <w:p>
      <w:pPr>
        <w:pStyle w:val="BodyText"/>
        <w:spacing w:before="16"/>
        <w:rPr>
          <w:sz w:val="3"/>
        </w:rPr>
      </w:pPr>
    </w:p>
    <w:p>
      <w:pPr>
        <w:pStyle w:val="BodyText"/>
        <w:ind w:left="1510"/>
        <w:rPr>
          <w:sz w:val="20"/>
        </w:rPr>
      </w:pPr>
      <w:r>
        <w:rPr>
          <w:sz w:val="20"/>
        </w:rPr>
        <w:drawing>
          <wp:inline distT="0" distB="0" distL="0" distR="0">
            <wp:extent cx="3587837" cy="5188077"/>
            <wp:effectExtent l="0" t="0" r="0" b="0"/>
            <wp:docPr id="3" name="image2.png" descr="一張含有 文字, 圖表, 螢幕擷取畫面, 方案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837" cy="518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  <w:r>
        <w:rPr/>
        <w:pict>
          <v:group style="position:absolute;margin-left:70.900002pt;margin-top:18.833027pt;width:453.65pt;height:1.55pt;mso-position-horizontal-relative:page;mso-position-vertical-relative:paragraph;z-index:-928;mso-wrap-distance-left:0;mso-wrap-distance-right:0" coordorigin="1418,377" coordsize="9073,31">
            <v:line style="position:absolute" from="1418,392" to="10490,392" stroked="true" strokeweight="1.5pt" strokecolor="#9f9f9f">
              <v:stroke dashstyle="solid"/>
            </v:line>
            <v:rect style="position:absolute;left:1418;top:376;width:5;height:5" filled="true" fillcolor="#9f9f9f" stroked="false">
              <v:fill type="solid"/>
            </v:rect>
            <v:rect style="position:absolute;left:1418;top:376;width:5;height:5" filled="true" fillcolor="#9f9f9f" stroked="false">
              <v:fill type="solid"/>
            </v:rect>
            <v:line style="position:absolute" from="1423,379" to="10486,379" stroked="true" strokeweight=".24pt" strokecolor="#9f9f9f">
              <v:stroke dashstyle="solid"/>
            </v:line>
            <v:rect style="position:absolute;left:10485;top:376;width:5;height:5" filled="true" fillcolor="#e2e2e2" stroked="false">
              <v:fill type="solid"/>
            </v:rect>
            <v:rect style="position:absolute;left:10485;top:376;width:5;height:5" filled="true" fillcolor="#9f9f9f" stroked="false">
              <v:fill type="solid"/>
            </v:rect>
            <v:rect style="position:absolute;left:1418;top:381;width:5;height:21" filled="true" fillcolor="#9f9f9f" stroked="false">
              <v:fill type="solid"/>
            </v:rect>
            <v:rect style="position:absolute;left:10485;top:381;width:5;height:21" filled="true" fillcolor="#e2e2e2" stroked="false">
              <v:fill type="solid"/>
            </v:rect>
            <v:rect style="position:absolute;left:1418;top:402;width:5;height:5" filled="true" fillcolor="#9f9f9f" stroked="false">
              <v:fill type="solid"/>
            </v:rect>
            <v:rect style="position:absolute;left:1418;top:402;width:5;height:5" filled="true" fillcolor="#e2e2e2" stroked="false">
              <v:fill type="solid"/>
            </v:rect>
            <v:line style="position:absolute" from="1423,404" to="10486,404" stroked="true" strokeweight=".24pt" strokecolor="#e2e2e2">
              <v:stroke dashstyle="solid"/>
            </v:line>
            <v:rect style="position:absolute;left:10485;top:402;width:5;height:5" filled="true" fillcolor="#e2e2e2" stroked="false">
              <v:fill type="solid"/>
            </v:rect>
            <v:rect style="position:absolute;left:10485;top:402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四</w:t>
      </w:r>
      <w:r>
        <w:rPr>
          <w:rFonts w:ascii="Calibri" w:eastAsia="Calibri"/>
        </w:rPr>
        <w:t>. </w:t>
      </w:r>
      <w:r>
        <w:rPr/>
        <w:t>屏障分析  </w:t>
      </w:r>
      <w:r>
        <w:rPr>
          <w:rFonts w:ascii="Calibri" w:eastAsia="Calibri"/>
        </w:rPr>
        <w:t>(Barrier Analysis)</w:t>
      </w:r>
    </w:p>
    <w:p>
      <w:pPr>
        <w:pStyle w:val="BodyText"/>
        <w:spacing w:line="415" w:lineRule="exact"/>
        <w:ind w:left="118"/>
      </w:pPr>
      <w:r>
        <w:rPr/>
        <w:t>本分析旨在識別應有但失效、缺失或不足的屏障，導致危害接觸到目標。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14"/>
          <w:sz w:val="24"/>
        </w:rPr>
        <w:t>危害： </w:t>
      </w:r>
      <w:r>
        <w:rPr>
          <w:sz w:val="24"/>
        </w:rPr>
        <w:t>裸露的低壓帶電體  </w:t>
      </w:r>
      <w:r>
        <w:rPr>
          <w:rFonts w:ascii="Calibri" w:hAnsi="Calibri" w:eastAsia="Calibri"/>
          <w:sz w:val="24"/>
        </w:rPr>
        <w:t>(220V)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28" w:lineRule="exact" w:before="0" w:after="0"/>
        <w:ind w:left="838" w:right="0" w:hanging="360"/>
        <w:jc w:val="left"/>
        <w:rPr>
          <w:sz w:val="24"/>
        </w:rPr>
      </w:pPr>
      <w:r>
        <w:rPr>
          <w:b/>
          <w:sz w:val="24"/>
        </w:rPr>
        <w:t>目標： </w:t>
      </w:r>
      <w:r>
        <w:rPr>
          <w:sz w:val="24"/>
        </w:rPr>
        <w:t>罹災者劉員</w:t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1737"/>
        <w:gridCol w:w="891"/>
        <w:gridCol w:w="2651"/>
        <w:gridCol w:w="2796"/>
      </w:tblGrid>
      <w:tr>
        <w:trPr>
          <w:trHeight w:val="1383" w:hRule="atLeast"/>
        </w:trPr>
        <w:tc>
          <w:tcPr>
            <w:tcW w:w="989" w:type="dxa"/>
          </w:tcPr>
          <w:p>
            <w:pPr>
              <w:pStyle w:val="TableParagraph"/>
              <w:spacing w:line="225" w:lineRule="auto"/>
              <w:ind w:right="269"/>
              <w:rPr>
                <w:sz w:val="20"/>
              </w:rPr>
            </w:pPr>
            <w:r>
              <w:rPr>
                <w:sz w:val="20"/>
              </w:rPr>
              <w:t>屏障類型</w:t>
            </w:r>
          </w:p>
        </w:tc>
        <w:tc>
          <w:tcPr>
            <w:tcW w:w="1737" w:type="dxa"/>
          </w:tcPr>
          <w:p>
            <w:pPr>
              <w:pStyle w:val="TableParagraph"/>
              <w:spacing w:line="344" w:lineRule="exact"/>
              <w:ind w:left="106"/>
              <w:rPr>
                <w:sz w:val="20"/>
              </w:rPr>
            </w:pPr>
            <w:r>
              <w:rPr>
                <w:sz w:val="20"/>
              </w:rPr>
              <w:t>屏障</w:t>
            </w:r>
          </w:p>
        </w:tc>
        <w:tc>
          <w:tcPr>
            <w:tcW w:w="891" w:type="dxa"/>
          </w:tcPr>
          <w:p>
            <w:pPr>
              <w:pStyle w:val="TableParagraph"/>
              <w:spacing w:line="225" w:lineRule="auto"/>
              <w:ind w:right="170"/>
              <w:jc w:val="both"/>
              <w:rPr>
                <w:sz w:val="20"/>
              </w:rPr>
            </w:pPr>
            <w:r>
              <w:rPr>
                <w:sz w:val="20"/>
              </w:rPr>
              <w:t>屏障表現 </w:t>
            </w:r>
            <w:r>
              <w:rPr>
                <w:rFonts w:ascii="Segoe UI" w:eastAsia="Segoe UI"/>
                <w:sz w:val="20"/>
              </w:rPr>
              <w:t>( </w:t>
            </w:r>
            <w:r>
              <w:rPr>
                <w:sz w:val="20"/>
              </w:rPr>
              <w:t>事故時狀</w:t>
            </w:r>
          </w:p>
          <w:p>
            <w:pPr>
              <w:pStyle w:val="TableParagraph"/>
              <w:spacing w:line="334" w:lineRule="exact"/>
              <w:jc w:val="both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態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651" w:type="dxa"/>
          </w:tcPr>
          <w:p>
            <w:pPr>
              <w:pStyle w:val="TableParagraph"/>
              <w:spacing w:line="344" w:lineRule="exact"/>
              <w:ind w:left="105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2796" w:type="dxa"/>
          </w:tcPr>
          <w:p>
            <w:pPr>
              <w:pStyle w:val="TableParagraph"/>
              <w:spacing w:line="225" w:lineRule="auto"/>
              <w:ind w:left="105" w:right="119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屏障如何影響事故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失效的後果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4" w:hRule="atLeast"/>
        </w:trPr>
        <w:tc>
          <w:tcPr>
            <w:tcW w:w="989" w:type="dxa"/>
          </w:tcPr>
          <w:p>
            <w:pPr>
              <w:pStyle w:val="TableParagraph"/>
              <w:spacing w:line="225" w:lineRule="auto"/>
              <w:ind w:right="18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 </w:t>
            </w:r>
            <w:r>
              <w:rPr>
                <w:rFonts w:ascii="Segoe UI" w:eastAsia="Segoe UI"/>
                <w:b/>
                <w:sz w:val="20"/>
              </w:rPr>
              <w:t>/ </w:t>
            </w:r>
            <w:r>
              <w:rPr>
                <w:b/>
                <w:spacing w:val="-16"/>
                <w:sz w:val="20"/>
              </w:rPr>
              <w:t>程</w:t>
            </w:r>
            <w:r>
              <w:rPr>
                <w:b/>
                <w:sz w:val="20"/>
              </w:rPr>
              <w:t>序性</w:t>
            </w:r>
          </w:p>
        </w:tc>
        <w:tc>
          <w:tcPr>
            <w:tcW w:w="1737" w:type="dxa"/>
          </w:tcPr>
          <w:p>
            <w:pPr>
              <w:pStyle w:val="TableParagraph"/>
              <w:spacing w:line="225" w:lineRule="auto"/>
              <w:ind w:left="106" w:right="148" w:hanging="1"/>
              <w:jc w:val="both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1. </w:t>
            </w:r>
            <w:r>
              <w:rPr>
                <w:b/>
                <w:sz w:val="20"/>
              </w:rPr>
              <w:t>停電、上鎖、掛 牌 </w:t>
            </w:r>
            <w:r>
              <w:rPr>
                <w:rFonts w:ascii="Segoe UI" w:eastAsia="Segoe UI"/>
                <w:b/>
                <w:sz w:val="20"/>
              </w:rPr>
              <w:t>(LOTO) </w:t>
            </w:r>
            <w:r>
              <w:rPr>
                <w:b/>
                <w:sz w:val="20"/>
              </w:rPr>
              <w:t>程序 </w:t>
            </w: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最關鍵屏障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891" w:type="dxa"/>
          </w:tcPr>
          <w:p>
            <w:pPr>
              <w:pStyle w:val="TableParagraph"/>
              <w:spacing w:line="225" w:lineRule="auto"/>
              <w:ind w:left="106" w:right="170"/>
              <w:rPr>
                <w:b/>
                <w:sz w:val="20"/>
              </w:rPr>
            </w:pPr>
            <w:r>
              <w:rPr>
                <w:b/>
                <w:sz w:val="20"/>
              </w:rPr>
              <w:t>完全不存在</w:t>
            </w:r>
          </w:p>
        </w:tc>
        <w:tc>
          <w:tcPr>
            <w:tcW w:w="2651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58" w:val="left" w:leader="none"/>
              </w:tabs>
              <w:spacing w:line="225" w:lineRule="auto" w:before="0" w:after="0"/>
              <w:ind w:left="105" w:right="281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未建立任何「作業前應</w:t>
            </w:r>
            <w:r>
              <w:rPr>
                <w:sz w:val="20"/>
              </w:rPr>
              <w:t>停電」的強制規定。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8" w:val="left" w:leader="none"/>
              </w:tabs>
              <w:spacing w:line="341" w:lineRule="exact" w:before="0" w:after="0"/>
              <w:ind w:left="357" w:right="0" w:hanging="252"/>
              <w:jc w:val="left"/>
              <w:rPr>
                <w:sz w:val="20"/>
              </w:rPr>
            </w:pPr>
            <w:r>
              <w:rPr>
                <w:spacing w:val="9"/>
                <w:sz w:val="20"/>
              </w:rPr>
              <w:t>管理階層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雇主</w:t>
            </w:r>
            <w:r>
              <w:rPr>
                <w:rFonts w:ascii="Segoe UI" w:eastAsia="Segoe UI"/>
                <w:spacing w:val="22"/>
                <w:sz w:val="20"/>
              </w:rPr>
              <w:t>) </w:t>
            </w:r>
            <w:r>
              <w:rPr>
                <w:sz w:val="20"/>
              </w:rPr>
              <w:t>未認知</w:t>
            </w:r>
          </w:p>
          <w:p>
            <w:pPr>
              <w:pStyle w:val="TableParagraph"/>
              <w:spacing w:line="339" w:lineRule="exact"/>
              <w:ind w:left="105"/>
              <w:rPr>
                <w:sz w:val="20"/>
              </w:rPr>
            </w:pPr>
            <w:r>
              <w:rPr>
                <w:sz w:val="20"/>
              </w:rPr>
              <w:t>此為必要程序。</w:t>
            </w:r>
          </w:p>
        </w:tc>
        <w:tc>
          <w:tcPr>
            <w:tcW w:w="2796" w:type="dxa"/>
          </w:tcPr>
          <w:p>
            <w:pPr>
              <w:pStyle w:val="TableParagraph"/>
              <w:spacing w:line="225" w:lineRule="auto"/>
              <w:ind w:left="104" w:right="277"/>
              <w:jc w:val="both"/>
              <w:rPr>
                <w:sz w:val="20"/>
              </w:rPr>
            </w:pPr>
            <w:r>
              <w:rPr>
                <w:sz w:val="20"/>
              </w:rPr>
              <w:t>這是最致命的屏障失效。它讓危害源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帶電體</w:t>
            </w:r>
            <w:r>
              <w:rPr>
                <w:rFonts w:ascii="Segoe UI" w:eastAsia="Segoe UI"/>
                <w:sz w:val="20"/>
              </w:rPr>
              <w:t>) </w:t>
            </w:r>
            <w:r>
              <w:rPr>
                <w:sz w:val="20"/>
              </w:rPr>
              <w:t>始終存在，使得後續所有屏障的壓</w:t>
            </w:r>
          </w:p>
        </w:tc>
      </w:tr>
    </w:tbl>
    <w:p>
      <w:pPr>
        <w:spacing w:after="0" w:line="225" w:lineRule="auto"/>
        <w:jc w:val="both"/>
        <w:rPr>
          <w:sz w:val="20"/>
        </w:rPr>
        <w:sectPr>
          <w:pgSz w:w="11910" w:h="16840"/>
          <w:pgMar w:top="1580" w:bottom="280" w:left="1300" w:right="130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1737"/>
        <w:gridCol w:w="891"/>
        <w:gridCol w:w="2651"/>
        <w:gridCol w:w="2796"/>
      </w:tblGrid>
      <w:tr>
        <w:trPr>
          <w:trHeight w:val="692" w:hRule="atLeast"/>
        </w:trPr>
        <w:tc>
          <w:tcPr>
            <w:tcW w:w="98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96" w:type="dxa"/>
          </w:tcPr>
          <w:p>
            <w:pPr>
              <w:pStyle w:val="TableParagraph"/>
              <w:spacing w:line="346" w:lineRule="exact"/>
              <w:ind w:left="105"/>
              <w:rPr>
                <w:sz w:val="20"/>
              </w:rPr>
            </w:pPr>
            <w:r>
              <w:rPr>
                <w:sz w:val="20"/>
              </w:rPr>
              <w:t>力劇增，是事故發生的前</w:t>
            </w:r>
          </w:p>
          <w:p>
            <w:pPr>
              <w:pStyle w:val="TableParagraph"/>
              <w:spacing w:line="326" w:lineRule="exact"/>
              <w:ind w:left="105"/>
              <w:rPr>
                <w:sz w:val="20"/>
              </w:rPr>
            </w:pPr>
            <w:r>
              <w:rPr>
                <w:sz w:val="20"/>
              </w:rPr>
              <w:t>提。</w:t>
            </w:r>
          </w:p>
        </w:tc>
      </w:tr>
      <w:tr>
        <w:trPr>
          <w:trHeight w:val="1383" w:hRule="atLeast"/>
        </w:trPr>
        <w:tc>
          <w:tcPr>
            <w:tcW w:w="989" w:type="dxa"/>
          </w:tcPr>
          <w:p>
            <w:pPr>
              <w:pStyle w:val="TableParagraph"/>
              <w:spacing w:line="225" w:lineRule="auto" w:before="4"/>
              <w:ind w:right="18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 </w:t>
            </w:r>
            <w:r>
              <w:rPr>
                <w:rFonts w:ascii="Segoe UI" w:eastAsia="Segoe UI"/>
                <w:b/>
                <w:sz w:val="20"/>
              </w:rPr>
              <w:t>/ </w:t>
            </w:r>
            <w:r>
              <w:rPr>
                <w:b/>
                <w:spacing w:val="-16"/>
                <w:sz w:val="20"/>
              </w:rPr>
              <w:t>程</w:t>
            </w:r>
            <w:r>
              <w:rPr>
                <w:b/>
                <w:sz w:val="20"/>
              </w:rPr>
              <w:t>序性</w:t>
            </w:r>
          </w:p>
        </w:tc>
        <w:tc>
          <w:tcPr>
            <w:tcW w:w="1737" w:type="dxa"/>
          </w:tcPr>
          <w:p>
            <w:pPr>
              <w:pStyle w:val="TableParagraph"/>
              <w:spacing w:line="225" w:lineRule="auto" w:before="4"/>
              <w:ind w:left="106" w:right="148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2. </w:t>
            </w:r>
            <w:r>
              <w:rPr>
                <w:b/>
                <w:sz w:val="20"/>
              </w:rPr>
              <w:t>工作許可與風險評估</w:t>
            </w:r>
          </w:p>
        </w:tc>
        <w:tc>
          <w:tcPr>
            <w:tcW w:w="891" w:type="dxa"/>
          </w:tcPr>
          <w:p>
            <w:pPr>
              <w:pStyle w:val="TableParagraph"/>
              <w:spacing w:line="35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不存在</w:t>
            </w:r>
          </w:p>
        </w:tc>
        <w:tc>
          <w:tcPr>
            <w:tcW w:w="265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58" w:val="left" w:leader="none"/>
              </w:tabs>
              <w:spacing w:line="225" w:lineRule="auto" w:before="4" w:after="0"/>
              <w:ind w:left="105" w:right="281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未對此高風險作業進行</w:t>
            </w:r>
            <w:r>
              <w:rPr>
                <w:sz w:val="20"/>
              </w:rPr>
              <w:t>危害辨識與風險評估。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8" w:val="left" w:leader="none"/>
              </w:tabs>
              <w:spacing w:line="342" w:lineRule="exact" w:before="0" w:after="0"/>
              <w:ind w:left="357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認為是一般性作業，無</w:t>
            </w:r>
          </w:p>
          <w:p>
            <w:pPr>
              <w:pStyle w:val="TableParagraph"/>
              <w:spacing w:line="326" w:lineRule="exact"/>
              <w:ind w:left="105"/>
              <w:rPr>
                <w:sz w:val="20"/>
              </w:rPr>
            </w:pPr>
            <w:r>
              <w:rPr>
                <w:sz w:val="20"/>
              </w:rPr>
              <w:t>須特別許可。</w:t>
            </w:r>
          </w:p>
        </w:tc>
        <w:tc>
          <w:tcPr>
            <w:tcW w:w="2796" w:type="dxa"/>
          </w:tcPr>
          <w:p>
            <w:pPr>
              <w:pStyle w:val="TableParagraph"/>
              <w:spacing w:line="225" w:lineRule="auto" w:before="4"/>
              <w:ind w:left="105" w:right="118"/>
              <w:jc w:val="both"/>
              <w:rPr>
                <w:sz w:val="20"/>
              </w:rPr>
            </w:pPr>
            <w:r>
              <w:rPr>
                <w:sz w:val="20"/>
              </w:rPr>
              <w:t>未能系統性地辨識出活線作業的致命風險，因此也未能規劃任何對應的控制措施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</w:t>
            </w:r>
          </w:p>
          <w:p>
            <w:pPr>
              <w:pStyle w:val="TableParagraph"/>
              <w:spacing w:line="322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停電、防護具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</w:tr>
      <w:tr>
        <w:trPr>
          <w:trHeight w:val="1037" w:hRule="atLeast"/>
        </w:trPr>
        <w:tc>
          <w:tcPr>
            <w:tcW w:w="989" w:type="dxa"/>
          </w:tcPr>
          <w:p>
            <w:pPr>
              <w:pStyle w:val="TableParagraph"/>
              <w:spacing w:line="228" w:lineRule="auto" w:before="1"/>
              <w:ind w:right="269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個人防護具</w:t>
            </w:r>
            <w:r>
              <w:rPr>
                <w:rFonts w:ascii="Segoe UI" w:eastAsia="Segoe UI"/>
                <w:b/>
                <w:sz w:val="20"/>
              </w:rPr>
              <w:t>(PPE)</w:t>
            </w:r>
          </w:p>
        </w:tc>
        <w:tc>
          <w:tcPr>
            <w:tcW w:w="1737" w:type="dxa"/>
          </w:tcPr>
          <w:p>
            <w:pPr>
              <w:pStyle w:val="TableParagraph"/>
              <w:spacing w:line="345" w:lineRule="exact"/>
              <w:ind w:left="106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3. </w:t>
            </w:r>
            <w:r>
              <w:rPr>
                <w:b/>
                <w:sz w:val="20"/>
              </w:rPr>
              <w:t>絕緣防護具</w:t>
            </w:r>
          </w:p>
          <w:p>
            <w:pPr>
              <w:pStyle w:val="TableParagraph"/>
              <w:spacing w:line="357" w:lineRule="exact"/>
              <w:ind w:left="106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如絕緣手套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891" w:type="dxa"/>
          </w:tcPr>
          <w:p>
            <w:pPr>
              <w:pStyle w:val="TableParagraph"/>
              <w:spacing w:line="225" w:lineRule="auto" w:before="4"/>
              <w:ind w:left="106" w:right="170"/>
              <w:rPr>
                <w:b/>
                <w:sz w:val="20"/>
              </w:rPr>
            </w:pPr>
            <w:r>
              <w:rPr>
                <w:b/>
                <w:sz w:val="20"/>
              </w:rPr>
              <w:t>完全失效</w:t>
            </w:r>
          </w:p>
        </w:tc>
        <w:tc>
          <w:tcPr>
            <w:tcW w:w="2651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58" w:val="left" w:leader="none"/>
              </w:tabs>
              <w:spacing w:line="345" w:lineRule="exact" w:before="0" w:after="0"/>
              <w:ind w:left="357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罹災者未戴用。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58" w:val="left" w:leader="none"/>
              </w:tabs>
              <w:spacing w:line="346" w:lineRule="exact" w:before="0" w:after="0"/>
              <w:ind w:left="357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未被要求或強制使用。</w:t>
            </w:r>
          </w:p>
          <w:p>
            <w:pPr>
              <w:pStyle w:val="TableParagraph"/>
              <w:spacing w:line="326" w:lineRule="exact"/>
              <w:ind w:left="105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796" w:type="dxa"/>
          </w:tcPr>
          <w:p>
            <w:pPr>
              <w:pStyle w:val="TableParagraph"/>
              <w:spacing w:line="225" w:lineRule="auto" w:before="4"/>
              <w:ind w:left="104" w:right="278"/>
              <w:rPr>
                <w:sz w:val="20"/>
              </w:rPr>
            </w:pPr>
            <w:r>
              <w:rPr>
                <w:sz w:val="20"/>
              </w:rPr>
              <w:t>人體直接接觸帶電體的最後一道防線被移除，導致電流</w:t>
            </w:r>
          </w:p>
          <w:p>
            <w:pPr>
              <w:pStyle w:val="TableParagraph"/>
              <w:spacing w:line="322" w:lineRule="exact"/>
              <w:ind w:left="104"/>
              <w:rPr>
                <w:sz w:val="20"/>
              </w:rPr>
            </w:pPr>
            <w:r>
              <w:rPr>
                <w:sz w:val="20"/>
              </w:rPr>
              <w:t>直接通過心臟。</w:t>
            </w:r>
          </w:p>
        </w:tc>
      </w:tr>
      <w:tr>
        <w:trPr>
          <w:trHeight w:val="1037" w:hRule="atLeast"/>
        </w:trPr>
        <w:tc>
          <w:tcPr>
            <w:tcW w:w="989" w:type="dxa"/>
          </w:tcPr>
          <w:p>
            <w:pPr>
              <w:pStyle w:val="TableParagraph"/>
              <w:spacing w:line="225" w:lineRule="auto" w:before="5"/>
              <w:ind w:right="180"/>
              <w:rPr>
                <w:b/>
                <w:sz w:val="20"/>
              </w:rPr>
            </w:pPr>
            <w:r>
              <w:rPr>
                <w:b/>
                <w:sz w:val="20"/>
              </w:rPr>
              <w:t>工程控制 </w:t>
            </w:r>
            <w:r>
              <w:rPr>
                <w:rFonts w:ascii="Segoe UI" w:eastAsia="Segoe UI"/>
                <w:b/>
                <w:sz w:val="20"/>
              </w:rPr>
              <w:t>/ </w:t>
            </w:r>
            <w:r>
              <w:rPr>
                <w:b/>
                <w:spacing w:val="-16"/>
                <w:sz w:val="20"/>
              </w:rPr>
              <w:t>設</w:t>
            </w:r>
          </w:p>
          <w:p>
            <w:pPr>
              <w:pStyle w:val="TableParagraph"/>
              <w:spacing w:line="321" w:lineRule="exac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備</w:t>
            </w:r>
          </w:p>
        </w:tc>
        <w:tc>
          <w:tcPr>
            <w:tcW w:w="1737" w:type="dxa"/>
          </w:tcPr>
          <w:p>
            <w:pPr>
              <w:pStyle w:val="TableParagraph"/>
              <w:spacing w:line="225" w:lineRule="auto" w:before="5"/>
              <w:ind w:left="106" w:right="148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4. </w:t>
            </w:r>
            <w:r>
              <w:rPr>
                <w:b/>
                <w:sz w:val="20"/>
              </w:rPr>
              <w:t>帶電部分之絕緣防護 </w:t>
            </w: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如端子</w:t>
            </w:r>
          </w:p>
          <w:p>
            <w:pPr>
              <w:pStyle w:val="TableParagraph"/>
              <w:spacing w:line="321" w:lineRule="exact"/>
              <w:ind w:left="106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護蓋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891" w:type="dxa"/>
          </w:tcPr>
          <w:p>
            <w:pPr>
              <w:pStyle w:val="TableParagraph"/>
              <w:spacing w:line="35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失效</w:t>
            </w:r>
          </w:p>
        </w:tc>
        <w:tc>
          <w:tcPr>
            <w:tcW w:w="2651" w:type="dxa"/>
          </w:tcPr>
          <w:p>
            <w:pPr>
              <w:pStyle w:val="TableParagraph"/>
              <w:spacing w:line="225" w:lineRule="auto" w:before="5"/>
              <w:ind w:left="105" w:right="132"/>
              <w:rPr>
                <w:sz w:val="20"/>
              </w:rPr>
            </w:pPr>
            <w:r>
              <w:rPr>
                <w:sz w:val="20"/>
              </w:rPr>
              <w:t>無熔絲開關的端子處於裸露狀態，無任何護蓋或絕緣包</w:t>
            </w:r>
          </w:p>
          <w:p>
            <w:pPr>
              <w:pStyle w:val="TableParagraph"/>
              <w:spacing w:line="321" w:lineRule="exact"/>
              <w:ind w:left="105"/>
              <w:rPr>
                <w:sz w:val="20"/>
              </w:rPr>
            </w:pPr>
            <w:r>
              <w:rPr>
                <w:sz w:val="20"/>
              </w:rPr>
              <w:t>覆。</w:t>
            </w:r>
          </w:p>
        </w:tc>
        <w:tc>
          <w:tcPr>
            <w:tcW w:w="2796" w:type="dxa"/>
          </w:tcPr>
          <w:p>
            <w:pPr>
              <w:pStyle w:val="TableParagraph"/>
              <w:spacing w:line="225" w:lineRule="auto" w:before="5"/>
              <w:ind w:left="105" w:right="277"/>
              <w:rPr>
                <w:sz w:val="20"/>
              </w:rPr>
            </w:pPr>
            <w:r>
              <w:rPr>
                <w:sz w:val="20"/>
              </w:rPr>
              <w:t>增加了人員因誤觸而感電的機率，降低了設備的本質安</w:t>
            </w:r>
          </w:p>
          <w:p>
            <w:pPr>
              <w:pStyle w:val="TableParagraph"/>
              <w:spacing w:line="321" w:lineRule="exact"/>
              <w:ind w:left="105"/>
              <w:rPr>
                <w:sz w:val="20"/>
              </w:rPr>
            </w:pPr>
            <w:r>
              <w:rPr>
                <w:sz w:val="20"/>
              </w:rPr>
              <w:t>全。</w:t>
            </w:r>
          </w:p>
        </w:tc>
      </w:tr>
      <w:tr>
        <w:trPr>
          <w:trHeight w:val="1384" w:hRule="atLeast"/>
        </w:trPr>
        <w:tc>
          <w:tcPr>
            <w:tcW w:w="989" w:type="dxa"/>
          </w:tcPr>
          <w:p>
            <w:pPr>
              <w:pStyle w:val="TableParagraph"/>
              <w:spacing w:line="225" w:lineRule="auto" w:before="5"/>
              <w:ind w:right="269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</w:p>
        </w:tc>
        <w:tc>
          <w:tcPr>
            <w:tcW w:w="1737" w:type="dxa"/>
          </w:tcPr>
          <w:p>
            <w:pPr>
              <w:pStyle w:val="TableParagraph"/>
              <w:spacing w:line="357" w:lineRule="exact"/>
              <w:ind w:left="106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5. </w:t>
            </w:r>
            <w:r>
              <w:rPr>
                <w:b/>
                <w:sz w:val="20"/>
              </w:rPr>
              <w:t>現場作業監督</w:t>
            </w:r>
          </w:p>
        </w:tc>
        <w:tc>
          <w:tcPr>
            <w:tcW w:w="891" w:type="dxa"/>
          </w:tcPr>
          <w:p>
            <w:pPr>
              <w:pStyle w:val="TableParagraph"/>
              <w:spacing w:line="35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失效</w:t>
            </w:r>
          </w:p>
        </w:tc>
        <w:tc>
          <w:tcPr>
            <w:tcW w:w="2651" w:type="dxa"/>
          </w:tcPr>
          <w:p>
            <w:pPr>
              <w:pStyle w:val="TableParagraph"/>
              <w:spacing w:line="225" w:lineRule="auto" w:before="5"/>
              <w:ind w:left="105" w:right="132"/>
              <w:rPr>
                <w:sz w:val="20"/>
              </w:rPr>
            </w:pPr>
            <w:r>
              <w:rPr>
                <w:sz w:val="20"/>
              </w:rPr>
              <w:t>雇主雖在附近但未直接監 </w:t>
            </w:r>
            <w:r>
              <w:rPr>
                <w:spacing w:val="-2"/>
                <w:sz w:val="20"/>
              </w:rPr>
              <w:t>督，未能察覺並制止罹災者</w:t>
            </w:r>
            <w:r>
              <w:rPr>
                <w:spacing w:val="6"/>
                <w:sz w:val="20"/>
              </w:rPr>
              <w:t>的不安全行為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在活線旁未</w:t>
            </w:r>
          </w:p>
          <w:p>
            <w:pPr>
              <w:pStyle w:val="TableParagraph"/>
              <w:spacing w:line="322" w:lineRule="exact"/>
              <w:ind w:left="105"/>
              <w:rPr>
                <w:sz w:val="20"/>
              </w:rPr>
            </w:pPr>
            <w:r>
              <w:rPr>
                <w:sz w:val="20"/>
              </w:rPr>
              <w:t>戴防護具作業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2796" w:type="dxa"/>
          </w:tcPr>
          <w:p>
            <w:pPr>
              <w:pStyle w:val="TableParagraph"/>
              <w:spacing w:line="225" w:lineRule="auto" w:before="5"/>
              <w:ind w:left="104" w:right="277"/>
              <w:jc w:val="both"/>
              <w:rPr>
                <w:sz w:val="20"/>
              </w:rPr>
            </w:pPr>
            <w:r>
              <w:rPr>
                <w:sz w:val="20"/>
              </w:rPr>
              <w:t>監督的失效，讓不安全的行為得以持續進行，直到事故發生。</w:t>
            </w:r>
          </w:p>
        </w:tc>
      </w:tr>
      <w:tr>
        <w:trPr>
          <w:trHeight w:val="1383" w:hRule="atLeast"/>
        </w:trPr>
        <w:tc>
          <w:tcPr>
            <w:tcW w:w="989" w:type="dxa"/>
          </w:tcPr>
          <w:p>
            <w:pPr>
              <w:pStyle w:val="TableParagraph"/>
              <w:spacing w:line="225" w:lineRule="auto" w:before="4"/>
              <w:ind w:right="18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 </w:t>
            </w:r>
            <w:r>
              <w:rPr>
                <w:rFonts w:ascii="Segoe UI" w:eastAsia="Segoe UI"/>
                <w:b/>
                <w:sz w:val="20"/>
              </w:rPr>
              <w:t>/ </w:t>
            </w:r>
            <w:r>
              <w:rPr>
                <w:b/>
                <w:spacing w:val="-16"/>
                <w:sz w:val="20"/>
              </w:rPr>
              <w:t>程</w:t>
            </w:r>
            <w:r>
              <w:rPr>
                <w:b/>
                <w:sz w:val="20"/>
              </w:rPr>
              <w:t>序性</w:t>
            </w:r>
          </w:p>
        </w:tc>
        <w:tc>
          <w:tcPr>
            <w:tcW w:w="1737" w:type="dxa"/>
          </w:tcPr>
          <w:p>
            <w:pPr>
              <w:pStyle w:val="TableParagraph"/>
              <w:spacing w:line="225" w:lineRule="auto" w:before="4"/>
              <w:ind w:left="106" w:right="148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6. </w:t>
            </w:r>
            <w:r>
              <w:rPr>
                <w:b/>
                <w:sz w:val="20"/>
              </w:rPr>
              <w:t>安全衛生教育訓練</w:t>
            </w:r>
          </w:p>
        </w:tc>
        <w:tc>
          <w:tcPr>
            <w:tcW w:w="891" w:type="dxa"/>
          </w:tcPr>
          <w:p>
            <w:pPr>
              <w:pStyle w:val="TableParagraph"/>
              <w:spacing w:line="225" w:lineRule="auto" w:before="4"/>
              <w:ind w:right="170"/>
              <w:rPr>
                <w:b/>
                <w:sz w:val="20"/>
              </w:rPr>
            </w:pPr>
            <w:r>
              <w:rPr>
                <w:b/>
                <w:sz w:val="20"/>
              </w:rPr>
              <w:t>嚴重不足 </w:t>
            </w:r>
            <w:r>
              <w:rPr>
                <w:rFonts w:ascii="Segoe UI" w:eastAsia="Segoe UI"/>
                <w:b/>
                <w:sz w:val="20"/>
              </w:rPr>
              <w:t>( </w:t>
            </w:r>
            <w:r>
              <w:rPr>
                <w:b/>
                <w:sz w:val="20"/>
              </w:rPr>
              <w:t>推</w:t>
            </w:r>
          </w:p>
          <w:p>
            <w:pPr>
              <w:pStyle w:val="TableParagraph"/>
              <w:spacing w:line="352" w:lineRule="exact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2651" w:type="dxa"/>
          </w:tcPr>
          <w:p>
            <w:pPr>
              <w:pStyle w:val="TableParagraph"/>
              <w:spacing w:line="225" w:lineRule="auto" w:before="4"/>
              <w:ind w:left="105" w:right="132"/>
              <w:jc w:val="both"/>
              <w:rPr>
                <w:sz w:val="20"/>
              </w:rPr>
            </w:pPr>
            <w:r>
              <w:rPr>
                <w:sz w:val="20"/>
              </w:rPr>
              <w:t>未能讓員工認知到「低壓電亦可致命」及「活線作業的必要防護」，訓練內容與成</w:t>
            </w:r>
          </w:p>
          <w:p>
            <w:pPr>
              <w:pStyle w:val="TableParagraph"/>
              <w:spacing w:line="322" w:lineRule="exact"/>
              <w:ind w:left="105"/>
              <w:jc w:val="both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效堪慮。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796" w:type="dxa"/>
          </w:tcPr>
          <w:p>
            <w:pPr>
              <w:pStyle w:val="TableParagraph"/>
              <w:spacing w:line="225" w:lineRule="auto" w:before="4"/>
              <w:ind w:left="105" w:right="277"/>
              <w:rPr>
                <w:sz w:val="20"/>
              </w:rPr>
            </w:pPr>
            <w:r>
              <w:rPr>
                <w:sz w:val="20"/>
              </w:rPr>
              <w:t>導致罹災者可能因輕忽或無知，而將自己置於險境。</w:t>
            </w:r>
          </w:p>
        </w:tc>
      </w:tr>
    </w:tbl>
    <w:p>
      <w:pPr>
        <w:pStyle w:val="BodyText"/>
        <w:spacing w:before="8"/>
        <w:rPr>
          <w:sz w:val="22"/>
        </w:rPr>
      </w:pPr>
      <w:r>
        <w:rPr/>
        <w:pict>
          <v:group style="position:absolute;margin-left:70.900002pt;margin-top:22.620001pt;width:453.65pt;height:1.5pt;mso-position-horizontal-relative:page;mso-position-vertical-relative:paragraph;z-index:-904;mso-wrap-distance-left:0;mso-wrap-distance-right:0" coordorigin="1418,452" coordsize="9073,30">
            <v:line style="position:absolute" from="1418,467" to="10490,467" stroked="true" strokeweight="1.5pt" strokecolor="#9f9f9f">
              <v:stroke dashstyle="solid"/>
            </v:line>
            <v:rect style="position:absolute;left:1418;top:452;width:5;height:5" filled="true" fillcolor="#9f9f9f" stroked="false">
              <v:fill type="solid"/>
            </v:rect>
            <v:rect style="position:absolute;left:1418;top:452;width:5;height:5" filled="true" fillcolor="#9f9f9f" stroked="false">
              <v:fill type="solid"/>
            </v:rect>
            <v:line style="position:absolute" from="1423,455" to="10486,455" stroked="true" strokeweight=".239pt" strokecolor="#9f9f9f">
              <v:stroke dashstyle="solid"/>
            </v:line>
            <v:rect style="position:absolute;left:10485;top:452;width:5;height:5" filled="true" fillcolor="#e2e2e2" stroked="false">
              <v:fill type="solid"/>
            </v:rect>
            <v:rect style="position:absolute;left:10485;top:452;width:5;height:5" filled="true" fillcolor="#9f9f9f" stroked="false">
              <v:fill type="solid"/>
            </v:rect>
            <v:rect style="position:absolute;left:1418;top:457;width:5;height:21" filled="true" fillcolor="#9f9f9f" stroked="false">
              <v:fill type="solid"/>
            </v:rect>
            <v:rect style="position:absolute;left:10485;top:457;width:5;height:21" filled="true" fillcolor="#e2e2e2" stroked="false">
              <v:fill type="solid"/>
            </v:rect>
            <v:rect style="position:absolute;left:1418;top:477;width:5;height:5" filled="true" fillcolor="#9f9f9f" stroked="false">
              <v:fill type="solid"/>
            </v:rect>
            <v:rect style="position:absolute;left:1418;top:477;width:5;height:5" filled="true" fillcolor="#e2e2e2" stroked="false">
              <v:fill type="solid"/>
            </v:rect>
            <v:line style="position:absolute" from="1423,480" to="10486,480" stroked="true" strokeweight=".239pt" strokecolor="#e2e2e2">
              <v:stroke dashstyle="solid"/>
            </v:line>
            <v:rect style="position:absolute;left:10485;top:477;width:5;height:5" filled="true" fillcolor="#e2e2e2" stroked="false">
              <v:fill type="solid"/>
            </v:rect>
            <v:rect style="position:absolute;left:10485;top:477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五</w:t>
      </w:r>
      <w:r>
        <w:rPr>
          <w:rFonts w:ascii="Calibri" w:eastAsia="Calibri"/>
        </w:rPr>
        <w:t>. </w:t>
      </w:r>
      <w:r>
        <w:rPr/>
        <w:t>變更分析  </w:t>
      </w:r>
      <w:r>
        <w:rPr>
          <w:rFonts w:ascii="Calibri" w:eastAsia="Calibri"/>
        </w:rPr>
        <w:t>(Change Analysis)</w:t>
      </w:r>
    </w:p>
    <w:p>
      <w:pPr>
        <w:pStyle w:val="BodyText"/>
        <w:spacing w:line="428" w:lineRule="exact"/>
        <w:ind w:left="118"/>
      </w:pPr>
      <w:r>
        <w:rPr/>
        <w:t>本分析比較「事故狀況」與「理想的無事故狀況」，以識別導致事故的關鍵差異。</w:t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2"/>
        <w:gridCol w:w="2066"/>
        <w:gridCol w:w="1705"/>
        <w:gridCol w:w="1650"/>
        <w:gridCol w:w="2574"/>
      </w:tblGrid>
      <w:tr>
        <w:trPr>
          <w:trHeight w:val="1037" w:hRule="atLeast"/>
        </w:trPr>
        <w:tc>
          <w:tcPr>
            <w:tcW w:w="1072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因素</w:t>
            </w:r>
          </w:p>
        </w:tc>
        <w:tc>
          <w:tcPr>
            <w:tcW w:w="2066" w:type="dxa"/>
          </w:tcPr>
          <w:p>
            <w:pPr>
              <w:pStyle w:val="TableParagraph"/>
              <w:spacing w:line="345" w:lineRule="exact"/>
              <w:ind w:left="106"/>
              <w:rPr>
                <w:sz w:val="20"/>
              </w:rPr>
            </w:pPr>
            <w:r>
              <w:rPr>
                <w:sz w:val="20"/>
              </w:rPr>
              <w:t>事故狀況</w:t>
            </w:r>
          </w:p>
        </w:tc>
        <w:tc>
          <w:tcPr>
            <w:tcW w:w="1705" w:type="dxa"/>
          </w:tcPr>
          <w:p>
            <w:pPr>
              <w:pStyle w:val="TableParagraph"/>
              <w:spacing w:line="225" w:lineRule="auto"/>
              <w:ind w:left="106" w:right="186"/>
              <w:rPr>
                <w:sz w:val="20"/>
              </w:rPr>
            </w:pPr>
            <w:r>
              <w:rPr>
                <w:sz w:val="20"/>
              </w:rPr>
              <w:t>先前、理想或未發生事故狀況</w:t>
            </w:r>
          </w:p>
          <w:p>
            <w:pPr>
              <w:pStyle w:val="TableParagraph"/>
              <w:spacing w:line="333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650" w:type="dxa"/>
          </w:tcPr>
          <w:p>
            <w:pPr>
              <w:pStyle w:val="TableParagraph"/>
              <w:spacing w:line="345" w:lineRule="exact"/>
              <w:ind w:left="104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差異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變更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574" w:type="dxa"/>
          </w:tcPr>
          <w:p>
            <w:pPr>
              <w:pStyle w:val="TableParagraph"/>
              <w:spacing w:line="225" w:lineRule="auto"/>
              <w:ind w:left="103" w:right="297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效果評估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差異對事故的影響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4" w:hRule="atLeast"/>
        </w:trPr>
        <w:tc>
          <w:tcPr>
            <w:tcW w:w="1072" w:type="dxa"/>
          </w:tcPr>
          <w:p>
            <w:pPr>
              <w:pStyle w:val="TableParagraph"/>
              <w:spacing w:line="248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WHAT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什麼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066" w:type="dxa"/>
          </w:tcPr>
          <w:p>
            <w:pPr>
              <w:pStyle w:val="TableParagraph"/>
              <w:spacing w:line="225" w:lineRule="auto"/>
              <w:ind w:left="106" w:right="146"/>
              <w:rPr>
                <w:sz w:val="20"/>
              </w:rPr>
            </w:pPr>
            <w:r>
              <w:rPr>
                <w:sz w:val="20"/>
              </w:rPr>
              <w:t>在「帶電」的電路上進行配線作業。</w:t>
            </w:r>
          </w:p>
        </w:tc>
        <w:tc>
          <w:tcPr>
            <w:tcW w:w="1705" w:type="dxa"/>
          </w:tcPr>
          <w:p>
            <w:pPr>
              <w:pStyle w:val="TableParagraph"/>
              <w:spacing w:line="225" w:lineRule="auto"/>
              <w:ind w:left="106" w:right="186"/>
              <w:jc w:val="both"/>
              <w:rPr>
                <w:sz w:val="20"/>
              </w:rPr>
            </w:pPr>
            <w:r>
              <w:rPr>
                <w:sz w:val="20"/>
              </w:rPr>
              <w:t>在「已斷電並上鎖」的電路上進行配線作業。</w:t>
            </w:r>
          </w:p>
        </w:tc>
        <w:tc>
          <w:tcPr>
            <w:tcW w:w="1650" w:type="dxa"/>
          </w:tcPr>
          <w:p>
            <w:pPr>
              <w:pStyle w:val="TableParagraph"/>
              <w:spacing w:line="225" w:lineRule="auto"/>
              <w:ind w:left="104" w:right="133"/>
              <w:rPr>
                <w:sz w:val="20"/>
              </w:rPr>
            </w:pPr>
            <w:r>
              <w:rPr>
                <w:spacing w:val="-3"/>
                <w:sz w:val="20"/>
              </w:rPr>
              <w:t>作業的「條件」</w:t>
            </w:r>
            <w:r>
              <w:rPr>
                <w:sz w:val="20"/>
              </w:rPr>
              <w:t>由安全變為致 命。</w:t>
            </w:r>
          </w:p>
        </w:tc>
        <w:tc>
          <w:tcPr>
            <w:tcW w:w="2574" w:type="dxa"/>
          </w:tcPr>
          <w:p>
            <w:pPr>
              <w:pStyle w:val="TableParagraph"/>
              <w:spacing w:line="225" w:lineRule="auto"/>
              <w:ind w:left="103" w:right="257"/>
              <w:jc w:val="both"/>
              <w:rPr>
                <w:sz w:val="20"/>
              </w:rPr>
            </w:pPr>
            <w:r>
              <w:rPr>
                <w:sz w:val="20"/>
              </w:rPr>
              <w:t>這是最關鍵的差異。將一個可控的作業，變成了直接暴露於致命危害下的高</w:t>
            </w:r>
          </w:p>
          <w:p>
            <w:pPr>
              <w:pStyle w:val="TableParagraph"/>
              <w:spacing w:line="334" w:lineRule="exact"/>
              <w:ind w:left="103"/>
              <w:jc w:val="both"/>
              <w:rPr>
                <w:sz w:val="20"/>
              </w:rPr>
            </w:pPr>
            <w:r>
              <w:rPr>
                <w:sz w:val="20"/>
              </w:rPr>
              <w:t>風險活動。</w:t>
            </w:r>
          </w:p>
        </w:tc>
      </w:tr>
      <w:tr>
        <w:trPr>
          <w:trHeight w:val="1037" w:hRule="atLeast"/>
        </w:trPr>
        <w:tc>
          <w:tcPr>
            <w:tcW w:w="1072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HOW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</w:t>
            </w:r>
          </w:p>
          <w:p>
            <w:pPr>
              <w:pStyle w:val="TableParagraph"/>
              <w:spacing w:line="357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何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066" w:type="dxa"/>
          </w:tcPr>
          <w:p>
            <w:pPr>
              <w:pStyle w:val="TableParagraph"/>
              <w:spacing w:line="225" w:lineRule="auto"/>
              <w:ind w:left="106" w:right="146"/>
              <w:rPr>
                <w:sz w:val="20"/>
              </w:rPr>
            </w:pPr>
            <w:r>
              <w:rPr>
                <w:sz w:val="20"/>
              </w:rPr>
              <w:t>「未使用」任何絕緣防護具或絕緣工具。</w:t>
            </w:r>
          </w:p>
        </w:tc>
        <w:tc>
          <w:tcPr>
            <w:tcW w:w="1705" w:type="dxa"/>
          </w:tcPr>
          <w:p>
            <w:pPr>
              <w:pStyle w:val="TableParagraph"/>
              <w:spacing w:line="225" w:lineRule="auto"/>
              <w:ind w:left="106" w:right="186"/>
              <w:rPr>
                <w:sz w:val="20"/>
              </w:rPr>
            </w:pPr>
            <w:r>
              <w:rPr>
                <w:spacing w:val="-3"/>
                <w:sz w:val="20"/>
              </w:rPr>
              <w:t>「有使用」經檢</w:t>
            </w:r>
            <w:r>
              <w:rPr>
                <w:spacing w:val="-4"/>
                <w:sz w:val="20"/>
              </w:rPr>
              <w:t>驗合格的絕緣手</w:t>
            </w:r>
          </w:p>
          <w:p>
            <w:pPr>
              <w:pStyle w:val="TableParagraph"/>
              <w:spacing w:line="334" w:lineRule="exact"/>
              <w:ind w:left="106"/>
              <w:rPr>
                <w:sz w:val="20"/>
              </w:rPr>
            </w:pPr>
            <w:r>
              <w:rPr>
                <w:spacing w:val="-1"/>
                <w:sz w:val="20"/>
              </w:rPr>
              <w:t>套與絕緣工具。</w:t>
            </w:r>
          </w:p>
        </w:tc>
        <w:tc>
          <w:tcPr>
            <w:tcW w:w="1650" w:type="dxa"/>
          </w:tcPr>
          <w:p>
            <w:pPr>
              <w:pStyle w:val="TableParagraph"/>
              <w:spacing w:line="225" w:lineRule="auto"/>
              <w:ind w:left="104" w:right="133"/>
              <w:rPr>
                <w:sz w:val="20"/>
              </w:rPr>
            </w:pPr>
            <w:r>
              <w:rPr>
                <w:sz w:val="20"/>
              </w:rPr>
              <w:t>作業的「方法」省略了所有安全</w:t>
            </w:r>
          </w:p>
          <w:p>
            <w:pPr>
              <w:pStyle w:val="TableParagraph"/>
              <w:spacing w:line="334" w:lineRule="exact"/>
              <w:ind w:left="104"/>
              <w:rPr>
                <w:sz w:val="20"/>
              </w:rPr>
            </w:pPr>
            <w:r>
              <w:rPr>
                <w:sz w:val="20"/>
              </w:rPr>
              <w:t>保護措施。</w:t>
            </w:r>
          </w:p>
        </w:tc>
        <w:tc>
          <w:tcPr>
            <w:tcW w:w="2574" w:type="dxa"/>
          </w:tcPr>
          <w:p>
            <w:pPr>
              <w:pStyle w:val="TableParagraph"/>
              <w:spacing w:line="225" w:lineRule="auto"/>
              <w:ind w:left="103" w:right="258"/>
              <w:rPr>
                <w:sz w:val="20"/>
              </w:rPr>
            </w:pPr>
            <w:r>
              <w:rPr>
                <w:sz w:val="20"/>
              </w:rPr>
              <w:t>導致人員在直接接觸危害時，沒有任何保護，感電</w:t>
            </w:r>
          </w:p>
          <w:p>
            <w:pPr>
              <w:pStyle w:val="TableParagraph"/>
              <w:spacing w:line="334" w:lineRule="exact"/>
              <w:ind w:left="103"/>
              <w:rPr>
                <w:sz w:val="20"/>
              </w:rPr>
            </w:pPr>
            <w:r>
              <w:rPr>
                <w:sz w:val="20"/>
              </w:rPr>
              <w:t>成為必然結果。</w:t>
            </w:r>
          </w:p>
        </w:tc>
      </w:tr>
      <w:tr>
        <w:trPr>
          <w:trHeight w:val="1037" w:hRule="atLeast"/>
        </w:trPr>
        <w:tc>
          <w:tcPr>
            <w:tcW w:w="1072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WHO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何</w:t>
            </w:r>
          </w:p>
          <w:p>
            <w:pPr>
              <w:pStyle w:val="TableParagraph"/>
              <w:spacing w:line="357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人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066" w:type="dxa"/>
          </w:tcPr>
          <w:p>
            <w:pPr>
              <w:pStyle w:val="TableParagraph"/>
              <w:spacing w:line="225" w:lineRule="auto"/>
              <w:ind w:left="106" w:right="146"/>
              <w:rPr>
                <w:sz w:val="20"/>
              </w:rPr>
            </w:pPr>
            <w:r>
              <w:rPr>
                <w:sz w:val="20"/>
              </w:rPr>
              <w:t>一個「無人監督」的勞工。</w:t>
            </w:r>
          </w:p>
        </w:tc>
        <w:tc>
          <w:tcPr>
            <w:tcW w:w="1705" w:type="dxa"/>
          </w:tcPr>
          <w:p>
            <w:pPr>
              <w:pStyle w:val="TableParagraph"/>
              <w:spacing w:line="225" w:lineRule="auto"/>
              <w:ind w:left="106" w:right="186"/>
              <w:rPr>
                <w:sz w:val="20"/>
              </w:rPr>
            </w:pPr>
            <w:r>
              <w:rPr>
                <w:sz w:val="20"/>
              </w:rPr>
              <w:t>一個在「合格人員監督下」作業</w:t>
            </w:r>
          </w:p>
          <w:p>
            <w:pPr>
              <w:pStyle w:val="TableParagraph"/>
              <w:spacing w:line="334" w:lineRule="exact"/>
              <w:ind w:left="106"/>
              <w:rPr>
                <w:sz w:val="20"/>
              </w:rPr>
            </w:pPr>
            <w:r>
              <w:rPr>
                <w:sz w:val="20"/>
              </w:rPr>
              <w:t>的勞工。</w:t>
            </w:r>
          </w:p>
        </w:tc>
        <w:tc>
          <w:tcPr>
            <w:tcW w:w="1650" w:type="dxa"/>
          </w:tcPr>
          <w:p>
            <w:pPr>
              <w:pStyle w:val="TableParagraph"/>
              <w:spacing w:line="225" w:lineRule="auto"/>
              <w:ind w:left="104" w:right="133"/>
              <w:rPr>
                <w:sz w:val="20"/>
              </w:rPr>
            </w:pPr>
            <w:r>
              <w:rPr>
                <w:spacing w:val="-3"/>
                <w:sz w:val="20"/>
              </w:rPr>
              <w:t>作業的「監督狀</w:t>
            </w:r>
            <w:r>
              <w:rPr>
                <w:spacing w:val="-4"/>
                <w:sz w:val="20"/>
              </w:rPr>
              <w:t>態」由有人監督</w:t>
            </w:r>
          </w:p>
          <w:p>
            <w:pPr>
              <w:pStyle w:val="TableParagraph"/>
              <w:spacing w:line="334" w:lineRule="exact"/>
              <w:ind w:left="104"/>
              <w:rPr>
                <w:sz w:val="20"/>
              </w:rPr>
            </w:pPr>
            <w:r>
              <w:rPr>
                <w:spacing w:val="-1"/>
                <w:sz w:val="20"/>
              </w:rPr>
              <w:t>變為無人監督。</w:t>
            </w:r>
          </w:p>
        </w:tc>
        <w:tc>
          <w:tcPr>
            <w:tcW w:w="2574" w:type="dxa"/>
          </w:tcPr>
          <w:p>
            <w:pPr>
              <w:pStyle w:val="TableParagraph"/>
              <w:spacing w:line="225" w:lineRule="auto"/>
              <w:ind w:left="103" w:right="136"/>
              <w:rPr>
                <w:sz w:val="20"/>
              </w:rPr>
            </w:pPr>
            <w:r>
              <w:rPr>
                <w:sz w:val="20"/>
              </w:rPr>
              <w:t>缺乏監督導致了不安全行為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方法上的差異</w:t>
            </w:r>
            <w:r>
              <w:rPr>
                <w:rFonts w:ascii="Segoe UI" w:eastAsia="Segoe UI"/>
                <w:sz w:val="20"/>
              </w:rPr>
              <w:t>) </w:t>
            </w:r>
            <w:r>
              <w:rPr>
                <w:sz w:val="20"/>
              </w:rPr>
              <w:t>的發生</w:t>
            </w:r>
          </w:p>
          <w:p>
            <w:pPr>
              <w:pStyle w:val="TableParagraph"/>
              <w:spacing w:line="334" w:lineRule="exact"/>
              <w:ind w:left="102"/>
              <w:rPr>
                <w:sz w:val="20"/>
              </w:rPr>
            </w:pPr>
            <w:r>
              <w:rPr>
                <w:sz w:val="20"/>
              </w:rPr>
              <w:t>與未能及時制止。</w:t>
            </w:r>
          </w:p>
        </w:tc>
      </w:tr>
      <w:tr>
        <w:trPr>
          <w:trHeight w:val="1037" w:hRule="atLeast"/>
        </w:trPr>
        <w:tc>
          <w:tcPr>
            <w:tcW w:w="1072" w:type="dxa"/>
          </w:tcPr>
          <w:p>
            <w:pPr>
              <w:pStyle w:val="TableParagraph"/>
              <w:spacing w:line="248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WHERE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何地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066" w:type="dxa"/>
          </w:tcPr>
          <w:p>
            <w:pPr>
              <w:pStyle w:val="TableParagraph"/>
              <w:spacing w:line="333" w:lineRule="exact"/>
              <w:ind w:left="106"/>
              <w:rPr>
                <w:sz w:val="20"/>
              </w:rPr>
            </w:pPr>
            <w:r>
              <w:rPr>
                <w:sz w:val="20"/>
              </w:rPr>
              <w:t>在一個「端子裸</w:t>
            </w:r>
          </w:p>
          <w:p>
            <w:pPr>
              <w:pStyle w:val="TableParagraph"/>
              <w:spacing w:line="357" w:lineRule="exact"/>
              <w:ind w:left="106"/>
              <w:rPr>
                <w:sz w:val="20"/>
              </w:rPr>
            </w:pPr>
            <w:r>
              <w:rPr>
                <w:sz w:val="20"/>
              </w:rPr>
              <w:t>露」、具有高度接觸</w:t>
            </w:r>
          </w:p>
        </w:tc>
        <w:tc>
          <w:tcPr>
            <w:tcW w:w="1705" w:type="dxa"/>
          </w:tcPr>
          <w:p>
            <w:pPr>
              <w:pStyle w:val="TableParagraph"/>
              <w:spacing w:line="225" w:lineRule="auto"/>
              <w:ind w:left="106" w:right="186"/>
              <w:rPr>
                <w:sz w:val="20"/>
              </w:rPr>
            </w:pPr>
            <w:r>
              <w:rPr>
                <w:sz w:val="20"/>
              </w:rPr>
              <w:t>在一個帶電部分已完全被遮蔽或</w:t>
            </w:r>
          </w:p>
        </w:tc>
        <w:tc>
          <w:tcPr>
            <w:tcW w:w="1650" w:type="dxa"/>
          </w:tcPr>
          <w:p>
            <w:pPr>
              <w:pStyle w:val="TableParagraph"/>
              <w:spacing w:line="225" w:lineRule="auto"/>
              <w:ind w:left="104" w:right="133"/>
              <w:rPr>
                <w:sz w:val="20"/>
              </w:rPr>
            </w:pPr>
            <w:r>
              <w:rPr>
                <w:sz w:val="20"/>
              </w:rPr>
              <w:t>作業的「環境」存在明顯的物理</w:t>
            </w:r>
          </w:p>
          <w:p>
            <w:pPr>
              <w:pStyle w:val="TableParagraph"/>
              <w:spacing w:line="334" w:lineRule="exact"/>
              <w:ind w:left="104"/>
              <w:rPr>
                <w:sz w:val="20"/>
              </w:rPr>
            </w:pPr>
            <w:r>
              <w:rPr>
                <w:sz w:val="20"/>
              </w:rPr>
              <w:t>性缺陷。</w:t>
            </w:r>
          </w:p>
        </w:tc>
        <w:tc>
          <w:tcPr>
            <w:tcW w:w="2574" w:type="dxa"/>
          </w:tcPr>
          <w:p>
            <w:pPr>
              <w:pStyle w:val="TableParagraph"/>
              <w:spacing w:line="225" w:lineRule="auto"/>
              <w:ind w:left="103" w:right="258"/>
              <w:rPr>
                <w:sz w:val="20"/>
              </w:rPr>
            </w:pPr>
            <w:r>
              <w:rPr>
                <w:sz w:val="20"/>
              </w:rPr>
              <w:t>增加了人員無意中觸碰帶電體的風險。</w:t>
            </w:r>
          </w:p>
        </w:tc>
      </w:tr>
    </w:tbl>
    <w:p>
      <w:pPr>
        <w:spacing w:after="0" w:line="225" w:lineRule="auto"/>
        <w:rPr>
          <w:sz w:val="20"/>
        </w:rPr>
        <w:sectPr>
          <w:pgSz w:w="11910" w:h="16840"/>
          <w:pgMar w:top="1420" w:bottom="280" w:left="1300" w:right="130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2"/>
        <w:gridCol w:w="2066"/>
        <w:gridCol w:w="1705"/>
        <w:gridCol w:w="1650"/>
        <w:gridCol w:w="2574"/>
      </w:tblGrid>
      <w:tr>
        <w:trPr>
          <w:trHeight w:val="692" w:hRule="atLeast"/>
        </w:trPr>
        <w:tc>
          <w:tcPr>
            <w:tcW w:w="107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66" w:type="dxa"/>
          </w:tcPr>
          <w:p>
            <w:pPr>
              <w:pStyle w:val="TableParagraph"/>
              <w:spacing w:line="346" w:lineRule="exact"/>
              <w:ind w:left="106"/>
              <w:rPr>
                <w:sz w:val="20"/>
              </w:rPr>
            </w:pPr>
            <w:r>
              <w:rPr>
                <w:sz w:val="20"/>
              </w:rPr>
              <w:t>風險的配電盤內作</w:t>
            </w:r>
          </w:p>
          <w:p>
            <w:pPr>
              <w:pStyle w:val="TableParagraph"/>
              <w:spacing w:line="326" w:lineRule="exact"/>
              <w:ind w:left="106"/>
              <w:rPr>
                <w:sz w:val="20"/>
              </w:rPr>
            </w:pPr>
            <w:r>
              <w:rPr>
                <w:sz w:val="20"/>
              </w:rPr>
              <w:t>業。</w:t>
            </w:r>
          </w:p>
        </w:tc>
        <w:tc>
          <w:tcPr>
            <w:tcW w:w="1705" w:type="dxa"/>
          </w:tcPr>
          <w:p>
            <w:pPr>
              <w:pStyle w:val="TableParagraph"/>
              <w:spacing w:line="346" w:lineRule="exact"/>
              <w:ind w:left="106"/>
              <w:rPr>
                <w:sz w:val="20"/>
              </w:rPr>
            </w:pPr>
            <w:r>
              <w:rPr>
                <w:sz w:val="20"/>
              </w:rPr>
              <w:t>隔離的盤內作</w:t>
            </w:r>
          </w:p>
          <w:p>
            <w:pPr>
              <w:pStyle w:val="TableParagraph"/>
              <w:spacing w:line="326" w:lineRule="exact"/>
              <w:ind w:left="106"/>
              <w:rPr>
                <w:sz w:val="20"/>
              </w:rPr>
            </w:pPr>
            <w:r>
              <w:rPr>
                <w:sz w:val="20"/>
              </w:rPr>
              <w:t>業。</w:t>
            </w:r>
          </w:p>
        </w:tc>
        <w:tc>
          <w:tcPr>
            <w:tcW w:w="165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7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428" w:lineRule="exact"/>
        <w:ind w:left="118"/>
      </w:pPr>
      <w:r>
        <w:rPr/>
        <w:t>匯</w:t>
      </w:r>
    </w:p>
    <w:p>
      <w:pPr>
        <w:pStyle w:val="BodyText"/>
        <w:spacing w:before="15"/>
        <w:rPr>
          <w:sz w:val="5"/>
        </w:rPr>
      </w:pPr>
      <w:r>
        <w:rPr/>
        <w:pict>
          <v:group style="position:absolute;margin-left:70.900002pt;margin-top:7.314509pt;width:453.65pt;height:1.55pt;mso-position-horizontal-relative:page;mso-position-vertical-relative:paragraph;z-index:-880;mso-wrap-distance-left:0;mso-wrap-distance-right:0" coordorigin="1418,146" coordsize="9073,31">
            <v:line style="position:absolute" from="1418,161" to="10490,161" stroked="true" strokeweight="1.5pt" strokecolor="#9f9f9f">
              <v:stroke dashstyle="solid"/>
            </v:line>
            <v:rect style="position:absolute;left:1418;top:146;width:5;height:5" filled="true" fillcolor="#9f9f9f" stroked="false">
              <v:fill type="solid"/>
            </v:rect>
            <v:rect style="position:absolute;left:1418;top:146;width:5;height:5" filled="true" fillcolor="#9f9f9f" stroked="false">
              <v:fill type="solid"/>
            </v:rect>
            <v:line style="position:absolute" from="1423,149" to="10486,149" stroked="true" strokeweight=".24pt" strokecolor="#9f9f9f">
              <v:stroke dashstyle="solid"/>
            </v:line>
            <v:rect style="position:absolute;left:10485;top:146;width:5;height:5" filled="true" fillcolor="#e2e2e2" stroked="false">
              <v:fill type="solid"/>
            </v:rect>
            <v:rect style="position:absolute;left:10485;top:146;width:5;height:5" filled="true" fillcolor="#9f9f9f" stroked="false">
              <v:fill type="solid"/>
            </v:rect>
            <v:rect style="position:absolute;left:1418;top:151;width:5;height:21" filled="true" fillcolor="#9f9f9f" stroked="false">
              <v:fill type="solid"/>
            </v:rect>
            <v:rect style="position:absolute;left:10485;top:151;width:5;height:21" filled="true" fillcolor="#e2e2e2" stroked="false">
              <v:fill type="solid"/>
            </v:rect>
            <v:rect style="position:absolute;left:1418;top:171;width:5;height:5" filled="true" fillcolor="#9f9f9f" stroked="false">
              <v:fill type="solid"/>
            </v:rect>
            <v:rect style="position:absolute;left:1418;top:171;width:5;height:5" filled="true" fillcolor="#e2e2e2" stroked="false">
              <v:fill type="solid"/>
            </v:rect>
            <v:line style="position:absolute" from="1423,174" to="10486,174" stroked="true" strokeweight=".24pt" strokecolor="#e2e2e2">
              <v:stroke dashstyle="solid"/>
            </v:line>
            <v:rect style="position:absolute;left:10485;top:171;width:5;height:5" filled="true" fillcolor="#e2e2e2" stroked="false">
              <v:fill type="solid"/>
            </v:rect>
            <v:rect style="position:absolute;left:10485;top:171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六</w:t>
      </w:r>
      <w:r>
        <w:rPr>
          <w:rFonts w:ascii="Calibri" w:eastAsia="Calibri"/>
        </w:rPr>
        <w:t>. </w:t>
      </w:r>
      <w:r>
        <w:rPr/>
        <w:t>人為失誤分析  </w:t>
      </w:r>
      <w:r>
        <w:rPr>
          <w:rFonts w:ascii="Calibri" w:eastAsia="Calibri"/>
        </w:rPr>
        <w:t>(Human Failure Analysis)</w:t>
      </w:r>
    </w:p>
    <w:p>
      <w:pPr>
        <w:pStyle w:val="BodyText"/>
        <w:spacing w:line="428" w:lineRule="exact"/>
        <w:ind w:left="118"/>
      </w:pPr>
      <w:r>
        <w:rPr/>
        <w:t>本分析探討影響人員行為的深層次原因，而非僅歸咎於個人。</w:t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7"/>
        <w:gridCol w:w="3361"/>
        <w:gridCol w:w="3464"/>
      </w:tblGrid>
      <w:tr>
        <w:trPr>
          <w:trHeight w:val="345" w:hRule="atLeast"/>
        </w:trPr>
        <w:tc>
          <w:tcPr>
            <w:tcW w:w="2237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失誤類型</w:t>
            </w:r>
          </w:p>
        </w:tc>
        <w:tc>
          <w:tcPr>
            <w:tcW w:w="3361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主要不安全行為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失誤</w:t>
            </w:r>
          </w:p>
        </w:tc>
        <w:tc>
          <w:tcPr>
            <w:tcW w:w="3464" w:type="dxa"/>
          </w:tcPr>
          <w:p>
            <w:pPr>
              <w:pStyle w:val="TableParagraph"/>
              <w:spacing w:line="325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根本原因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組織與系統層面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997" w:hRule="atLeast"/>
        </w:trPr>
        <w:tc>
          <w:tcPr>
            <w:tcW w:w="2237" w:type="dxa"/>
            <w:tcBorders>
              <w:bottom w:val="nil"/>
            </w:tcBorders>
          </w:tcPr>
          <w:p>
            <w:pPr>
              <w:pStyle w:val="TableParagraph"/>
              <w:spacing w:line="34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知識性錯誤</w:t>
            </w:r>
          </w:p>
          <w:p>
            <w:pPr>
              <w:pStyle w:val="TableParagraph"/>
              <w:spacing w:line="255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(Knowledge-based</w:t>
            </w:r>
          </w:p>
          <w:p>
            <w:pPr>
              <w:pStyle w:val="TableParagraph"/>
              <w:spacing w:line="362" w:lineRule="exact"/>
              <w:rPr>
                <w:b/>
                <w:sz w:val="20"/>
              </w:rPr>
            </w:pPr>
            <w:r>
              <w:rPr>
                <w:rFonts w:ascii="Segoe UI" w:eastAsia="Segoe UI"/>
                <w:sz w:val="20"/>
              </w:rPr>
              <w:t>mistake) </w:t>
            </w:r>
            <w:r>
              <w:rPr>
                <w:sz w:val="20"/>
              </w:rPr>
              <w:t>或  </w:t>
            </w:r>
            <w:r>
              <w:rPr>
                <w:b/>
                <w:sz w:val="20"/>
              </w:rPr>
              <w:t>常規性違</w:t>
            </w:r>
          </w:p>
        </w:tc>
        <w:tc>
          <w:tcPr>
            <w:tcW w:w="3361" w:type="dxa"/>
            <w:tcBorders>
              <w:bottom w:val="nil"/>
            </w:tcBorders>
          </w:tcPr>
          <w:p>
            <w:pPr>
              <w:pStyle w:val="TableParagraph"/>
              <w:spacing w:line="225" w:lineRule="auto"/>
              <w:ind w:right="240"/>
              <w:rPr>
                <w:sz w:val="20"/>
              </w:rPr>
            </w:pPr>
            <w:r>
              <w:rPr>
                <w:sz w:val="20"/>
              </w:rPr>
              <w:t>罹災者劉員在未停電、未穿戴防護具的情況下，於帶電的配電盤內作</w:t>
            </w:r>
          </w:p>
          <w:p>
            <w:pPr>
              <w:pStyle w:val="TableParagraph"/>
              <w:spacing w:line="293" w:lineRule="exact"/>
              <w:rPr>
                <w:sz w:val="20"/>
              </w:rPr>
            </w:pPr>
            <w:r>
              <w:rPr>
                <w:sz w:val="20"/>
              </w:rPr>
              <w:t>業。</w:t>
            </w:r>
          </w:p>
        </w:tc>
        <w:tc>
          <w:tcPr>
            <w:tcW w:w="3464" w:type="dxa"/>
            <w:tcBorders>
              <w:bottom w:val="nil"/>
            </w:tcBorders>
          </w:tcPr>
          <w:p>
            <w:pPr>
              <w:pStyle w:val="TableParagraph"/>
              <w:spacing w:line="225" w:lineRule="auto"/>
              <w:ind w:right="142" w:hanging="1"/>
              <w:rPr>
                <w:sz w:val="20"/>
              </w:rPr>
            </w:pPr>
            <w:r>
              <w:rPr>
                <w:b/>
                <w:spacing w:val="4"/>
                <w:sz w:val="20"/>
              </w:rPr>
              <w:t>管理系統的根本缺陷： </w:t>
            </w:r>
            <w:r>
              <w:rPr>
                <w:sz w:val="20"/>
              </w:rPr>
              <w:t>公司完全沒</w:t>
            </w:r>
            <w:r>
              <w:rPr>
                <w:spacing w:val="-2"/>
                <w:sz w:val="20"/>
              </w:rPr>
              <w:t>有建立電氣作業安全管理制度，特別</w:t>
            </w:r>
          </w:p>
          <w:p>
            <w:pPr>
              <w:pStyle w:val="TableParagraph"/>
              <w:spacing w:line="292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是「停電、上鎖、掛牌</w:t>
            </w:r>
            <w:r>
              <w:rPr>
                <w:rFonts w:ascii="Segoe UI" w:eastAsia="Segoe UI"/>
                <w:sz w:val="20"/>
              </w:rPr>
              <w:t>(LOTO)</w:t>
            </w:r>
            <w:r>
              <w:rPr>
                <w:sz w:val="20"/>
              </w:rPr>
              <w:t>」此一</w:t>
            </w:r>
          </w:p>
        </w:tc>
      </w:tr>
      <w:tr>
        <w:trPr>
          <w:trHeight w:val="387" w:hRule="atLeast"/>
        </w:trPr>
        <w:tc>
          <w:tcPr>
            <w:tcW w:w="22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5" w:lineRule="exact"/>
              <w:rPr>
                <w:rFonts w:ascii="Segoe UI" w:eastAsia="Segoe UI"/>
                <w:sz w:val="20"/>
              </w:rPr>
            </w:pPr>
            <w:r>
              <w:rPr>
                <w:b/>
                <w:sz w:val="20"/>
              </w:rPr>
              <w:t>規 </w:t>
            </w:r>
            <w:r>
              <w:rPr>
                <w:rFonts w:ascii="Segoe UI" w:eastAsia="Segoe UI"/>
                <w:sz w:val="20"/>
              </w:rPr>
              <w:t>(Routine Violation)</w:t>
            </w:r>
          </w:p>
        </w:tc>
        <w:tc>
          <w:tcPr>
            <w:tcW w:w="3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49" w:lineRule="exact" w:before="18"/>
              <w:rPr>
                <w:sz w:val="20"/>
              </w:rPr>
            </w:pPr>
            <w:r>
              <w:rPr>
                <w:sz w:val="20"/>
              </w:rPr>
              <w:t>此行為若出於不了解其致命性，則</w:t>
            </w:r>
          </w:p>
        </w:tc>
        <w:tc>
          <w:tcPr>
            <w:tcW w:w="3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49" w:lineRule="exact" w:before="18"/>
              <w:rPr>
                <w:sz w:val="20"/>
              </w:rPr>
            </w:pPr>
            <w:r>
              <w:rPr>
                <w:sz w:val="20"/>
              </w:rPr>
              <w:t>核心安全程序。風險評估機制完全失</w:t>
            </w:r>
          </w:p>
        </w:tc>
      </w:tr>
      <w:tr>
        <w:trPr>
          <w:trHeight w:val="345" w:hRule="atLeast"/>
        </w:trPr>
        <w:tc>
          <w:tcPr>
            <w:tcW w:w="223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為「知識性錯誤」。若明知故犯，</w:t>
            </w:r>
          </w:p>
        </w:tc>
        <w:tc>
          <w:tcPr>
            <w:tcW w:w="3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效。</w:t>
            </w:r>
          </w:p>
        </w:tc>
      </w:tr>
      <w:tr>
        <w:trPr>
          <w:trHeight w:val="345" w:hRule="atLeast"/>
        </w:trPr>
        <w:tc>
          <w:tcPr>
            <w:tcW w:w="223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認為「以前都這樣做沒事」，則為</w:t>
            </w:r>
          </w:p>
        </w:tc>
        <w:tc>
          <w:tcPr>
            <w:tcW w:w="346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6" w:hRule="atLeast"/>
        </w:trPr>
        <w:tc>
          <w:tcPr>
            <w:tcW w:w="223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>
            <w:pPr>
              <w:pStyle w:val="TableParagraph"/>
              <w:spacing w:line="327" w:lineRule="exact"/>
              <w:rPr>
                <w:sz w:val="20"/>
              </w:rPr>
            </w:pPr>
            <w:r>
              <w:rPr>
                <w:sz w:val="20"/>
              </w:rPr>
              <w:t>「常規性違規」。</w:t>
            </w:r>
          </w:p>
        </w:tc>
        <w:tc>
          <w:tcPr>
            <w:tcW w:w="346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25" w:hRule="atLeast"/>
        </w:trPr>
        <w:tc>
          <w:tcPr>
            <w:tcW w:w="2237" w:type="dxa"/>
            <w:tcBorders>
              <w:bottom w:val="nil"/>
            </w:tcBorders>
          </w:tcPr>
          <w:p>
            <w:pPr>
              <w:pStyle w:val="TableParagraph"/>
              <w:spacing w:line="30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知識性錯誤</w:t>
            </w:r>
          </w:p>
        </w:tc>
        <w:tc>
          <w:tcPr>
            <w:tcW w:w="3361" w:type="dxa"/>
            <w:tcBorders>
              <w:bottom w:val="nil"/>
            </w:tcBorders>
          </w:tcPr>
          <w:p>
            <w:pPr>
              <w:pStyle w:val="TableParagraph"/>
              <w:spacing w:line="305" w:lineRule="exact"/>
              <w:rPr>
                <w:sz w:val="20"/>
              </w:rPr>
            </w:pPr>
            <w:r>
              <w:rPr>
                <w:sz w:val="20"/>
              </w:rPr>
              <w:t>雇主邱員指派勞工從事高度危險的</w:t>
            </w:r>
          </w:p>
        </w:tc>
        <w:tc>
          <w:tcPr>
            <w:tcW w:w="3464" w:type="dxa"/>
            <w:tcBorders>
              <w:bottom w:val="nil"/>
            </w:tcBorders>
          </w:tcPr>
          <w:p>
            <w:pPr>
              <w:pStyle w:val="TableParagraph"/>
              <w:spacing w:line="305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* </w:t>
            </w:r>
            <w:r>
              <w:rPr>
                <w:b/>
                <w:sz w:val="20"/>
              </w:rPr>
              <w:t>安全文化與領導力失效： </w:t>
            </w:r>
            <w:r>
              <w:rPr>
                <w:sz w:val="20"/>
              </w:rPr>
              <w:t>雇主作</w:t>
            </w:r>
          </w:p>
        </w:tc>
      </w:tr>
      <w:tr>
        <w:trPr>
          <w:trHeight w:val="711" w:hRule="atLeast"/>
        </w:trPr>
        <w:tc>
          <w:tcPr>
            <w:tcW w:w="22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right="449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(Knowledge-based mistake)</w:t>
            </w:r>
          </w:p>
        </w:tc>
        <w:tc>
          <w:tcPr>
            <w:tcW w:w="3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auto" w:before="12"/>
              <w:ind w:right="240"/>
              <w:rPr>
                <w:sz w:val="20"/>
              </w:rPr>
            </w:pPr>
            <w:r>
              <w:rPr>
                <w:sz w:val="20"/>
              </w:rPr>
              <w:t>活線作業，卻未提供任何安全防護措施與監督。顯示雇主對於低壓電</w:t>
            </w:r>
          </w:p>
        </w:tc>
        <w:tc>
          <w:tcPr>
            <w:tcW w:w="3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auto" w:before="12"/>
              <w:ind w:right="142"/>
              <w:rPr>
                <w:sz w:val="20"/>
              </w:rPr>
            </w:pPr>
            <w:r>
              <w:rPr>
                <w:sz w:val="20"/>
              </w:rPr>
              <w:t>為現場最高負責人，其行為直接塑造了「可以便宜行事、忽視安全」的負</w:t>
            </w:r>
          </w:p>
        </w:tc>
      </w:tr>
      <w:tr>
        <w:trPr>
          <w:trHeight w:val="346" w:hRule="atLeast"/>
        </w:trPr>
        <w:tc>
          <w:tcPr>
            <w:tcW w:w="223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的危害認知不足，以及對於雇主應</w:t>
            </w:r>
          </w:p>
        </w:tc>
        <w:tc>
          <w:tcPr>
            <w:tcW w:w="3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面文化。其自身安全知識的匱乏，是</w:t>
            </w:r>
          </w:p>
        </w:tc>
      </w:tr>
      <w:tr>
        <w:trPr>
          <w:trHeight w:val="345" w:hRule="atLeast"/>
        </w:trPr>
        <w:tc>
          <w:tcPr>
            <w:tcW w:w="223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盡之指揮監督與提供安全設備之法</w:t>
            </w:r>
          </w:p>
        </w:tc>
        <w:tc>
          <w:tcPr>
            <w:tcW w:w="3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導致整個安全管理系統崩潰的源頭。</w:t>
            </w:r>
          </w:p>
        </w:tc>
      </w:tr>
      <w:tr>
        <w:trPr>
          <w:trHeight w:val="345" w:hRule="atLeast"/>
        </w:trPr>
        <w:tc>
          <w:tcPr>
            <w:tcW w:w="223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律責任的無知。</w:t>
            </w:r>
          </w:p>
        </w:tc>
        <w:tc>
          <w:tcPr>
            <w:tcW w:w="346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384" w:hRule="atLeast"/>
        </w:trPr>
        <w:tc>
          <w:tcPr>
            <w:tcW w:w="223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4" w:type="dxa"/>
          </w:tcPr>
          <w:p>
            <w:pPr>
              <w:pStyle w:val="TableParagraph"/>
              <w:spacing w:line="225" w:lineRule="auto"/>
              <w:ind w:right="142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* </w:t>
            </w:r>
            <w:r>
              <w:rPr>
                <w:b/>
                <w:sz w:val="20"/>
              </w:rPr>
              <w:t>教育訓練的徹底失敗： </w:t>
            </w:r>
            <w:r>
              <w:rPr>
                <w:sz w:val="20"/>
              </w:rPr>
              <w:t>安全訓練若有執行，也顯然未能傳達核心的安全原則，導致從雇主到勞工都對此嚴</w:t>
            </w:r>
          </w:p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重風險缺乏認知。</w:t>
            </w:r>
          </w:p>
        </w:tc>
      </w:tr>
    </w:tbl>
    <w:p>
      <w:pPr>
        <w:pStyle w:val="BodyText"/>
        <w:spacing w:before="14"/>
        <w:rPr>
          <w:sz w:val="21"/>
        </w:rPr>
      </w:pPr>
      <w:r>
        <w:rPr/>
        <w:pict>
          <v:group style="position:absolute;margin-left:70.900002pt;margin-top:22.003584pt;width:453.65pt;height:1.55pt;mso-position-horizontal-relative:page;mso-position-vertical-relative:paragraph;z-index:-856;mso-wrap-distance-left:0;mso-wrap-distance-right:0" coordorigin="1418,440" coordsize="9073,31">
            <v:line style="position:absolute" from="1418,455" to="10490,455" stroked="true" strokeweight="1.5pt" strokecolor="#9f9f9f">
              <v:stroke dashstyle="solid"/>
            </v:line>
            <v:rect style="position:absolute;left:1418;top:440;width:5;height:5" filled="true" fillcolor="#9f9f9f" stroked="false">
              <v:fill type="solid"/>
            </v:rect>
            <v:rect style="position:absolute;left:1418;top:440;width:5;height:5" filled="true" fillcolor="#9f9f9f" stroked="false">
              <v:fill type="solid"/>
            </v:rect>
            <v:line style="position:absolute" from="1423,442" to="10486,442" stroked="true" strokeweight=".24pt" strokecolor="#9f9f9f">
              <v:stroke dashstyle="solid"/>
            </v:line>
            <v:rect style="position:absolute;left:10485;top:440;width:5;height:5" filled="true" fillcolor="#e2e2e2" stroked="false">
              <v:fill type="solid"/>
            </v:rect>
            <v:rect style="position:absolute;left:10485;top:440;width:5;height:5" filled="true" fillcolor="#9f9f9f" stroked="false">
              <v:fill type="solid"/>
            </v:rect>
            <v:rect style="position:absolute;left:1418;top:444;width:5;height:21" filled="true" fillcolor="#9f9f9f" stroked="false">
              <v:fill type="solid"/>
            </v:rect>
            <v:rect style="position:absolute;left:10485;top:444;width:5;height:21" filled="true" fillcolor="#e2e2e2" stroked="false">
              <v:fill type="solid"/>
            </v:rect>
            <v:rect style="position:absolute;left:1418;top:465;width:5;height:5" filled="true" fillcolor="#9f9f9f" stroked="false">
              <v:fill type="solid"/>
            </v:rect>
            <v:rect style="position:absolute;left:1418;top:465;width:5;height:5" filled="true" fillcolor="#e2e2e2" stroked="false">
              <v:fill type="solid"/>
            </v:rect>
            <v:line style="position:absolute" from="1423,468" to="10486,468" stroked="true" strokeweight=".24pt" strokecolor="#e2e2e2">
              <v:stroke dashstyle="solid"/>
            </v:line>
            <v:rect style="position:absolute;left:10485;top:465;width:5;height:5" filled="true" fillcolor="#e2e2e2" stroked="false">
              <v:fill type="solid"/>
            </v:rect>
            <v:rect style="position:absolute;left:10485;top:465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七</w:t>
      </w:r>
      <w:r>
        <w:rPr>
          <w:rFonts w:ascii="Calibri" w:eastAsia="Calibri"/>
        </w:rPr>
        <w:t>. </w:t>
      </w:r>
      <w:r>
        <w:rPr/>
        <w:t>根本原因分析與矯正改善措施</w:t>
      </w:r>
    </w:p>
    <w:p>
      <w:pPr>
        <w:spacing w:line="415" w:lineRule="exact" w:before="0"/>
        <w:ind w:left="118" w:right="0" w:firstLine="0"/>
        <w:jc w:val="left"/>
        <w:rPr>
          <w:b/>
          <w:sz w:val="24"/>
        </w:rPr>
      </w:pPr>
      <w:r>
        <w:rPr>
          <w:rFonts w:ascii="Calibri" w:eastAsia="Calibri"/>
          <w:b/>
          <w:sz w:val="24"/>
        </w:rPr>
        <w:t>(</w:t>
      </w:r>
      <w:r>
        <w:rPr>
          <w:b/>
          <w:sz w:val="24"/>
        </w:rPr>
        <w:t>一</w:t>
      </w:r>
      <w:r>
        <w:rPr>
          <w:rFonts w:ascii="Calibri" w:eastAsia="Calibri"/>
          <w:b/>
          <w:sz w:val="24"/>
        </w:rPr>
        <w:t>) </w:t>
      </w:r>
      <w:r>
        <w:rPr>
          <w:b/>
          <w:sz w:val="24"/>
        </w:rPr>
        <w:t>立即原因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b/>
          <w:sz w:val="24"/>
        </w:rPr>
      </w:pPr>
      <w:r>
        <w:rPr>
          <w:b/>
          <w:sz w:val="24"/>
        </w:rPr>
        <w:t>不安全的狀況：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</w:tabs>
        <w:spacing w:line="415" w:lineRule="exact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無熔絲開關在通電狀態下，其連接端子裸露。</w:t>
      </w:r>
    </w:p>
    <w:p>
      <w:pPr>
        <w:pStyle w:val="Heading1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</w:pPr>
      <w:r>
        <w:rPr/>
        <w:t>不安全的行為：</w:t>
      </w:r>
    </w:p>
    <w:p>
      <w:pPr>
        <w:pStyle w:val="BodyText"/>
        <w:spacing w:line="415" w:lineRule="exact"/>
        <w:ind w:left="1198"/>
      </w:pPr>
      <w:r>
        <w:rPr>
          <w:rFonts w:ascii="Calibri" w:eastAsia="Calibri"/>
        </w:rPr>
        <w:t>1. </w:t>
      </w:r>
      <w:r>
        <w:rPr/>
        <w:t>勞工於低壓電路從事活線作業時，未使用絕緣防護具或絕緣工具。</w:t>
      </w:r>
    </w:p>
    <w:p>
      <w:pPr>
        <w:pStyle w:val="Heading1"/>
        <w:spacing w:line="415" w:lineRule="exact"/>
      </w:pPr>
      <w:r>
        <w:rPr>
          <w:rFonts w:ascii="Calibri" w:eastAsia="Calibri"/>
        </w:rPr>
        <w:t>(</w:t>
      </w:r>
      <w:r>
        <w:rPr/>
        <w:t>二</w:t>
      </w:r>
      <w:r>
        <w:rPr>
          <w:rFonts w:ascii="Calibri" w:eastAsia="Calibri"/>
          <w:spacing w:val="3"/>
        </w:rPr>
        <w:t>)  </w:t>
      </w:r>
      <w:r>
        <w:rPr/>
        <w:t>根本原因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25" w:lineRule="auto" w:before="6" w:after="0"/>
        <w:ind w:left="838" w:right="208" w:hanging="360"/>
        <w:jc w:val="left"/>
        <w:rPr>
          <w:sz w:val="24"/>
        </w:rPr>
      </w:pPr>
      <w:r>
        <w:rPr>
          <w:b/>
          <w:sz w:val="24"/>
        </w:rPr>
        <w:t>致命性的管理系統缺陷</w:t>
      </w:r>
      <w:r>
        <w:rPr>
          <w:rFonts w:ascii="Calibri" w:hAnsi="Calibri" w:eastAsia="Calibri"/>
          <w:b/>
          <w:sz w:val="24"/>
        </w:rPr>
        <w:t>—</w:t>
      </w:r>
      <w:r>
        <w:rPr>
          <w:b/>
          <w:spacing w:val="4"/>
          <w:sz w:val="24"/>
        </w:rPr>
        <w:t>完全沒有電氣作業安全程序： </w:t>
      </w:r>
      <w:r>
        <w:rPr>
          <w:spacing w:val="-2"/>
          <w:sz w:val="24"/>
        </w:rPr>
        <w:t>最核心的根本原因是， </w:t>
      </w:r>
      <w:r>
        <w:rPr>
          <w:sz w:val="24"/>
        </w:rPr>
        <w:t>該工程完全沒有建立「作業前應停電、上鎖、掛牌</w:t>
      </w:r>
      <w:r>
        <w:rPr>
          <w:rFonts w:ascii="Calibri" w:hAnsi="Calibri" w:eastAsia="Calibri"/>
          <w:sz w:val="24"/>
        </w:rPr>
        <w:t>(LOTO)</w:t>
      </w:r>
      <w:r>
        <w:rPr>
          <w:sz w:val="24"/>
        </w:rPr>
        <w:t>」的管理程序。允許勞工在未斷電的情況下從事配線作業，是直接導致此次事故的管理系統性崩</w:t>
      </w:r>
    </w:p>
    <w:p>
      <w:pPr>
        <w:pStyle w:val="BodyText"/>
        <w:spacing w:line="423" w:lineRule="exact"/>
        <w:ind w:left="838"/>
      </w:pPr>
      <w:r>
        <w:rPr/>
        <w:t>潰。</w:t>
      </w:r>
    </w:p>
    <w:p>
      <w:pPr>
        <w:spacing w:after="0" w:line="423" w:lineRule="exact"/>
        <w:sectPr>
          <w:pgSz w:w="11910" w:h="16840"/>
          <w:pgMar w:top="1420" w:bottom="280" w:left="1300" w:right="1300"/>
        </w:sectPr>
      </w:pP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25" w:lineRule="auto" w:before="47" w:after="0"/>
        <w:ind w:left="838" w:right="259" w:hanging="360"/>
        <w:jc w:val="both"/>
        <w:rPr>
          <w:sz w:val="24"/>
        </w:rPr>
      </w:pPr>
      <w:r>
        <w:rPr>
          <w:b/>
          <w:spacing w:val="3"/>
          <w:sz w:val="24"/>
        </w:rPr>
        <w:t>危害辨識與風險評估的完全失效： </w:t>
      </w:r>
      <w:r>
        <w:rPr>
          <w:sz w:val="24"/>
        </w:rPr>
        <w:t>雇主未能辨識出在「低壓</w:t>
      </w:r>
      <w:r>
        <w:rPr>
          <w:rFonts w:ascii="Calibri" w:eastAsia="Calibri"/>
          <w:sz w:val="24"/>
        </w:rPr>
        <w:t>(220V)</w:t>
      </w:r>
      <w:r>
        <w:rPr>
          <w:spacing w:val="-3"/>
          <w:sz w:val="24"/>
        </w:rPr>
        <w:t>配電盤內作</w:t>
      </w:r>
      <w:r>
        <w:rPr>
          <w:sz w:val="24"/>
        </w:rPr>
        <w:t>業」是一項高風險作業，也未評估感電的致命風險，因此未能規劃與執行任何有效的控制措施。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25" w:lineRule="auto" w:before="1" w:after="0"/>
        <w:ind w:left="838" w:right="187" w:hanging="360"/>
        <w:jc w:val="left"/>
        <w:rPr>
          <w:sz w:val="24"/>
        </w:rPr>
      </w:pPr>
      <w:r>
        <w:rPr>
          <w:b/>
          <w:sz w:val="24"/>
        </w:rPr>
        <w:t>現場監督與指揮責任的完全失效： </w:t>
      </w:r>
      <w:r>
        <w:rPr>
          <w:spacing w:val="-1"/>
          <w:sz w:val="24"/>
        </w:rPr>
        <w:t>雇主身為指揮者與監督者，卻未在現場監督</w:t>
      </w:r>
      <w:r>
        <w:rPr>
          <w:sz w:val="24"/>
        </w:rPr>
        <w:t>高風險作業的進行，亦未要求勞工採取任何防護措施，監督與指揮系統名存實亡。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25" w:lineRule="auto" w:before="0" w:after="0"/>
        <w:ind w:left="838" w:right="187" w:hanging="360"/>
        <w:jc w:val="left"/>
        <w:rPr>
          <w:sz w:val="24"/>
        </w:rPr>
      </w:pPr>
      <w:r>
        <w:rPr>
          <w:b/>
          <w:sz w:val="24"/>
        </w:rPr>
        <w:t>安全認知與教育訓練的徹底失敗： </w:t>
      </w:r>
      <w:r>
        <w:rPr>
          <w:spacing w:val="-1"/>
          <w:sz w:val="24"/>
        </w:rPr>
        <w:t>從雇主到勞工，均嚴重缺乏對低壓感電危害</w:t>
      </w:r>
      <w:r>
        <w:rPr>
          <w:sz w:val="24"/>
        </w:rPr>
        <w:t>的認知，也未接受正確、有效的電氣安全作業訓練，導致其採取了極度危險的作業方式。</w:t>
      </w:r>
    </w:p>
    <w:p>
      <w:pPr>
        <w:pStyle w:val="Heading1"/>
        <w:spacing w:line="410" w:lineRule="exact"/>
      </w:pPr>
      <w:r>
        <w:rPr>
          <w:rFonts w:ascii="Calibri" w:eastAsia="Calibri"/>
        </w:rPr>
        <w:t>(</w:t>
      </w:r>
      <w:r>
        <w:rPr/>
        <w:t>三</w:t>
      </w:r>
      <w:r>
        <w:rPr>
          <w:rFonts w:ascii="Calibri" w:eastAsia="Calibri"/>
        </w:rPr>
        <w:t>) </w:t>
      </w:r>
      <w:r>
        <w:rPr/>
        <w:t>矯正改善措施建議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b/>
          <w:sz w:val="24"/>
        </w:rPr>
      </w:pPr>
      <w:r>
        <w:rPr>
          <w:b/>
          <w:spacing w:val="11"/>
          <w:sz w:val="24"/>
        </w:rPr>
        <w:t>制度層面 </w:t>
      </w:r>
      <w:r>
        <w:rPr>
          <w:rFonts w:ascii="Calibri" w:hAnsi="Calibri" w:eastAsia="Calibri"/>
          <w:b/>
          <w:sz w:val="24"/>
        </w:rPr>
        <w:t>(</w:t>
      </w:r>
      <w:r>
        <w:rPr>
          <w:b/>
          <w:sz w:val="24"/>
        </w:rPr>
        <w:t>最優先</w:t>
      </w:r>
      <w:r>
        <w:rPr>
          <w:rFonts w:ascii="Calibri" w:hAnsi="Calibri" w:eastAsia="Calibri"/>
          <w:b/>
          <w:sz w:val="24"/>
        </w:rPr>
        <w:t>)</w:t>
      </w:r>
      <w:r>
        <w:rPr>
          <w:b/>
          <w:sz w:val="24"/>
        </w:rPr>
        <w:t>：</w:t>
      </w:r>
    </w:p>
    <w:p>
      <w:pPr>
        <w:pStyle w:val="ListParagraph"/>
        <w:numPr>
          <w:ilvl w:val="1"/>
          <w:numId w:val="5"/>
        </w:numPr>
        <w:tabs>
          <w:tab w:pos="1559" w:val="left" w:leader="none"/>
        </w:tabs>
        <w:spacing w:line="225" w:lineRule="auto" w:before="6" w:after="0"/>
        <w:ind w:left="1558" w:right="186" w:hanging="360"/>
        <w:jc w:val="left"/>
        <w:rPr>
          <w:sz w:val="24"/>
        </w:rPr>
      </w:pPr>
      <w:r>
        <w:rPr>
          <w:b/>
          <w:spacing w:val="3"/>
          <w:sz w:val="24"/>
        </w:rPr>
        <w:t>立即建立並嚴格執行「停電、上鎖、掛牌 </w:t>
      </w:r>
      <w:r>
        <w:rPr>
          <w:rFonts w:ascii="Calibri" w:eastAsia="Calibri"/>
          <w:b/>
          <w:sz w:val="24"/>
        </w:rPr>
        <w:t>(LOTO)</w:t>
      </w:r>
      <w:r>
        <w:rPr>
          <w:b/>
          <w:spacing w:val="6"/>
          <w:sz w:val="24"/>
        </w:rPr>
        <w:t>」作業管制程序： </w:t>
      </w:r>
      <w:r>
        <w:rPr>
          <w:sz w:val="24"/>
        </w:rPr>
        <w:t>這是防止再發的最高原則。必須明文規定：</w:t>
      </w:r>
      <w:r>
        <w:rPr>
          <w:b/>
          <w:sz w:val="24"/>
        </w:rPr>
        <w:t>所有 </w:t>
      </w:r>
      <w:r>
        <w:rPr>
          <w:spacing w:val="-2"/>
          <w:sz w:val="24"/>
        </w:rPr>
        <w:t>電氣設備的維修、檢查、</w:t>
      </w:r>
      <w:r>
        <w:rPr>
          <w:sz w:val="24"/>
        </w:rPr>
        <w:t>配線作業，在非經特定程序</w:t>
      </w:r>
      <w:r>
        <w:rPr>
          <w:rFonts w:ascii="Calibri" w:eastAsia="Calibri"/>
          <w:sz w:val="24"/>
        </w:rPr>
        <w:t>(</w:t>
      </w:r>
      <w:r>
        <w:rPr>
          <w:sz w:val="24"/>
        </w:rPr>
        <w:t>如活線作業許可</w:t>
      </w:r>
      <w:r>
        <w:rPr>
          <w:rFonts w:ascii="Calibri" w:eastAsia="Calibri"/>
          <w:sz w:val="24"/>
        </w:rPr>
        <w:t>)</w:t>
      </w:r>
      <w:r>
        <w:rPr>
          <w:sz w:val="24"/>
        </w:rPr>
        <w:t>批准下，</w:t>
      </w:r>
      <w:r>
        <w:rPr>
          <w:b/>
          <w:sz w:val="24"/>
        </w:rPr>
        <w:t>一律必須 </w:t>
      </w:r>
      <w:r>
        <w:rPr>
          <w:sz w:val="24"/>
        </w:rPr>
        <w:t>先斷</w:t>
      </w:r>
    </w:p>
    <w:p>
      <w:pPr>
        <w:pStyle w:val="BodyText"/>
        <w:spacing w:line="409" w:lineRule="exact"/>
        <w:ind w:left="1558"/>
      </w:pPr>
      <w:r>
        <w:rPr/>
        <w:t>電、上鎖、掛牌，並由作業人員親自驗電確認無電後，方可施工。</w:t>
      </w:r>
    </w:p>
    <w:p>
      <w:pPr>
        <w:pStyle w:val="ListParagraph"/>
        <w:numPr>
          <w:ilvl w:val="1"/>
          <w:numId w:val="5"/>
        </w:numPr>
        <w:tabs>
          <w:tab w:pos="1559" w:val="left" w:leader="none"/>
        </w:tabs>
        <w:spacing w:line="225" w:lineRule="auto" w:before="6" w:after="0"/>
        <w:ind w:left="1558" w:right="159" w:hanging="360"/>
        <w:jc w:val="left"/>
        <w:rPr>
          <w:sz w:val="24"/>
        </w:rPr>
      </w:pPr>
      <w:r>
        <w:rPr>
          <w:b/>
          <w:sz w:val="24"/>
        </w:rPr>
        <w:t>建立「電氣作業風險評估與許可」制度： </w:t>
      </w:r>
      <w:r>
        <w:rPr>
          <w:sz w:val="24"/>
        </w:rPr>
        <w:t>對於所有電氣相關作業，應由合格人員進行風險評估。如因特殊狀況無法停電，必須填寫「活線作業許可單」，詳列必要之控制措施</w:t>
      </w:r>
      <w:r>
        <w:rPr>
          <w:rFonts w:ascii="Calibri" w:eastAsia="Calibri"/>
          <w:sz w:val="24"/>
        </w:rPr>
        <w:t>(</w:t>
      </w:r>
      <w:r>
        <w:rPr>
          <w:sz w:val="24"/>
        </w:rPr>
        <w:t>如絕緣屏障、個人防護具</w:t>
      </w:r>
      <w:r>
        <w:rPr>
          <w:rFonts w:ascii="Calibri" w:eastAsia="Calibri"/>
          <w:sz w:val="24"/>
        </w:rPr>
        <w:t>)</w:t>
      </w:r>
      <w:r>
        <w:rPr>
          <w:spacing w:val="-3"/>
          <w:sz w:val="24"/>
        </w:rPr>
        <w:t>並經負責人批</w:t>
      </w:r>
      <w:r>
        <w:rPr>
          <w:sz w:val="24"/>
        </w:rPr>
        <w:t>准後，才可在嚴格監督下進行。</w:t>
      </w:r>
    </w:p>
    <w:p>
      <w:pPr>
        <w:pStyle w:val="ListParagraph"/>
        <w:numPr>
          <w:ilvl w:val="1"/>
          <w:numId w:val="5"/>
        </w:numPr>
        <w:tabs>
          <w:tab w:pos="1559" w:val="left" w:leader="none"/>
        </w:tabs>
        <w:spacing w:line="225" w:lineRule="auto" w:before="2" w:after="0"/>
        <w:ind w:left="1558" w:right="283" w:hanging="360"/>
        <w:jc w:val="both"/>
        <w:rPr>
          <w:sz w:val="24"/>
        </w:rPr>
      </w:pPr>
      <w:r>
        <w:rPr>
          <w:b/>
          <w:sz w:val="24"/>
        </w:rPr>
        <w:t>明確化指揮監督責任： </w:t>
      </w:r>
      <w:r>
        <w:rPr>
          <w:sz w:val="24"/>
        </w:rPr>
        <w:t>建立工作前安全分析 </w:t>
      </w:r>
      <w:r>
        <w:rPr>
          <w:rFonts w:ascii="Calibri" w:eastAsia="Calibri"/>
          <w:sz w:val="24"/>
        </w:rPr>
        <w:t>(JSA)</w:t>
      </w:r>
      <w:r>
        <w:rPr>
          <w:rFonts w:ascii="Calibri" w:eastAsia="Calibri"/>
          <w:spacing w:val="12"/>
          <w:sz w:val="24"/>
        </w:rPr>
        <w:t> </w:t>
      </w:r>
      <w:r>
        <w:rPr>
          <w:sz w:val="24"/>
        </w:rPr>
        <w:t>或工具箱會議 </w:t>
      </w:r>
      <w:r>
        <w:rPr>
          <w:rFonts w:ascii="Calibri" w:eastAsia="Calibri"/>
          <w:spacing w:val="-4"/>
          <w:sz w:val="24"/>
        </w:rPr>
        <w:t>(TBT) </w:t>
      </w:r>
      <w:r>
        <w:rPr>
          <w:sz w:val="24"/>
        </w:rPr>
        <w:t>制度，要求作業前，指揮者必須向作業人員說明工作危害、安全步驟與應變措施。高風險作業期間，監督人員必須在場監督。</w:t>
      </w:r>
    </w:p>
    <w:p>
      <w:pPr>
        <w:pStyle w:val="Heading1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0" w:lineRule="exact" w:before="0" w:after="0"/>
        <w:ind w:left="838" w:right="0" w:hanging="360"/>
        <w:jc w:val="left"/>
      </w:pPr>
      <w:r>
        <w:rPr/>
        <w:t>人員層面：</w:t>
      </w:r>
    </w:p>
    <w:p>
      <w:pPr>
        <w:pStyle w:val="ListParagraph"/>
        <w:numPr>
          <w:ilvl w:val="0"/>
          <w:numId w:val="6"/>
        </w:numPr>
        <w:tabs>
          <w:tab w:pos="1559" w:val="left" w:leader="none"/>
        </w:tabs>
        <w:spacing w:line="225" w:lineRule="auto" w:before="6" w:after="0"/>
        <w:ind w:left="1558" w:right="187" w:hanging="360"/>
        <w:jc w:val="both"/>
        <w:rPr>
          <w:sz w:val="24"/>
        </w:rPr>
      </w:pPr>
      <w:r>
        <w:rPr>
          <w:b/>
          <w:sz w:val="24"/>
        </w:rPr>
        <w:t>實施專項電氣安全教育訓練： </w:t>
      </w:r>
      <w:r>
        <w:rPr>
          <w:spacing w:val="-1"/>
          <w:sz w:val="24"/>
        </w:rPr>
        <w:t>立即將本次事故作為案例，對全體員工進</w:t>
      </w:r>
      <w:r>
        <w:rPr>
          <w:sz w:val="24"/>
        </w:rPr>
        <w:t>行專項安全訓練，強力宣導「低壓電的致命性」與「</w:t>
      </w:r>
      <w:r>
        <w:rPr>
          <w:rFonts w:ascii="Calibri" w:eastAsia="Calibri"/>
          <w:sz w:val="24"/>
        </w:rPr>
        <w:t>LOTO</w:t>
      </w:r>
      <w:r>
        <w:rPr>
          <w:rFonts w:ascii="Calibri" w:eastAsia="Calibri"/>
          <w:spacing w:val="3"/>
          <w:sz w:val="24"/>
        </w:rPr>
        <w:t> </w:t>
      </w:r>
      <w:r>
        <w:rPr>
          <w:spacing w:val="-2"/>
          <w:sz w:val="24"/>
        </w:rPr>
        <w:t>的重要性」， </w:t>
      </w:r>
      <w:r>
        <w:rPr>
          <w:sz w:val="24"/>
        </w:rPr>
        <w:t>建立全員「不驗電、不碰觸」的觀念。</w:t>
      </w:r>
    </w:p>
    <w:p>
      <w:pPr>
        <w:pStyle w:val="ListParagraph"/>
        <w:numPr>
          <w:ilvl w:val="0"/>
          <w:numId w:val="6"/>
        </w:numPr>
        <w:tabs>
          <w:tab w:pos="1559" w:val="left" w:leader="none"/>
        </w:tabs>
        <w:spacing w:line="225" w:lineRule="auto" w:before="0" w:after="0"/>
        <w:ind w:left="1558" w:right="232" w:hanging="360"/>
        <w:jc w:val="left"/>
        <w:rPr>
          <w:sz w:val="24"/>
        </w:rPr>
      </w:pPr>
      <w:r>
        <w:rPr>
          <w:b/>
          <w:sz w:val="24"/>
        </w:rPr>
        <w:t>落實證照與能力資格查核： </w:t>
      </w:r>
      <w:r>
        <w:rPr>
          <w:sz w:val="24"/>
        </w:rPr>
        <w:t>從事電氣作業人員應具備法定資格 </w:t>
      </w:r>
      <w:r>
        <w:rPr>
          <w:rFonts w:ascii="Calibri" w:eastAsia="Calibri"/>
          <w:sz w:val="24"/>
        </w:rPr>
        <w:t>(</w:t>
      </w:r>
      <w:r>
        <w:rPr>
          <w:spacing w:val="-6"/>
          <w:sz w:val="24"/>
        </w:rPr>
        <w:t>如乙級</w:t>
      </w:r>
      <w:r>
        <w:rPr>
          <w:sz w:val="24"/>
        </w:rPr>
        <w:t>室內配線技術士</w:t>
      </w:r>
      <w:r>
        <w:rPr>
          <w:rFonts w:ascii="Calibri" w:eastAsia="Calibri"/>
          <w:sz w:val="24"/>
        </w:rPr>
        <w:t>)</w:t>
      </w:r>
      <w:r>
        <w:rPr>
          <w:sz w:val="24"/>
        </w:rPr>
        <w:t>，並應定期進行能力評估與再訓練。</w:t>
      </w:r>
    </w:p>
    <w:p>
      <w:pPr>
        <w:pStyle w:val="Heading1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0" w:lineRule="exact" w:before="0" w:after="0"/>
        <w:ind w:left="838" w:right="0" w:hanging="360"/>
        <w:jc w:val="left"/>
      </w:pPr>
      <w:r>
        <w:rPr/>
        <w:t>工程控制</w:t>
      </w:r>
      <w:r>
        <w:rPr>
          <w:rFonts w:ascii="Calibri" w:hAnsi="Calibri" w:eastAsia="Calibri"/>
        </w:rPr>
        <w:t>/</w:t>
      </w:r>
      <w:r>
        <w:rPr/>
        <w:t>設備層面：</w:t>
      </w:r>
    </w:p>
    <w:p>
      <w:pPr>
        <w:pStyle w:val="ListParagraph"/>
        <w:numPr>
          <w:ilvl w:val="0"/>
          <w:numId w:val="7"/>
        </w:numPr>
        <w:tabs>
          <w:tab w:pos="1559" w:val="left" w:leader="none"/>
        </w:tabs>
        <w:spacing w:line="225" w:lineRule="auto" w:before="6" w:after="0"/>
        <w:ind w:left="1558" w:right="187" w:hanging="360"/>
        <w:jc w:val="left"/>
        <w:rPr>
          <w:sz w:val="24"/>
        </w:rPr>
      </w:pPr>
      <w:r>
        <w:rPr>
          <w:b/>
          <w:sz w:val="24"/>
        </w:rPr>
        <w:t>全面檢視並加裝盤內帶電體護蓋： </w:t>
      </w:r>
      <w:r>
        <w:rPr>
          <w:spacing w:val="-2"/>
          <w:sz w:val="24"/>
        </w:rPr>
        <w:t>對於所有配電盤內可能被碰觸的帶電</w:t>
      </w:r>
      <w:r>
        <w:rPr>
          <w:sz w:val="24"/>
        </w:rPr>
        <w:t>端子、匯流排等，應加裝絕緣護蓋或屏障，提升設備的本質安全。</w:t>
      </w:r>
    </w:p>
    <w:p>
      <w:pPr>
        <w:pStyle w:val="ListParagraph"/>
        <w:numPr>
          <w:ilvl w:val="0"/>
          <w:numId w:val="7"/>
        </w:numPr>
        <w:tabs>
          <w:tab w:pos="1559" w:val="left" w:leader="none"/>
        </w:tabs>
        <w:spacing w:line="225" w:lineRule="auto" w:before="0" w:after="0"/>
        <w:ind w:left="1558" w:right="187" w:hanging="360"/>
        <w:jc w:val="left"/>
        <w:rPr>
          <w:sz w:val="24"/>
        </w:rPr>
      </w:pPr>
      <w:r>
        <w:rPr>
          <w:b/>
          <w:sz w:val="24"/>
        </w:rPr>
        <w:t>採購並強制使用合格的防護具與工具： </w:t>
      </w:r>
      <w:r>
        <w:rPr>
          <w:spacing w:val="-2"/>
          <w:sz w:val="24"/>
        </w:rPr>
        <w:t>應提供並強制要求人員使用經檢</w:t>
      </w:r>
      <w:r>
        <w:rPr>
          <w:sz w:val="24"/>
        </w:rPr>
        <w:t>驗合格的絕緣手套、絕緣鞋、絕緣毯與絕緣手工具。</w:t>
      </w:r>
    </w:p>
    <w:sectPr>
      <w:pgSz w:w="11910" w:h="16840"/>
      <w:pgMar w:top="13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微軟正黑體">
    <w:altName w:val="微軟正黑體"/>
    <w:charset w:val="88"/>
    <w:family w:val="swiss"/>
    <w:pitch w:val="variable"/>
  </w:font>
  <w:font w:name="Symbol">
    <w:altName w:val="Symbol"/>
    <w:charset w:val="2"/>
    <w:family w:val="roman"/>
    <w:pitch w:val="variable"/>
  </w:font>
  <w:font w:name="Segoe UI">
    <w:altName w:val="Segoe U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558" w:hanging="360"/>
        <w:jc w:val="left"/>
      </w:pPr>
      <w:rPr>
        <w:rFonts w:hint="default" w:ascii="Calibri" w:hAnsi="Calibri" w:eastAsia="Calibri" w:cs="Calibri"/>
        <w:spacing w:val="-18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3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0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8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7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558" w:hanging="360"/>
        <w:jc w:val="left"/>
      </w:pPr>
      <w:rPr>
        <w:rFonts w:hint="default" w:ascii="Calibri" w:hAnsi="Calibri" w:eastAsia="Calibri" w:cs="Calibri"/>
        <w:spacing w:val="-18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3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0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8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7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38" w:hanging="360"/>
        <w:jc w:val="left"/>
      </w:pPr>
      <w:rPr>
        <w:rFonts w:hint="default" w:ascii="Calibri" w:hAnsi="Calibri" w:eastAsia="Calibri" w:cs="Calibri"/>
        <w:spacing w:val="-15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1558" w:hanging="360"/>
        <w:jc w:val="left"/>
      </w:pPr>
      <w:rPr>
        <w:rFonts w:hint="default" w:ascii="Calibri" w:hAnsi="Calibri" w:eastAsia="Calibri" w:cs="Calibri"/>
        <w:spacing w:val="-18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2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4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57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88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16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44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72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00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28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56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84" w:hanging="252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5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54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08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62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16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70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24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78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32" w:hanging="25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5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54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08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62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16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70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24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78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32" w:hanging="25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8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1558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2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4" w:hanging="36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28" w:lineRule="exact"/>
      <w:ind w:left="118"/>
      <w:outlineLvl w:val="1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38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2025-07-25T00:47:12Z</dcterms:created>
  <dcterms:modified xsi:type="dcterms:W3CDTF">2025-07-25T00:47:12Z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