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28"/>
        <w:ind w:left="3784" w:right="3783"/>
        <w:jc w:val="center"/>
      </w:pPr>
      <w:r>
        <w:rPr/>
        <w:t>感電案 </w:t>
      </w:r>
      <w:r>
        <w:rPr>
          <w:rFonts w:ascii="Calibri" w:eastAsia="Calibri"/>
        </w:rPr>
        <w:t>3_</w:t>
      </w:r>
      <w:r>
        <w:rPr/>
        <w:t>分析參考</w:t>
      </w:r>
    </w:p>
    <w:p>
      <w:pPr>
        <w:spacing w:before="267"/>
        <w:ind w:left="2393" w:right="0" w:firstLine="0"/>
        <w:jc w:val="left"/>
        <w:rPr>
          <w:b/>
          <w:sz w:val="24"/>
        </w:rPr>
      </w:pPr>
      <w:r>
        <w:rPr>
          <w:b/>
          <w:sz w:val="24"/>
        </w:rPr>
        <w:t>從事電焊作業發生感電致死災害調查分析報告</w:t>
      </w:r>
    </w:p>
    <w:p>
      <w:pPr>
        <w:pStyle w:val="BodyText"/>
        <w:spacing w:line="225" w:lineRule="auto" w:before="286"/>
        <w:ind w:left="115" w:right="228"/>
        <w:jc w:val="both"/>
      </w:pPr>
      <w:r>
        <w:rPr>
          <w:b/>
        </w:rPr>
        <w:t>重要提醒： </w:t>
      </w:r>
      <w:r>
        <w:rPr/>
        <w:t>本分析報告是基於所提供案例的有限資訊，並結合事故調查的專業方法論進行。部分內容為根據邏輯與經驗所做的合理假設，並會明確標示為 </w:t>
      </w:r>
      <w:r>
        <w:rPr>
          <w:rFonts w:ascii="Calibri" w:eastAsia="Calibri"/>
          <w:b/>
        </w:rPr>
        <w:t>(</w:t>
      </w:r>
      <w:r>
        <w:rPr>
          <w:b/>
        </w:rPr>
        <w:t>假設</w:t>
      </w:r>
      <w:r>
        <w:rPr>
          <w:rFonts w:ascii="Calibri" w:eastAsia="Calibri"/>
          <w:b/>
        </w:rPr>
        <w:t>)</w:t>
      </w:r>
      <w:r>
        <w:rPr/>
        <w:t>。一場實際、完整的事故調查，需要更詳盡的現場勘查、人員訪談與物證檢驗來支持所有結論。</w:t>
      </w:r>
    </w:p>
    <w:p>
      <w:pPr>
        <w:pStyle w:val="Heading1"/>
        <w:spacing w:line="428" w:lineRule="exact" w:before="274"/>
        <w:jc w:val="both"/>
      </w:pPr>
      <w:r>
        <w:rPr/>
        <w:t>事故基本資料</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pacing w:val="9"/>
          <w:sz w:val="24"/>
        </w:rPr>
        <w:t>行業分類： </w:t>
      </w:r>
      <w:r>
        <w:rPr>
          <w:sz w:val="24"/>
        </w:rPr>
        <w:t>其他專門營造業  </w:t>
      </w:r>
      <w:r>
        <w:rPr>
          <w:rFonts w:ascii="Calibri" w:hAnsi="Calibri" w:eastAsia="Calibri"/>
          <w:sz w:val="24"/>
        </w:rPr>
        <w:t>(4390)</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pacing w:val="9"/>
          <w:sz w:val="24"/>
        </w:rPr>
        <w:t>災害類型： </w:t>
      </w:r>
      <w:r>
        <w:rPr>
          <w:sz w:val="24"/>
        </w:rPr>
        <w:t>感電  </w:t>
      </w:r>
      <w:r>
        <w:rPr>
          <w:rFonts w:ascii="Calibri" w:hAnsi="Calibri" w:eastAsia="Calibri"/>
          <w:sz w:val="24"/>
        </w:rPr>
        <w:t>(13)</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pacing w:val="11"/>
          <w:sz w:val="24"/>
        </w:rPr>
        <w:t>媒介物： </w:t>
      </w:r>
      <w:r>
        <w:rPr>
          <w:sz w:val="24"/>
        </w:rPr>
        <w:t>電弧熔接</w:t>
      </w:r>
      <w:r>
        <w:rPr>
          <w:rFonts w:ascii="Calibri" w:hAnsi="Calibri" w:eastAsia="Calibri"/>
          <w:sz w:val="24"/>
        </w:rPr>
        <w:t>(</w:t>
      </w:r>
      <w:r>
        <w:rPr>
          <w:sz w:val="24"/>
        </w:rPr>
        <w:t>交流電焊機</w:t>
      </w:r>
      <w:r>
        <w:rPr>
          <w:rFonts w:ascii="Calibri" w:hAnsi="Calibri" w:eastAsia="Calibri"/>
          <w:sz w:val="24"/>
        </w:rPr>
        <w:t>) (332)</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z w:val="24"/>
        </w:rPr>
        <w:t>罹災情形： </w:t>
      </w:r>
      <w:r>
        <w:rPr>
          <w:sz w:val="24"/>
        </w:rPr>
        <w:t>死亡 </w:t>
      </w:r>
      <w:r>
        <w:rPr>
          <w:rFonts w:ascii="Calibri" w:hAnsi="Calibri" w:eastAsia="Calibri"/>
          <w:sz w:val="24"/>
        </w:rPr>
        <w:t>1</w:t>
      </w:r>
      <w:r>
        <w:rPr>
          <w:rFonts w:ascii="Calibri" w:hAnsi="Calibri" w:eastAsia="Calibri"/>
          <w:spacing w:val="5"/>
          <w:sz w:val="24"/>
        </w:rPr>
        <w:t> </w:t>
      </w:r>
      <w:r>
        <w:rPr>
          <w:sz w:val="24"/>
        </w:rPr>
        <w:t>人</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pacing w:val="9"/>
          <w:sz w:val="24"/>
        </w:rPr>
        <w:t>事故時間： </w:t>
      </w:r>
      <w:r>
        <w:rPr>
          <w:sz w:val="24"/>
        </w:rPr>
        <w:t>民國 </w:t>
      </w:r>
      <w:r>
        <w:rPr>
          <w:rFonts w:ascii="Calibri" w:hAnsi="Calibri" w:eastAsia="Calibri"/>
          <w:sz w:val="24"/>
        </w:rPr>
        <w:t>113</w:t>
      </w:r>
      <w:r>
        <w:rPr>
          <w:rFonts w:ascii="Calibri" w:hAnsi="Calibri" w:eastAsia="Calibri"/>
          <w:spacing w:val="6"/>
          <w:sz w:val="24"/>
        </w:rPr>
        <w:t> </w:t>
      </w:r>
      <w:r>
        <w:rPr>
          <w:sz w:val="24"/>
        </w:rPr>
        <w:t>年 </w:t>
      </w:r>
      <w:r>
        <w:rPr>
          <w:rFonts w:ascii="Calibri" w:hAnsi="Calibri" w:eastAsia="Calibri"/>
          <w:sz w:val="24"/>
        </w:rPr>
        <w:t>7</w:t>
      </w:r>
      <w:r>
        <w:rPr>
          <w:rFonts w:ascii="Calibri" w:hAnsi="Calibri" w:eastAsia="Calibri"/>
          <w:spacing w:val="5"/>
          <w:sz w:val="24"/>
        </w:rPr>
        <w:t> </w:t>
      </w:r>
      <w:r>
        <w:rPr>
          <w:sz w:val="24"/>
        </w:rPr>
        <w:t>月 </w:t>
      </w:r>
      <w:r>
        <w:rPr>
          <w:rFonts w:ascii="Calibri" w:hAnsi="Calibri" w:eastAsia="Calibri"/>
          <w:sz w:val="24"/>
        </w:rPr>
        <w:t>12</w:t>
      </w:r>
      <w:r>
        <w:rPr>
          <w:rFonts w:ascii="Calibri" w:hAnsi="Calibri" w:eastAsia="Calibri"/>
          <w:spacing w:val="6"/>
          <w:sz w:val="24"/>
        </w:rPr>
        <w:t> </w:t>
      </w:r>
      <w:r>
        <w:rPr>
          <w:sz w:val="24"/>
        </w:rPr>
        <w:t>日，約 </w:t>
      </w:r>
      <w:r>
        <w:rPr>
          <w:rFonts w:ascii="Calibri" w:hAnsi="Calibri" w:eastAsia="Calibri"/>
          <w:sz w:val="24"/>
        </w:rPr>
        <w:t>11</w:t>
      </w:r>
      <w:r>
        <w:rPr>
          <w:rFonts w:ascii="Calibri" w:hAnsi="Calibri" w:eastAsia="Calibri"/>
          <w:spacing w:val="6"/>
          <w:sz w:val="24"/>
        </w:rPr>
        <w:t> </w:t>
      </w:r>
      <w:r>
        <w:rPr>
          <w:sz w:val="24"/>
        </w:rPr>
        <w:t>時 </w:t>
      </w:r>
      <w:r>
        <w:rPr>
          <w:rFonts w:ascii="Calibri" w:hAnsi="Calibri" w:eastAsia="Calibri"/>
          <w:sz w:val="24"/>
        </w:rPr>
        <w:t>30</w:t>
      </w:r>
      <w:r>
        <w:rPr>
          <w:rFonts w:ascii="Calibri" w:hAnsi="Calibri" w:eastAsia="Calibri"/>
          <w:spacing w:val="5"/>
          <w:sz w:val="24"/>
        </w:rPr>
        <w:t> </w:t>
      </w:r>
      <w:r>
        <w:rPr>
          <w:sz w:val="24"/>
        </w:rPr>
        <w:t>分許</w:t>
      </w:r>
    </w:p>
    <w:p>
      <w:pPr>
        <w:pStyle w:val="ListParagraph"/>
        <w:numPr>
          <w:ilvl w:val="0"/>
          <w:numId w:val="1"/>
        </w:numPr>
        <w:tabs>
          <w:tab w:pos="835" w:val="left" w:leader="none"/>
          <w:tab w:pos="836" w:val="left" w:leader="none"/>
        </w:tabs>
        <w:spacing w:line="415" w:lineRule="exact" w:before="0" w:after="0"/>
        <w:ind w:left="835" w:right="0" w:hanging="360"/>
        <w:jc w:val="left"/>
        <w:rPr>
          <w:sz w:val="24"/>
        </w:rPr>
      </w:pPr>
      <w:r>
        <w:rPr>
          <w:b/>
          <w:spacing w:val="9"/>
          <w:sz w:val="24"/>
        </w:rPr>
        <w:t>事故地點： </w:t>
      </w:r>
      <w:r>
        <w:rPr>
          <w:sz w:val="24"/>
        </w:rPr>
        <w:t>屏東縣竹田鄉，</w:t>
      </w:r>
      <w:r>
        <w:rPr>
          <w:rFonts w:ascii="Calibri" w:hAnsi="Calibri" w:eastAsia="Calibri"/>
          <w:sz w:val="24"/>
        </w:rPr>
        <w:t>○○</w:t>
      </w:r>
      <w:r>
        <w:rPr>
          <w:sz w:val="24"/>
        </w:rPr>
        <w:t>車體有限公司二廠，離地 </w:t>
      </w:r>
      <w:r>
        <w:rPr>
          <w:rFonts w:ascii="Calibri" w:hAnsi="Calibri" w:eastAsia="Calibri"/>
          <w:sz w:val="24"/>
        </w:rPr>
        <w:t>4.1</w:t>
      </w:r>
      <w:r>
        <w:rPr>
          <w:rFonts w:ascii="Calibri" w:hAnsi="Calibri" w:eastAsia="Calibri"/>
          <w:spacing w:val="5"/>
          <w:sz w:val="24"/>
        </w:rPr>
        <w:t> </w:t>
      </w:r>
      <w:r>
        <w:rPr>
          <w:sz w:val="24"/>
        </w:rPr>
        <w:t>公尺之 </w:t>
      </w:r>
      <w:r>
        <w:rPr>
          <w:rFonts w:ascii="Calibri" w:hAnsi="Calibri" w:eastAsia="Calibri"/>
          <w:sz w:val="24"/>
        </w:rPr>
        <w:t>H</w:t>
      </w:r>
      <w:r>
        <w:rPr>
          <w:rFonts w:ascii="Calibri" w:hAnsi="Calibri" w:eastAsia="Calibri"/>
          <w:spacing w:val="6"/>
          <w:sz w:val="24"/>
        </w:rPr>
        <w:t> </w:t>
      </w:r>
      <w:r>
        <w:rPr>
          <w:sz w:val="24"/>
        </w:rPr>
        <w:t>型鋼上</w:t>
      </w:r>
    </w:p>
    <w:p>
      <w:pPr>
        <w:pStyle w:val="ListParagraph"/>
        <w:numPr>
          <w:ilvl w:val="0"/>
          <w:numId w:val="1"/>
        </w:numPr>
        <w:tabs>
          <w:tab w:pos="836" w:val="left" w:leader="none"/>
        </w:tabs>
        <w:spacing w:line="225" w:lineRule="auto" w:before="6" w:after="0"/>
        <w:ind w:left="835" w:right="123" w:hanging="360"/>
        <w:jc w:val="both"/>
        <w:rPr>
          <w:sz w:val="24"/>
        </w:rPr>
      </w:pPr>
      <w:r>
        <w:rPr>
          <w:b/>
          <w:spacing w:val="9"/>
          <w:sz w:val="24"/>
        </w:rPr>
        <w:t>事故摘要： </w:t>
      </w:r>
      <w:r>
        <w:rPr>
          <w:sz w:val="24"/>
        </w:rPr>
        <w:t>豪企業社所僱勞工何</w:t>
      </w:r>
      <w:r>
        <w:rPr>
          <w:rFonts w:ascii="Calibri" w:hAnsi="Calibri" w:eastAsia="Calibri"/>
          <w:sz w:val="24"/>
        </w:rPr>
        <w:t>○○</w:t>
      </w:r>
      <w:r>
        <w:rPr>
          <w:spacing w:val="-1"/>
          <w:sz w:val="24"/>
        </w:rPr>
        <w:t>於 </w:t>
      </w:r>
      <w:r>
        <w:rPr>
          <w:rFonts w:ascii="Calibri" w:hAnsi="Calibri" w:eastAsia="Calibri"/>
          <w:sz w:val="24"/>
        </w:rPr>
        <w:t>H</w:t>
      </w:r>
      <w:r>
        <w:rPr>
          <w:rFonts w:ascii="Calibri" w:hAnsi="Calibri" w:eastAsia="Calibri"/>
          <w:spacing w:val="6"/>
          <w:sz w:val="24"/>
        </w:rPr>
        <w:t> </w:t>
      </w:r>
      <w:r>
        <w:rPr>
          <w:sz w:val="24"/>
        </w:rPr>
        <w:t>型鋼上從事電焊作業，當時跨坐於作為焊</w:t>
      </w:r>
      <w:r>
        <w:rPr>
          <w:spacing w:val="-1"/>
          <w:sz w:val="24"/>
        </w:rPr>
        <w:t>接接地之 </w:t>
      </w:r>
      <w:r>
        <w:rPr>
          <w:rFonts w:ascii="Calibri" w:hAnsi="Calibri" w:eastAsia="Calibri"/>
          <w:sz w:val="24"/>
        </w:rPr>
        <w:t>H</w:t>
      </w:r>
      <w:r>
        <w:rPr>
          <w:rFonts w:ascii="Calibri" w:hAnsi="Calibri" w:eastAsia="Calibri"/>
          <w:spacing w:val="6"/>
          <w:sz w:val="24"/>
        </w:rPr>
        <w:t> </w:t>
      </w:r>
      <w:r>
        <w:rPr>
          <w:sz w:val="24"/>
        </w:rPr>
        <w:t>型鋼上  。</w:t>
      </w:r>
      <w:r>
        <w:rPr>
          <w:rFonts w:ascii="Calibri" w:hAnsi="Calibri" w:eastAsia="Calibri"/>
          <w:sz w:val="24"/>
        </w:rPr>
        <w:t>11</w:t>
      </w:r>
      <w:r>
        <w:rPr>
          <w:rFonts w:ascii="Calibri" w:hAnsi="Calibri" w:eastAsia="Calibri"/>
          <w:spacing w:val="5"/>
          <w:sz w:val="24"/>
        </w:rPr>
        <w:t> </w:t>
      </w:r>
      <w:r>
        <w:rPr>
          <w:spacing w:val="-1"/>
          <w:sz w:val="24"/>
        </w:rPr>
        <w:t>時 </w:t>
      </w:r>
      <w:r>
        <w:rPr>
          <w:rFonts w:ascii="Calibri" w:hAnsi="Calibri" w:eastAsia="Calibri"/>
          <w:sz w:val="24"/>
        </w:rPr>
        <w:t>30</w:t>
      </w:r>
      <w:r>
        <w:rPr>
          <w:rFonts w:ascii="Calibri" w:hAnsi="Calibri" w:eastAsia="Calibri"/>
          <w:spacing w:val="6"/>
          <w:sz w:val="24"/>
        </w:rPr>
        <w:t> </w:t>
      </w:r>
      <w:r>
        <w:rPr>
          <w:sz w:val="24"/>
        </w:rPr>
        <w:t>分許，同事聽聞何員喊叫一聲後發現其仰躺於 </w:t>
      </w:r>
      <w:r>
        <w:rPr>
          <w:rFonts w:ascii="Calibri" w:hAnsi="Calibri" w:eastAsia="Calibri"/>
          <w:sz w:val="24"/>
        </w:rPr>
        <w:t>H</w:t>
      </w:r>
      <w:r>
        <w:rPr>
          <w:rFonts w:ascii="Calibri" w:hAnsi="Calibri" w:eastAsia="Calibri"/>
          <w:spacing w:val="6"/>
          <w:sz w:val="24"/>
        </w:rPr>
        <w:t> </w:t>
      </w:r>
      <w:r>
        <w:rPr>
          <w:sz w:val="24"/>
        </w:rPr>
        <w:t>型鋼上 。災害疑似因其使用的交流電焊機未裝設自動電擊防止裝置，導致在非焊接時的無載電壓過高</w:t>
      </w:r>
      <w:r>
        <w:rPr>
          <w:rFonts w:ascii="Calibri" w:hAnsi="Calibri" w:eastAsia="Calibri"/>
          <w:sz w:val="24"/>
        </w:rPr>
        <w:t>(80.9V)</w:t>
      </w:r>
      <w:r>
        <w:rPr>
          <w:rFonts w:ascii="Calibri" w:hAnsi="Calibri" w:eastAsia="Calibri"/>
          <w:spacing w:val="9"/>
          <w:sz w:val="24"/>
        </w:rPr>
        <w:t> </w:t>
      </w:r>
      <w:r>
        <w:rPr>
          <w:spacing w:val="-1"/>
          <w:sz w:val="24"/>
        </w:rPr>
        <w:t>，加上身體潮濕 ，不慎碰觸焊條導電部分，電流經由身</w:t>
      </w:r>
      <w:r>
        <w:rPr>
          <w:sz w:val="24"/>
        </w:rPr>
        <w:t>體、臀部、</w:t>
      </w:r>
      <w:r>
        <w:rPr>
          <w:rFonts w:ascii="Calibri" w:hAnsi="Calibri" w:eastAsia="Calibri"/>
          <w:sz w:val="24"/>
        </w:rPr>
        <w:t>H</w:t>
      </w:r>
      <w:r>
        <w:rPr>
          <w:rFonts w:ascii="Calibri" w:hAnsi="Calibri" w:eastAsia="Calibri"/>
          <w:spacing w:val="6"/>
          <w:sz w:val="24"/>
        </w:rPr>
        <w:t> </w:t>
      </w:r>
      <w:r>
        <w:rPr>
          <w:sz w:val="24"/>
        </w:rPr>
        <w:t>型鋼結構形成感電迴路 ，經送醫後宣告不治 。</w:t>
      </w:r>
    </w:p>
    <w:p>
      <w:pPr>
        <w:pStyle w:val="BodyText"/>
        <w:spacing w:before="6"/>
        <w:rPr>
          <w:sz w:val="6"/>
        </w:rPr>
      </w:pPr>
      <w:r>
        <w:rPr/>
        <w:pict>
          <v:group style="position:absolute;margin-left:63.779999pt;margin-top:7.794589pt;width:467.85pt;height:1.55pt;mso-position-horizontal-relative:page;mso-position-vertical-relative:paragraph;z-index:-1024;mso-wrap-distance-left:0;mso-wrap-distance-right:0" coordorigin="1276,156" coordsize="9357,31">
            <v:line style="position:absolute" from="1276,171" to="10632,171" stroked="true" strokeweight="1.5pt" strokecolor="#9f9f9f">
              <v:stroke dashstyle="solid"/>
            </v:line>
            <v:rect style="position:absolute;left:1275;top:156;width:5;height:5" filled="true" fillcolor="#9f9f9f" stroked="false">
              <v:fill type="solid"/>
            </v:rect>
            <v:rect style="position:absolute;left:1275;top:156;width:5;height:5" filled="true" fillcolor="#9f9f9f" stroked="false">
              <v:fill type="solid"/>
            </v:rect>
            <v:line style="position:absolute" from="1280,159" to="10627,159" stroked="true" strokeweight=".239pt" strokecolor="#9f9f9f">
              <v:stroke dashstyle="solid"/>
            </v:line>
            <v:rect style="position:absolute;left:10627;top:156;width:5;height:5" filled="true" fillcolor="#e2e2e2" stroked="false">
              <v:fill type="solid"/>
            </v:rect>
            <v:rect style="position:absolute;left:10627;top:156;width:5;height:5" filled="true" fillcolor="#9f9f9f" stroked="false">
              <v:fill type="solid"/>
            </v:rect>
            <v:rect style="position:absolute;left:1275;top:160;width:5;height:21" filled="true" fillcolor="#9f9f9f" stroked="false">
              <v:fill type="solid"/>
            </v:rect>
            <v:rect style="position:absolute;left:10627;top:160;width:5;height:21" filled="true" fillcolor="#e2e2e2" stroked="false">
              <v:fill type="solid"/>
            </v:rect>
            <v:rect style="position:absolute;left:1275;top:181;width:5;height:5" filled="true" fillcolor="#9f9f9f" stroked="false">
              <v:fill type="solid"/>
            </v:rect>
            <v:rect style="position:absolute;left:1275;top:181;width:5;height:5" filled="true" fillcolor="#e2e2e2" stroked="false">
              <v:fill type="solid"/>
            </v:rect>
            <v:line style="position:absolute" from="1280,184" to="10627,184" stroked="true" strokeweight=".239pt" strokecolor="#e2e2e2">
              <v:stroke dashstyle="solid"/>
            </v:line>
            <v:rect style="position:absolute;left:10627;top:181;width:5;height:5" filled="true" fillcolor="#e2e2e2" stroked="false">
              <v:fill type="solid"/>
            </v:rect>
            <v:rect style="position:absolute;left:10627;top:181;width:5;height:5" filled="true" fillcolor="#e2e2e2" stroked="false">
              <v:fill type="solid"/>
            </v:rect>
            <w10:wrap type="topAndBottom"/>
          </v:group>
        </w:pict>
      </w:r>
    </w:p>
    <w:p>
      <w:pPr>
        <w:pStyle w:val="Heading1"/>
        <w:spacing w:line="428" w:lineRule="exact" w:before="7"/>
        <w:rPr>
          <w:rFonts w:ascii="Calibri" w:eastAsia="Calibri"/>
        </w:rPr>
      </w:pPr>
      <w:r>
        <w:rPr/>
        <w:t>一</w:t>
      </w:r>
      <w:r>
        <w:rPr>
          <w:rFonts w:ascii="Calibri" w:eastAsia="Calibri"/>
        </w:rPr>
        <w:t>. </w:t>
      </w:r>
      <w:r>
        <w:rPr/>
        <w:t>事件成因分析圖  </w:t>
      </w:r>
      <w:r>
        <w:rPr>
          <w:rFonts w:ascii="Calibri" w:eastAsia="Calibri"/>
        </w:rPr>
        <w:t>(ECFC)</w:t>
      </w:r>
    </w:p>
    <w:p>
      <w:pPr>
        <w:pStyle w:val="BodyText"/>
        <w:spacing w:line="225" w:lineRule="auto" w:before="6"/>
        <w:ind w:left="115" w:right="348"/>
      </w:pPr>
      <w:r>
        <w:rPr/>
        <w:t>此圖將事故發生的事件及相關條件按時間順序呈現，以視覺化方式釐清因果關係。圖中黃色方框為「事件」，粉紅色橢圓為「條件」，藍色虛線橢圓為「推測條件或假設」。</w:t>
      </w:r>
    </w:p>
    <w:p>
      <w:pPr>
        <w:spacing w:after="0" w:line="225" w:lineRule="auto"/>
        <w:sectPr>
          <w:type w:val="continuous"/>
          <w:pgSz w:w="11910" w:h="16840"/>
          <w:pgMar w:top="1380" w:bottom="280" w:left="1160" w:right="1160"/>
        </w:sectPr>
      </w:pPr>
    </w:p>
    <w:p>
      <w:pPr>
        <w:pStyle w:val="BodyText"/>
        <w:spacing w:after="1"/>
        <w:rPr>
          <w:sz w:val="12"/>
        </w:rPr>
      </w:pPr>
    </w:p>
    <w:p>
      <w:pPr>
        <w:pStyle w:val="BodyText"/>
        <w:ind w:left="1341"/>
        <w:rPr>
          <w:sz w:val="20"/>
        </w:rPr>
      </w:pPr>
      <w:r>
        <w:rPr>
          <w:sz w:val="20"/>
        </w:rPr>
        <w:drawing>
          <wp:inline distT="0" distB="0" distL="0" distR="0">
            <wp:extent cx="4403547" cy="5178933"/>
            <wp:effectExtent l="0" t="0" r="0" b="0"/>
            <wp:docPr id="1" name="image1.png" descr="一張含有 文字, 螢幕擷取畫面, 圖表, 數字 的圖片  AI 產生的內容可能不正確。"/>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403547" cy="5178933"/>
                    </a:xfrm>
                    <a:prstGeom prst="rect">
                      <a:avLst/>
                    </a:prstGeom>
                  </pic:spPr>
                </pic:pic>
              </a:graphicData>
            </a:graphic>
          </wp:inline>
        </w:drawing>
      </w:r>
      <w:r>
        <w:rPr>
          <w:sz w:val="20"/>
        </w:rPr>
      </w:r>
    </w:p>
    <w:p>
      <w:pPr>
        <w:pStyle w:val="BodyText"/>
        <w:spacing w:before="1"/>
        <w:rPr>
          <w:sz w:val="21"/>
        </w:rPr>
      </w:pPr>
      <w:r>
        <w:rPr/>
        <w:pict>
          <v:group style="position:absolute;margin-left:63.779999pt;margin-top:21.340982pt;width:467.85pt;height:1.55pt;mso-position-horizontal-relative:page;mso-position-vertical-relative:paragraph;z-index:-1000;mso-wrap-distance-left:0;mso-wrap-distance-right:0" coordorigin="1276,427" coordsize="9357,31">
            <v:line style="position:absolute" from="1276,442" to="10632,442" stroked="true" strokeweight="1.5pt" strokecolor="#9f9f9f">
              <v:stroke dashstyle="solid"/>
            </v:line>
            <v:rect style="position:absolute;left:1275;top:426;width:5;height:5" filled="true" fillcolor="#9f9f9f" stroked="false">
              <v:fill type="solid"/>
            </v:rect>
            <v:rect style="position:absolute;left:1275;top:426;width:5;height:5" filled="true" fillcolor="#9f9f9f" stroked="false">
              <v:fill type="solid"/>
            </v:rect>
            <v:line style="position:absolute" from="1280,429" to="10627,429" stroked="true" strokeweight=".239pt" strokecolor="#9f9f9f">
              <v:stroke dashstyle="solid"/>
            </v:line>
            <v:rect style="position:absolute;left:10627;top:426;width:5;height:5" filled="true" fillcolor="#e2e2e2" stroked="false">
              <v:fill type="solid"/>
            </v:rect>
            <v:rect style="position:absolute;left:10627;top:426;width:5;height:5" filled="true" fillcolor="#9f9f9f" stroked="false">
              <v:fill type="solid"/>
            </v:rect>
            <v:rect style="position:absolute;left:1275;top:431;width:5;height:21" filled="true" fillcolor="#9f9f9f" stroked="false">
              <v:fill type="solid"/>
            </v:rect>
            <v:rect style="position:absolute;left:10627;top:431;width:5;height:21" filled="true" fillcolor="#e2e2e2" stroked="false">
              <v:fill type="solid"/>
            </v:rect>
            <v:rect style="position:absolute;left:1275;top:452;width:5;height:5" filled="true" fillcolor="#9f9f9f" stroked="false">
              <v:fill type="solid"/>
            </v:rect>
            <v:rect style="position:absolute;left:1275;top:452;width:5;height:5" filled="true" fillcolor="#e2e2e2" stroked="false">
              <v:fill type="solid"/>
            </v:rect>
            <v:line style="position:absolute" from="1280,454" to="10627,454" stroked="true" strokeweight=".239pt" strokecolor="#e2e2e2">
              <v:stroke dashstyle="solid"/>
            </v:line>
            <v:rect style="position:absolute;left:10627;top:452;width:5;height:5" filled="true" fillcolor="#e2e2e2" stroked="false">
              <v:fill type="solid"/>
            </v:rect>
            <v:rect style="position:absolute;left:10627;top:452;width:5;height:5" filled="true" fillcolor="#e2e2e2" stroked="false">
              <v:fill type="solid"/>
            </v:rect>
            <w10:wrap type="topAndBottom"/>
          </v:group>
        </w:pict>
      </w:r>
    </w:p>
    <w:p>
      <w:pPr>
        <w:pStyle w:val="Heading1"/>
        <w:spacing w:line="428" w:lineRule="exact" w:before="7"/>
      </w:pPr>
      <w:r>
        <w:rPr/>
        <w:t>二</w:t>
      </w:r>
      <w:r>
        <w:rPr>
          <w:rFonts w:ascii="Calibri" w:eastAsia="Calibri"/>
        </w:rPr>
        <w:t>. </w:t>
      </w:r>
      <w:r>
        <w:rPr/>
        <w:t>時間序列表</w:t>
      </w:r>
    </w:p>
    <w:p>
      <w:pPr>
        <w:pStyle w:val="BodyText"/>
        <w:spacing w:line="428" w:lineRule="exact"/>
        <w:ind w:left="115"/>
      </w:pPr>
      <w:r>
        <w:rPr/>
        <w:t>此表以表格形式記錄事故發生的先後順序和相關條件，作為 </w:t>
      </w:r>
      <w:r>
        <w:rPr>
          <w:rFonts w:ascii="Calibri" w:eastAsia="Calibri"/>
        </w:rPr>
        <w:t>ECFC </w:t>
      </w:r>
      <w:r>
        <w:rPr/>
        <w:t>的輔助。</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8"/>
        <w:gridCol w:w="2708"/>
        <w:gridCol w:w="650"/>
        <w:gridCol w:w="950"/>
        <w:gridCol w:w="1942"/>
        <w:gridCol w:w="1812"/>
      </w:tblGrid>
      <w:tr>
        <w:trPr>
          <w:trHeight w:val="1037" w:hRule="atLeast"/>
        </w:trPr>
        <w:tc>
          <w:tcPr>
            <w:tcW w:w="1288" w:type="dxa"/>
          </w:tcPr>
          <w:p>
            <w:pPr>
              <w:pStyle w:val="TableParagraph"/>
              <w:spacing w:line="344" w:lineRule="exact"/>
              <w:rPr>
                <w:sz w:val="20"/>
              </w:rPr>
            </w:pPr>
            <w:r>
              <w:rPr>
                <w:sz w:val="20"/>
              </w:rPr>
              <w:t>日期時間</w:t>
            </w:r>
          </w:p>
        </w:tc>
        <w:tc>
          <w:tcPr>
            <w:tcW w:w="2708" w:type="dxa"/>
          </w:tcPr>
          <w:p>
            <w:pPr>
              <w:pStyle w:val="TableParagraph"/>
              <w:spacing w:line="344" w:lineRule="exact"/>
              <w:rPr>
                <w:sz w:val="20"/>
              </w:rPr>
            </w:pPr>
            <w:r>
              <w:rPr>
                <w:sz w:val="20"/>
              </w:rPr>
              <w:t>事件描述</w:t>
            </w:r>
          </w:p>
        </w:tc>
        <w:tc>
          <w:tcPr>
            <w:tcW w:w="650" w:type="dxa"/>
          </w:tcPr>
          <w:p>
            <w:pPr>
              <w:pStyle w:val="TableParagraph"/>
              <w:spacing w:line="333" w:lineRule="exact"/>
              <w:rPr>
                <w:sz w:val="20"/>
              </w:rPr>
            </w:pPr>
            <w:r>
              <w:rPr>
                <w:sz w:val="20"/>
              </w:rPr>
              <w:t>事實</w:t>
            </w:r>
          </w:p>
          <w:p>
            <w:pPr>
              <w:pStyle w:val="TableParagraph"/>
              <w:spacing w:line="346" w:lineRule="exact"/>
              <w:rPr>
                <w:sz w:val="20"/>
              </w:rPr>
            </w:pPr>
            <w:r>
              <w:rPr>
                <w:rFonts w:ascii="Segoe UI" w:eastAsia="Segoe UI"/>
                <w:sz w:val="20"/>
              </w:rPr>
              <w:t>/</w:t>
            </w:r>
            <w:r>
              <w:rPr>
                <w:sz w:val="20"/>
              </w:rPr>
              <w:t>假</w:t>
            </w:r>
          </w:p>
          <w:p>
            <w:pPr>
              <w:pStyle w:val="TableParagraph"/>
              <w:spacing w:line="339" w:lineRule="exact"/>
              <w:rPr>
                <w:sz w:val="20"/>
              </w:rPr>
            </w:pPr>
            <w:r>
              <w:rPr>
                <w:w w:val="100"/>
                <w:sz w:val="20"/>
              </w:rPr>
              <w:t>設</w:t>
            </w:r>
          </w:p>
        </w:tc>
        <w:tc>
          <w:tcPr>
            <w:tcW w:w="950" w:type="dxa"/>
          </w:tcPr>
          <w:p>
            <w:pPr>
              <w:pStyle w:val="TableParagraph"/>
              <w:spacing w:line="333" w:lineRule="exact"/>
              <w:ind w:left="105"/>
              <w:rPr>
                <w:sz w:val="20"/>
              </w:rPr>
            </w:pPr>
            <w:r>
              <w:rPr>
                <w:sz w:val="20"/>
              </w:rPr>
              <w:t>主</w:t>
            </w:r>
            <w:r>
              <w:rPr>
                <w:rFonts w:ascii="Segoe UI" w:eastAsia="Segoe UI"/>
                <w:sz w:val="20"/>
              </w:rPr>
              <w:t>(P)/</w:t>
            </w:r>
            <w:r>
              <w:rPr>
                <w:sz w:val="20"/>
              </w:rPr>
              <w:t>次</w:t>
            </w:r>
          </w:p>
          <w:p>
            <w:pPr>
              <w:pStyle w:val="TableParagraph"/>
              <w:spacing w:line="346" w:lineRule="exact"/>
              <w:ind w:left="105"/>
              <w:rPr>
                <w:sz w:val="20"/>
              </w:rPr>
            </w:pPr>
            <w:r>
              <w:rPr>
                <w:rFonts w:ascii="Segoe UI" w:eastAsia="Segoe UI"/>
                <w:sz w:val="20"/>
              </w:rPr>
              <w:t>(S)</w:t>
            </w:r>
            <w:r>
              <w:rPr>
                <w:sz w:val="20"/>
              </w:rPr>
              <w:t>事件</w:t>
            </w:r>
          </w:p>
          <w:p>
            <w:pPr>
              <w:pStyle w:val="TableParagraph"/>
              <w:spacing w:line="339" w:lineRule="exact"/>
              <w:ind w:left="105"/>
              <w:rPr>
                <w:sz w:val="20"/>
              </w:rPr>
            </w:pPr>
            <w:r>
              <w:rPr>
                <w:w w:val="100"/>
                <w:sz w:val="20"/>
              </w:rPr>
              <w:t>軸</w:t>
            </w:r>
          </w:p>
        </w:tc>
        <w:tc>
          <w:tcPr>
            <w:tcW w:w="1942" w:type="dxa"/>
          </w:tcPr>
          <w:p>
            <w:pPr>
              <w:pStyle w:val="TableParagraph"/>
              <w:spacing w:line="225" w:lineRule="auto"/>
              <w:ind w:left="105" w:right="152"/>
              <w:rPr>
                <w:rFonts w:ascii="Segoe UI" w:eastAsia="Segoe UI"/>
                <w:sz w:val="20"/>
              </w:rPr>
            </w:pPr>
            <w:r>
              <w:rPr>
                <w:sz w:val="20"/>
              </w:rPr>
              <w:t>相關條件 </w:t>
            </w:r>
            <w:r>
              <w:rPr>
                <w:rFonts w:ascii="Segoe UI" w:eastAsia="Segoe UI"/>
                <w:sz w:val="20"/>
              </w:rPr>
              <w:t>1 (</w:t>
            </w:r>
            <w:r>
              <w:rPr>
                <w:sz w:val="20"/>
              </w:rPr>
              <w:t>直接條件</w:t>
            </w:r>
            <w:r>
              <w:rPr>
                <w:rFonts w:ascii="Segoe UI" w:eastAsia="Segoe UI"/>
                <w:sz w:val="20"/>
              </w:rPr>
              <w:t>)</w:t>
            </w:r>
          </w:p>
        </w:tc>
        <w:tc>
          <w:tcPr>
            <w:tcW w:w="1812" w:type="dxa"/>
          </w:tcPr>
          <w:p>
            <w:pPr>
              <w:pStyle w:val="TableParagraph"/>
              <w:spacing w:line="333" w:lineRule="exact"/>
              <w:ind w:left="105"/>
              <w:rPr>
                <w:sz w:val="20"/>
              </w:rPr>
            </w:pPr>
            <w:r>
              <w:rPr>
                <w:sz w:val="20"/>
              </w:rPr>
              <w:t>相關條件 </w:t>
            </w:r>
            <w:r>
              <w:rPr>
                <w:rFonts w:ascii="Segoe UI" w:eastAsia="Segoe UI"/>
                <w:sz w:val="20"/>
              </w:rPr>
              <w:t>2 (</w:t>
            </w:r>
            <w:r>
              <w:rPr>
                <w:sz w:val="20"/>
              </w:rPr>
              <w:t>條件</w:t>
            </w:r>
          </w:p>
          <w:p>
            <w:pPr>
              <w:pStyle w:val="TableParagraph"/>
              <w:spacing w:line="357" w:lineRule="exact"/>
              <w:ind w:left="105"/>
              <w:rPr>
                <w:rFonts w:ascii="Segoe UI" w:eastAsia="Segoe UI"/>
                <w:sz w:val="20"/>
              </w:rPr>
            </w:pPr>
            <w:r>
              <w:rPr>
                <w:rFonts w:ascii="Segoe UI" w:eastAsia="Segoe UI"/>
                <w:sz w:val="20"/>
              </w:rPr>
              <w:t>1 </w:t>
            </w:r>
            <w:r>
              <w:rPr>
                <w:sz w:val="20"/>
              </w:rPr>
              <w:t>的背景或前提</w:t>
            </w:r>
            <w:r>
              <w:rPr>
                <w:rFonts w:ascii="Segoe UI" w:eastAsia="Segoe UI"/>
                <w:sz w:val="20"/>
              </w:rPr>
              <w:t>)</w:t>
            </w:r>
          </w:p>
        </w:tc>
      </w:tr>
      <w:tr>
        <w:trPr>
          <w:trHeight w:val="1383" w:hRule="atLeast"/>
        </w:trPr>
        <w:tc>
          <w:tcPr>
            <w:tcW w:w="1288" w:type="dxa"/>
          </w:tcPr>
          <w:p>
            <w:pPr>
              <w:pStyle w:val="TableParagraph"/>
              <w:spacing w:line="248" w:lineRule="exact"/>
              <w:rPr>
                <w:rFonts w:ascii="Segoe UI"/>
                <w:sz w:val="20"/>
              </w:rPr>
            </w:pPr>
            <w:r>
              <w:rPr>
                <w:rFonts w:ascii="Segoe UI"/>
                <w:sz w:val="20"/>
              </w:rPr>
              <w:t>113/7/12</w:t>
            </w:r>
          </w:p>
          <w:p>
            <w:pPr>
              <w:pStyle w:val="TableParagraph"/>
              <w:spacing w:line="362" w:lineRule="exact"/>
              <w:rPr>
                <w:sz w:val="20"/>
              </w:rPr>
            </w:pPr>
            <w:r>
              <w:rPr>
                <w:rFonts w:ascii="Segoe UI" w:eastAsia="Segoe UI"/>
                <w:sz w:val="20"/>
              </w:rPr>
              <w:t>11:24</w:t>
            </w:r>
            <w:r>
              <w:rPr>
                <w:rFonts w:ascii="Segoe UI" w:eastAsia="Segoe UI"/>
                <w:spacing w:val="-8"/>
                <w:sz w:val="20"/>
              </w:rPr>
              <w:t> </w:t>
            </w:r>
            <w:r>
              <w:rPr>
                <w:sz w:val="20"/>
              </w:rPr>
              <w:t>許</w:t>
            </w:r>
          </w:p>
        </w:tc>
        <w:tc>
          <w:tcPr>
            <w:tcW w:w="2708" w:type="dxa"/>
          </w:tcPr>
          <w:p>
            <w:pPr>
              <w:pStyle w:val="TableParagraph"/>
              <w:spacing w:line="225" w:lineRule="auto"/>
              <w:ind w:right="228" w:hanging="1"/>
              <w:rPr>
                <w:sz w:val="20"/>
              </w:rPr>
            </w:pPr>
            <w:r>
              <w:rPr>
                <w:sz w:val="20"/>
              </w:rPr>
              <w:t>罹災者何員爬上離地 </w:t>
            </w:r>
            <w:r>
              <w:rPr>
                <w:rFonts w:ascii="Segoe UI" w:eastAsia="Segoe UI"/>
                <w:sz w:val="20"/>
              </w:rPr>
              <w:t>4.1 </w:t>
            </w:r>
            <w:r>
              <w:rPr>
                <w:sz w:val="20"/>
              </w:rPr>
              <w:t>公尺的</w:t>
            </w:r>
            <w:r>
              <w:rPr>
                <w:rFonts w:ascii="Segoe UI" w:eastAsia="Segoe UI"/>
                <w:sz w:val="20"/>
              </w:rPr>
              <w:t>H </w:t>
            </w:r>
            <w:r>
              <w:rPr>
                <w:sz w:val="20"/>
              </w:rPr>
              <w:t>型鋼上，並跨坐其上。</w:t>
            </w:r>
          </w:p>
        </w:tc>
        <w:tc>
          <w:tcPr>
            <w:tcW w:w="650" w:type="dxa"/>
          </w:tcPr>
          <w:p>
            <w:pPr>
              <w:pStyle w:val="TableParagraph"/>
              <w:spacing w:line="344" w:lineRule="exact"/>
              <w:rPr>
                <w:sz w:val="20"/>
              </w:rPr>
            </w:pPr>
            <w:r>
              <w:rPr>
                <w:sz w:val="20"/>
              </w:rPr>
              <w:t>事實</w:t>
            </w:r>
          </w:p>
        </w:tc>
        <w:tc>
          <w:tcPr>
            <w:tcW w:w="950" w:type="dxa"/>
          </w:tcPr>
          <w:p>
            <w:pPr>
              <w:pStyle w:val="TableParagraph"/>
              <w:spacing w:line="254" w:lineRule="exact"/>
              <w:ind w:left="105"/>
              <w:rPr>
                <w:rFonts w:ascii="Segoe UI"/>
                <w:sz w:val="20"/>
              </w:rPr>
            </w:pPr>
            <w:r>
              <w:rPr>
                <w:rFonts w:ascii="Segoe UI"/>
                <w:w w:val="100"/>
                <w:sz w:val="20"/>
              </w:rPr>
              <w:t>P</w:t>
            </w:r>
          </w:p>
        </w:tc>
        <w:tc>
          <w:tcPr>
            <w:tcW w:w="1942" w:type="dxa"/>
          </w:tcPr>
          <w:p>
            <w:pPr>
              <w:pStyle w:val="TableParagraph"/>
              <w:numPr>
                <w:ilvl w:val="0"/>
                <w:numId w:val="2"/>
              </w:numPr>
              <w:tabs>
                <w:tab w:pos="357" w:val="left" w:leader="none"/>
              </w:tabs>
              <w:spacing w:line="225" w:lineRule="auto" w:before="0" w:after="0"/>
              <w:ind w:left="105" w:right="172" w:firstLine="0"/>
              <w:jc w:val="left"/>
              <w:rPr>
                <w:sz w:val="20"/>
              </w:rPr>
            </w:pPr>
            <w:r>
              <w:rPr>
                <w:spacing w:val="-2"/>
                <w:sz w:val="20"/>
              </w:rPr>
              <w:t>身體直接接觸作</w:t>
            </w:r>
            <w:r>
              <w:rPr>
                <w:sz w:val="20"/>
              </w:rPr>
              <w:t>為接地路徑的工</w:t>
            </w:r>
          </w:p>
          <w:p>
            <w:pPr>
              <w:pStyle w:val="TableParagraph"/>
              <w:spacing w:line="342" w:lineRule="exact"/>
              <w:ind w:left="105"/>
              <w:rPr>
                <w:sz w:val="20"/>
              </w:rPr>
            </w:pPr>
            <w:r>
              <w:rPr>
                <w:sz w:val="20"/>
              </w:rPr>
              <w:t>件。</w:t>
            </w:r>
          </w:p>
          <w:p>
            <w:pPr>
              <w:pStyle w:val="TableParagraph"/>
              <w:numPr>
                <w:ilvl w:val="0"/>
                <w:numId w:val="2"/>
              </w:numPr>
              <w:tabs>
                <w:tab w:pos="357" w:val="left" w:leader="none"/>
              </w:tabs>
              <w:spacing w:line="338" w:lineRule="exact" w:before="0" w:after="0"/>
              <w:ind w:left="357" w:right="0" w:hanging="252"/>
              <w:jc w:val="left"/>
              <w:rPr>
                <w:sz w:val="20"/>
              </w:rPr>
            </w:pPr>
            <w:r>
              <w:rPr>
                <w:sz w:val="20"/>
              </w:rPr>
              <w:t>高處作業。</w:t>
            </w:r>
          </w:p>
        </w:tc>
        <w:tc>
          <w:tcPr>
            <w:tcW w:w="1812" w:type="dxa"/>
          </w:tcPr>
          <w:p>
            <w:pPr>
              <w:pStyle w:val="TableParagraph"/>
              <w:spacing w:line="225" w:lineRule="auto"/>
              <w:ind w:left="105" w:right="172"/>
              <w:rPr>
                <w:rFonts w:ascii="Segoe UI" w:eastAsia="Segoe UI"/>
                <w:sz w:val="20"/>
              </w:rPr>
            </w:pPr>
            <w:r>
              <w:rPr>
                <w:sz w:val="20"/>
              </w:rPr>
              <w:t>未提供絕緣墊等隔離措施。</w:t>
            </w:r>
            <w:r>
              <w:rPr>
                <w:rFonts w:ascii="Segoe UI" w:eastAsia="Segoe UI"/>
                <w:sz w:val="20"/>
              </w:rPr>
              <w:t>(</w:t>
            </w:r>
            <w:r>
              <w:rPr>
                <w:sz w:val="20"/>
              </w:rPr>
              <w:t>假設</w:t>
            </w:r>
            <w:r>
              <w:rPr>
                <w:rFonts w:ascii="Segoe UI" w:eastAsia="Segoe UI"/>
                <w:sz w:val="20"/>
              </w:rPr>
              <w:t>)</w:t>
            </w:r>
          </w:p>
        </w:tc>
      </w:tr>
      <w:tr>
        <w:trPr>
          <w:trHeight w:val="1384" w:hRule="atLeast"/>
        </w:trPr>
        <w:tc>
          <w:tcPr>
            <w:tcW w:w="1288" w:type="dxa"/>
          </w:tcPr>
          <w:p>
            <w:pPr>
              <w:pStyle w:val="TableParagraph"/>
              <w:spacing w:line="248" w:lineRule="exact"/>
              <w:rPr>
                <w:rFonts w:ascii="Segoe UI"/>
                <w:sz w:val="20"/>
              </w:rPr>
            </w:pPr>
            <w:r>
              <w:rPr>
                <w:rFonts w:ascii="Segoe UI"/>
                <w:sz w:val="20"/>
              </w:rPr>
              <w:t>113/7/12</w:t>
            </w:r>
          </w:p>
          <w:p>
            <w:pPr>
              <w:pStyle w:val="TableParagraph"/>
              <w:spacing w:line="362" w:lineRule="exact"/>
              <w:rPr>
                <w:sz w:val="20"/>
              </w:rPr>
            </w:pPr>
            <w:r>
              <w:rPr>
                <w:rFonts w:ascii="Segoe UI" w:eastAsia="Segoe UI"/>
                <w:sz w:val="20"/>
              </w:rPr>
              <w:t>11:24</w:t>
            </w:r>
            <w:r>
              <w:rPr>
                <w:rFonts w:ascii="Segoe UI" w:eastAsia="Segoe UI"/>
                <w:spacing w:val="-8"/>
                <w:sz w:val="20"/>
              </w:rPr>
              <w:t> </w:t>
            </w:r>
            <w:r>
              <w:rPr>
                <w:sz w:val="20"/>
              </w:rPr>
              <w:t>後</w:t>
            </w:r>
          </w:p>
        </w:tc>
        <w:tc>
          <w:tcPr>
            <w:tcW w:w="2708" w:type="dxa"/>
          </w:tcPr>
          <w:p>
            <w:pPr>
              <w:pStyle w:val="TableParagraph"/>
              <w:spacing w:line="225" w:lineRule="auto"/>
              <w:ind w:right="187"/>
              <w:rPr>
                <w:sz w:val="20"/>
              </w:rPr>
            </w:pPr>
            <w:r>
              <w:rPr>
                <w:sz w:val="20"/>
              </w:rPr>
              <w:t>何員使用交流電焊機從事電焊作業。</w:t>
            </w:r>
          </w:p>
        </w:tc>
        <w:tc>
          <w:tcPr>
            <w:tcW w:w="650" w:type="dxa"/>
          </w:tcPr>
          <w:p>
            <w:pPr>
              <w:pStyle w:val="TableParagraph"/>
              <w:spacing w:line="344" w:lineRule="exact"/>
              <w:rPr>
                <w:sz w:val="20"/>
              </w:rPr>
            </w:pPr>
            <w:r>
              <w:rPr>
                <w:sz w:val="20"/>
              </w:rPr>
              <w:t>事實</w:t>
            </w:r>
          </w:p>
        </w:tc>
        <w:tc>
          <w:tcPr>
            <w:tcW w:w="950" w:type="dxa"/>
          </w:tcPr>
          <w:p>
            <w:pPr>
              <w:pStyle w:val="TableParagraph"/>
              <w:spacing w:line="254" w:lineRule="exact"/>
              <w:ind w:left="105"/>
              <w:rPr>
                <w:rFonts w:ascii="Segoe UI"/>
                <w:sz w:val="20"/>
              </w:rPr>
            </w:pPr>
            <w:r>
              <w:rPr>
                <w:rFonts w:ascii="Segoe UI"/>
                <w:w w:val="100"/>
                <w:sz w:val="20"/>
              </w:rPr>
              <w:t>P</w:t>
            </w:r>
          </w:p>
        </w:tc>
        <w:tc>
          <w:tcPr>
            <w:tcW w:w="1942" w:type="dxa"/>
          </w:tcPr>
          <w:p>
            <w:pPr>
              <w:pStyle w:val="TableParagraph"/>
              <w:numPr>
                <w:ilvl w:val="0"/>
                <w:numId w:val="3"/>
              </w:numPr>
              <w:tabs>
                <w:tab w:pos="357" w:val="left" w:leader="none"/>
              </w:tabs>
              <w:spacing w:line="225" w:lineRule="auto" w:before="0" w:after="0"/>
              <w:ind w:left="105" w:right="172" w:firstLine="0"/>
              <w:jc w:val="both"/>
              <w:rPr>
                <w:sz w:val="20"/>
              </w:rPr>
            </w:pPr>
            <w:r>
              <w:rPr>
                <w:spacing w:val="-2"/>
                <w:sz w:val="20"/>
              </w:rPr>
              <w:t>使用未裝設自動</w:t>
            </w:r>
            <w:r>
              <w:rPr>
                <w:sz w:val="20"/>
              </w:rPr>
              <w:t>電擊防止裝置的交流電焊機。</w:t>
            </w:r>
          </w:p>
          <w:p>
            <w:pPr>
              <w:pStyle w:val="TableParagraph"/>
              <w:numPr>
                <w:ilvl w:val="0"/>
                <w:numId w:val="3"/>
              </w:numPr>
              <w:tabs>
                <w:tab w:pos="357" w:val="left" w:leader="none"/>
              </w:tabs>
              <w:spacing w:line="335" w:lineRule="exact" w:before="0" w:after="0"/>
              <w:ind w:left="357" w:right="0" w:hanging="252"/>
              <w:jc w:val="both"/>
              <w:rPr>
                <w:sz w:val="20"/>
              </w:rPr>
            </w:pPr>
            <w:r>
              <w:rPr>
                <w:sz w:val="20"/>
              </w:rPr>
              <w:t>身體潮濕。</w:t>
            </w:r>
          </w:p>
        </w:tc>
        <w:tc>
          <w:tcPr>
            <w:tcW w:w="1812" w:type="dxa"/>
          </w:tcPr>
          <w:p>
            <w:pPr>
              <w:pStyle w:val="TableParagraph"/>
              <w:spacing w:line="225" w:lineRule="auto"/>
              <w:ind w:left="105" w:right="242" w:hanging="1"/>
              <w:jc w:val="both"/>
              <w:rPr>
                <w:rFonts w:ascii="Segoe UI" w:eastAsia="Segoe UI"/>
                <w:sz w:val="20"/>
              </w:rPr>
            </w:pPr>
            <w:r>
              <w:rPr>
                <w:rFonts w:ascii="Segoe UI" w:eastAsia="Segoe UI"/>
                <w:sz w:val="20"/>
              </w:rPr>
              <w:t>1. </w:t>
            </w:r>
            <w:r>
              <w:rPr>
                <w:sz w:val="20"/>
              </w:rPr>
              <w:t>雇主未提供符合法規的安全設備。 </w:t>
            </w:r>
            <w:r>
              <w:rPr>
                <w:rFonts w:ascii="Segoe UI" w:eastAsia="Segoe UI"/>
                <w:sz w:val="20"/>
              </w:rPr>
              <w:t>(</w:t>
            </w:r>
            <w:r>
              <w:rPr>
                <w:sz w:val="20"/>
              </w:rPr>
              <w:t>推斷</w:t>
            </w:r>
            <w:r>
              <w:rPr>
                <w:rFonts w:ascii="Segoe UI" w:eastAsia="Segoe UI"/>
                <w:sz w:val="20"/>
              </w:rPr>
              <w:t>)</w:t>
            </w:r>
          </w:p>
        </w:tc>
      </w:tr>
    </w:tbl>
    <w:p>
      <w:pPr>
        <w:spacing w:after="0" w:line="225" w:lineRule="auto"/>
        <w:jc w:val="both"/>
        <w:rPr>
          <w:rFonts w:ascii="Segoe UI" w:eastAsia="Segoe UI"/>
          <w:sz w:val="20"/>
        </w:rPr>
        <w:sectPr>
          <w:pgSz w:w="11910" w:h="16840"/>
          <w:pgMar w:top="1580" w:bottom="280" w:left="1160" w:right="11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8"/>
        <w:gridCol w:w="2708"/>
        <w:gridCol w:w="650"/>
        <w:gridCol w:w="950"/>
        <w:gridCol w:w="1942"/>
        <w:gridCol w:w="1812"/>
      </w:tblGrid>
      <w:tr>
        <w:trPr>
          <w:trHeight w:val="692" w:hRule="atLeast"/>
        </w:trPr>
        <w:tc>
          <w:tcPr>
            <w:tcW w:w="1288" w:type="dxa"/>
          </w:tcPr>
          <w:p>
            <w:pPr>
              <w:pStyle w:val="TableParagraph"/>
              <w:ind w:left="0"/>
              <w:rPr>
                <w:rFonts w:ascii="Times New Roman"/>
                <w:sz w:val="20"/>
              </w:rPr>
            </w:pPr>
          </w:p>
        </w:tc>
        <w:tc>
          <w:tcPr>
            <w:tcW w:w="2708" w:type="dxa"/>
          </w:tcPr>
          <w:p>
            <w:pPr>
              <w:pStyle w:val="TableParagraph"/>
              <w:ind w:left="0"/>
              <w:rPr>
                <w:rFonts w:ascii="Times New Roman"/>
                <w:sz w:val="20"/>
              </w:rPr>
            </w:pPr>
          </w:p>
        </w:tc>
        <w:tc>
          <w:tcPr>
            <w:tcW w:w="650" w:type="dxa"/>
          </w:tcPr>
          <w:p>
            <w:pPr>
              <w:pStyle w:val="TableParagraph"/>
              <w:ind w:left="0"/>
              <w:rPr>
                <w:rFonts w:ascii="Times New Roman"/>
                <w:sz w:val="20"/>
              </w:rPr>
            </w:pPr>
          </w:p>
        </w:tc>
        <w:tc>
          <w:tcPr>
            <w:tcW w:w="950" w:type="dxa"/>
          </w:tcPr>
          <w:p>
            <w:pPr>
              <w:pStyle w:val="TableParagraph"/>
              <w:ind w:left="0"/>
              <w:rPr>
                <w:rFonts w:ascii="Times New Roman"/>
                <w:sz w:val="20"/>
              </w:rPr>
            </w:pPr>
          </w:p>
        </w:tc>
        <w:tc>
          <w:tcPr>
            <w:tcW w:w="1942" w:type="dxa"/>
          </w:tcPr>
          <w:p>
            <w:pPr>
              <w:pStyle w:val="TableParagraph"/>
              <w:ind w:left="0"/>
              <w:rPr>
                <w:rFonts w:ascii="Times New Roman"/>
                <w:sz w:val="20"/>
              </w:rPr>
            </w:pPr>
          </w:p>
        </w:tc>
        <w:tc>
          <w:tcPr>
            <w:tcW w:w="1812" w:type="dxa"/>
          </w:tcPr>
          <w:p>
            <w:pPr>
              <w:pStyle w:val="TableParagraph"/>
              <w:spacing w:line="346" w:lineRule="exact"/>
              <w:ind w:left="105"/>
              <w:rPr>
                <w:sz w:val="20"/>
              </w:rPr>
            </w:pPr>
            <w:r>
              <w:rPr>
                <w:rFonts w:ascii="Segoe UI" w:eastAsia="Segoe UI"/>
                <w:sz w:val="20"/>
              </w:rPr>
              <w:t>2. </w:t>
            </w:r>
            <w:r>
              <w:rPr>
                <w:sz w:val="20"/>
              </w:rPr>
              <w:t>作業環境悶熱</w:t>
            </w:r>
          </w:p>
          <w:p>
            <w:pPr>
              <w:pStyle w:val="TableParagraph"/>
              <w:spacing w:line="326" w:lineRule="exact"/>
              <w:ind w:left="105"/>
              <w:rPr>
                <w:rFonts w:ascii="Segoe UI" w:eastAsia="Segoe UI"/>
                <w:sz w:val="20"/>
              </w:rPr>
            </w:pPr>
            <w:r>
              <w:rPr>
                <w:sz w:val="20"/>
              </w:rPr>
              <w:t>導致流汗。</w:t>
            </w:r>
            <w:r>
              <w:rPr>
                <w:rFonts w:ascii="Segoe UI" w:eastAsia="Segoe UI"/>
                <w:sz w:val="20"/>
              </w:rPr>
              <w:t>(</w:t>
            </w:r>
            <w:r>
              <w:rPr>
                <w:sz w:val="20"/>
              </w:rPr>
              <w:t>假設</w:t>
            </w:r>
            <w:r>
              <w:rPr>
                <w:rFonts w:ascii="Segoe UI" w:eastAsia="Segoe UI"/>
                <w:sz w:val="20"/>
              </w:rPr>
              <w:t>)</w:t>
            </w:r>
          </w:p>
        </w:tc>
      </w:tr>
      <w:tr>
        <w:trPr>
          <w:trHeight w:val="304" w:hRule="atLeast"/>
        </w:trPr>
        <w:tc>
          <w:tcPr>
            <w:tcW w:w="1288" w:type="dxa"/>
            <w:tcBorders>
              <w:bottom w:val="nil"/>
            </w:tcBorders>
          </w:tcPr>
          <w:p>
            <w:pPr>
              <w:pStyle w:val="TableParagraph"/>
              <w:rPr>
                <w:rFonts w:ascii="Segoe UI"/>
                <w:sz w:val="20"/>
              </w:rPr>
            </w:pPr>
            <w:r>
              <w:rPr>
                <w:rFonts w:ascii="Segoe UI"/>
                <w:sz w:val="20"/>
              </w:rPr>
              <w:t>113/7/12</w:t>
            </w:r>
          </w:p>
        </w:tc>
        <w:tc>
          <w:tcPr>
            <w:tcW w:w="2708" w:type="dxa"/>
            <w:tcBorders>
              <w:bottom w:val="nil"/>
            </w:tcBorders>
          </w:tcPr>
          <w:p>
            <w:pPr>
              <w:pStyle w:val="TableParagraph"/>
              <w:spacing w:line="285" w:lineRule="exact"/>
              <w:rPr>
                <w:sz w:val="20"/>
              </w:rPr>
            </w:pPr>
            <w:r>
              <w:rPr>
                <w:sz w:val="20"/>
              </w:rPr>
              <w:t>何員不慎碰觸焊條導電部</w:t>
            </w:r>
          </w:p>
        </w:tc>
        <w:tc>
          <w:tcPr>
            <w:tcW w:w="650" w:type="dxa"/>
            <w:tcBorders>
              <w:bottom w:val="nil"/>
            </w:tcBorders>
          </w:tcPr>
          <w:p>
            <w:pPr>
              <w:pStyle w:val="TableParagraph"/>
              <w:spacing w:line="285" w:lineRule="exact"/>
              <w:rPr>
                <w:sz w:val="20"/>
              </w:rPr>
            </w:pPr>
            <w:r>
              <w:rPr>
                <w:sz w:val="20"/>
              </w:rPr>
              <w:t>推斷</w:t>
            </w:r>
          </w:p>
        </w:tc>
        <w:tc>
          <w:tcPr>
            <w:tcW w:w="950" w:type="dxa"/>
            <w:tcBorders>
              <w:bottom w:val="nil"/>
            </w:tcBorders>
          </w:tcPr>
          <w:p>
            <w:pPr>
              <w:pStyle w:val="TableParagraph"/>
              <w:ind w:left="105"/>
              <w:rPr>
                <w:rFonts w:ascii="Segoe UI"/>
                <w:sz w:val="20"/>
              </w:rPr>
            </w:pPr>
            <w:r>
              <w:rPr>
                <w:rFonts w:ascii="Segoe UI"/>
                <w:w w:val="100"/>
                <w:sz w:val="20"/>
              </w:rPr>
              <w:t>P</w:t>
            </w:r>
          </w:p>
        </w:tc>
        <w:tc>
          <w:tcPr>
            <w:tcW w:w="1942" w:type="dxa"/>
            <w:tcBorders>
              <w:bottom w:val="nil"/>
            </w:tcBorders>
          </w:tcPr>
          <w:p>
            <w:pPr>
              <w:pStyle w:val="TableParagraph"/>
              <w:spacing w:line="285" w:lineRule="exact"/>
              <w:ind w:left="104"/>
              <w:rPr>
                <w:sz w:val="20"/>
              </w:rPr>
            </w:pPr>
            <w:r>
              <w:rPr>
                <w:rFonts w:ascii="Segoe UI" w:eastAsia="Segoe UI"/>
                <w:sz w:val="20"/>
              </w:rPr>
              <w:t>1. </w:t>
            </w:r>
            <w:r>
              <w:rPr>
                <w:sz w:val="20"/>
              </w:rPr>
              <w:t>電焊機無負載電</w:t>
            </w:r>
          </w:p>
        </w:tc>
        <w:tc>
          <w:tcPr>
            <w:tcW w:w="1812" w:type="dxa"/>
            <w:tcBorders>
              <w:bottom w:val="nil"/>
            </w:tcBorders>
          </w:tcPr>
          <w:p>
            <w:pPr>
              <w:pStyle w:val="TableParagraph"/>
              <w:spacing w:line="285" w:lineRule="exact"/>
              <w:ind w:left="105"/>
              <w:rPr>
                <w:sz w:val="20"/>
              </w:rPr>
            </w:pPr>
            <w:r>
              <w:rPr>
                <w:rFonts w:ascii="Segoe UI" w:eastAsia="Segoe UI"/>
                <w:sz w:val="20"/>
              </w:rPr>
              <w:t>1. </w:t>
            </w:r>
            <w:r>
              <w:rPr>
                <w:sz w:val="20"/>
              </w:rPr>
              <w:t>電擊防止裝置</w:t>
            </w:r>
          </w:p>
        </w:tc>
      </w:tr>
      <w:tr>
        <w:trPr>
          <w:trHeight w:val="385" w:hRule="atLeast"/>
        </w:trPr>
        <w:tc>
          <w:tcPr>
            <w:tcW w:w="1288" w:type="dxa"/>
            <w:tcBorders>
              <w:top w:val="nil"/>
              <w:bottom w:val="nil"/>
            </w:tcBorders>
          </w:tcPr>
          <w:p>
            <w:pPr>
              <w:pStyle w:val="TableParagraph"/>
              <w:spacing w:line="318" w:lineRule="exact"/>
              <w:rPr>
                <w:sz w:val="20"/>
              </w:rPr>
            </w:pPr>
            <w:r>
              <w:rPr>
                <w:rFonts w:ascii="Segoe UI" w:eastAsia="Segoe UI"/>
                <w:sz w:val="20"/>
              </w:rPr>
              <w:t>11:30 </w:t>
            </w:r>
            <w:r>
              <w:rPr>
                <w:sz w:val="20"/>
              </w:rPr>
              <w:t>許</w:t>
            </w:r>
          </w:p>
        </w:tc>
        <w:tc>
          <w:tcPr>
            <w:tcW w:w="2708" w:type="dxa"/>
            <w:tcBorders>
              <w:top w:val="nil"/>
              <w:bottom w:val="nil"/>
            </w:tcBorders>
          </w:tcPr>
          <w:p>
            <w:pPr>
              <w:pStyle w:val="TableParagraph"/>
              <w:spacing w:line="337" w:lineRule="exact" w:before="29"/>
              <w:rPr>
                <w:sz w:val="20"/>
              </w:rPr>
            </w:pPr>
            <w:r>
              <w:rPr>
                <w:sz w:val="20"/>
              </w:rPr>
              <w:t>分，電流經由潮濕的身體及</w:t>
            </w:r>
          </w:p>
        </w:tc>
        <w:tc>
          <w:tcPr>
            <w:tcW w:w="650" w:type="dxa"/>
            <w:tcBorders>
              <w:top w:val="nil"/>
              <w:bottom w:val="nil"/>
            </w:tcBorders>
          </w:tcPr>
          <w:p>
            <w:pPr>
              <w:pStyle w:val="TableParagraph"/>
              <w:ind w:left="0"/>
              <w:rPr>
                <w:rFonts w:ascii="Times New Roman"/>
                <w:sz w:val="20"/>
              </w:rPr>
            </w:pPr>
          </w:p>
        </w:tc>
        <w:tc>
          <w:tcPr>
            <w:tcW w:w="950" w:type="dxa"/>
            <w:tcBorders>
              <w:top w:val="nil"/>
              <w:bottom w:val="nil"/>
            </w:tcBorders>
          </w:tcPr>
          <w:p>
            <w:pPr>
              <w:pStyle w:val="TableParagraph"/>
              <w:ind w:left="0"/>
              <w:rPr>
                <w:rFonts w:ascii="Times New Roman"/>
                <w:sz w:val="20"/>
              </w:rPr>
            </w:pPr>
          </w:p>
        </w:tc>
        <w:tc>
          <w:tcPr>
            <w:tcW w:w="1942" w:type="dxa"/>
            <w:tcBorders>
              <w:top w:val="nil"/>
              <w:bottom w:val="nil"/>
            </w:tcBorders>
          </w:tcPr>
          <w:p>
            <w:pPr>
              <w:pStyle w:val="TableParagraph"/>
              <w:spacing w:line="337" w:lineRule="exact" w:before="29"/>
              <w:ind w:left="105"/>
              <w:rPr>
                <w:sz w:val="20"/>
              </w:rPr>
            </w:pPr>
            <w:r>
              <w:rPr>
                <w:sz w:val="20"/>
              </w:rPr>
              <w:t>壓高達 </w:t>
            </w:r>
            <w:r>
              <w:rPr>
                <w:rFonts w:ascii="Segoe UI" w:eastAsia="Segoe UI"/>
                <w:sz w:val="20"/>
              </w:rPr>
              <w:t>80.9 </w:t>
            </w:r>
            <w:r>
              <w:rPr>
                <w:sz w:val="20"/>
              </w:rPr>
              <w:t>伏特。</w:t>
            </w:r>
          </w:p>
        </w:tc>
        <w:tc>
          <w:tcPr>
            <w:tcW w:w="1812" w:type="dxa"/>
            <w:tcBorders>
              <w:top w:val="nil"/>
              <w:bottom w:val="nil"/>
            </w:tcBorders>
          </w:tcPr>
          <w:p>
            <w:pPr>
              <w:pStyle w:val="TableParagraph"/>
              <w:spacing w:line="337" w:lineRule="exact" w:before="29"/>
              <w:ind w:left="105"/>
              <w:rPr>
                <w:sz w:val="20"/>
              </w:rPr>
            </w:pPr>
            <w:r>
              <w:rPr>
                <w:sz w:val="20"/>
              </w:rPr>
              <w:t>失效或未安裝。</w:t>
            </w:r>
          </w:p>
        </w:tc>
      </w:tr>
      <w:tr>
        <w:trPr>
          <w:trHeight w:val="346" w:hRule="atLeast"/>
        </w:trPr>
        <w:tc>
          <w:tcPr>
            <w:tcW w:w="1288" w:type="dxa"/>
            <w:tcBorders>
              <w:top w:val="nil"/>
              <w:bottom w:val="nil"/>
            </w:tcBorders>
          </w:tcPr>
          <w:p>
            <w:pPr>
              <w:pStyle w:val="TableParagraph"/>
              <w:ind w:left="0"/>
              <w:rPr>
                <w:rFonts w:ascii="Times New Roman"/>
                <w:sz w:val="20"/>
              </w:rPr>
            </w:pPr>
          </w:p>
        </w:tc>
        <w:tc>
          <w:tcPr>
            <w:tcW w:w="2708" w:type="dxa"/>
            <w:tcBorders>
              <w:top w:val="nil"/>
              <w:bottom w:val="nil"/>
            </w:tcBorders>
          </w:tcPr>
          <w:p>
            <w:pPr>
              <w:pStyle w:val="TableParagraph"/>
              <w:spacing w:line="326" w:lineRule="exact"/>
              <w:rPr>
                <w:sz w:val="20"/>
              </w:rPr>
            </w:pPr>
            <w:r>
              <w:rPr>
                <w:rFonts w:ascii="Segoe UI" w:eastAsia="Segoe UI"/>
                <w:sz w:val="20"/>
              </w:rPr>
              <w:t>H </w:t>
            </w:r>
            <w:r>
              <w:rPr>
                <w:sz w:val="20"/>
              </w:rPr>
              <w:t>型鋼形成迴路。</w:t>
            </w:r>
          </w:p>
        </w:tc>
        <w:tc>
          <w:tcPr>
            <w:tcW w:w="650" w:type="dxa"/>
            <w:tcBorders>
              <w:top w:val="nil"/>
              <w:bottom w:val="nil"/>
            </w:tcBorders>
          </w:tcPr>
          <w:p>
            <w:pPr>
              <w:pStyle w:val="TableParagraph"/>
              <w:ind w:left="0"/>
              <w:rPr>
                <w:rFonts w:ascii="Times New Roman"/>
                <w:sz w:val="20"/>
              </w:rPr>
            </w:pPr>
          </w:p>
        </w:tc>
        <w:tc>
          <w:tcPr>
            <w:tcW w:w="950" w:type="dxa"/>
            <w:tcBorders>
              <w:top w:val="nil"/>
              <w:bottom w:val="nil"/>
            </w:tcBorders>
          </w:tcPr>
          <w:p>
            <w:pPr>
              <w:pStyle w:val="TableParagraph"/>
              <w:ind w:left="0"/>
              <w:rPr>
                <w:rFonts w:ascii="Times New Roman"/>
                <w:sz w:val="20"/>
              </w:rPr>
            </w:pPr>
          </w:p>
        </w:tc>
        <w:tc>
          <w:tcPr>
            <w:tcW w:w="1942" w:type="dxa"/>
            <w:tcBorders>
              <w:top w:val="nil"/>
              <w:bottom w:val="nil"/>
            </w:tcBorders>
          </w:tcPr>
          <w:p>
            <w:pPr>
              <w:pStyle w:val="TableParagraph"/>
              <w:spacing w:line="326" w:lineRule="exact"/>
              <w:ind w:left="104"/>
              <w:rPr>
                <w:sz w:val="20"/>
              </w:rPr>
            </w:pPr>
            <w:r>
              <w:rPr>
                <w:rFonts w:ascii="Segoe UI" w:eastAsia="Segoe UI"/>
                <w:sz w:val="20"/>
              </w:rPr>
              <w:t>2. </w:t>
            </w:r>
            <w:r>
              <w:rPr>
                <w:sz w:val="20"/>
              </w:rPr>
              <w:t>未穿戴乾燥的絕</w:t>
            </w:r>
          </w:p>
        </w:tc>
        <w:tc>
          <w:tcPr>
            <w:tcW w:w="1812" w:type="dxa"/>
            <w:tcBorders>
              <w:top w:val="nil"/>
              <w:bottom w:val="nil"/>
            </w:tcBorders>
          </w:tcPr>
          <w:p>
            <w:pPr>
              <w:pStyle w:val="TableParagraph"/>
              <w:spacing w:line="326" w:lineRule="exact"/>
              <w:ind w:left="105"/>
              <w:rPr>
                <w:sz w:val="20"/>
              </w:rPr>
            </w:pPr>
            <w:r>
              <w:rPr>
                <w:rFonts w:ascii="Segoe UI" w:eastAsia="Segoe UI"/>
                <w:sz w:val="20"/>
              </w:rPr>
              <w:t>2. </w:t>
            </w:r>
            <w:r>
              <w:rPr>
                <w:sz w:val="20"/>
              </w:rPr>
              <w:t>缺乏對電焊作</w:t>
            </w:r>
          </w:p>
        </w:tc>
      </w:tr>
      <w:tr>
        <w:trPr>
          <w:trHeight w:val="345" w:hRule="atLeast"/>
        </w:trPr>
        <w:tc>
          <w:tcPr>
            <w:tcW w:w="1288" w:type="dxa"/>
            <w:tcBorders>
              <w:top w:val="nil"/>
              <w:bottom w:val="nil"/>
            </w:tcBorders>
          </w:tcPr>
          <w:p>
            <w:pPr>
              <w:pStyle w:val="TableParagraph"/>
              <w:ind w:left="0"/>
              <w:rPr>
                <w:rFonts w:ascii="Times New Roman"/>
                <w:sz w:val="20"/>
              </w:rPr>
            </w:pPr>
          </w:p>
        </w:tc>
        <w:tc>
          <w:tcPr>
            <w:tcW w:w="2708" w:type="dxa"/>
            <w:tcBorders>
              <w:top w:val="nil"/>
              <w:bottom w:val="nil"/>
            </w:tcBorders>
          </w:tcPr>
          <w:p>
            <w:pPr>
              <w:pStyle w:val="TableParagraph"/>
              <w:ind w:left="0"/>
              <w:rPr>
                <w:rFonts w:ascii="Times New Roman"/>
                <w:sz w:val="20"/>
              </w:rPr>
            </w:pPr>
          </w:p>
        </w:tc>
        <w:tc>
          <w:tcPr>
            <w:tcW w:w="650" w:type="dxa"/>
            <w:tcBorders>
              <w:top w:val="nil"/>
              <w:bottom w:val="nil"/>
            </w:tcBorders>
          </w:tcPr>
          <w:p>
            <w:pPr>
              <w:pStyle w:val="TableParagraph"/>
              <w:ind w:left="0"/>
              <w:rPr>
                <w:rFonts w:ascii="Times New Roman"/>
                <w:sz w:val="20"/>
              </w:rPr>
            </w:pPr>
          </w:p>
        </w:tc>
        <w:tc>
          <w:tcPr>
            <w:tcW w:w="950" w:type="dxa"/>
            <w:tcBorders>
              <w:top w:val="nil"/>
              <w:bottom w:val="nil"/>
            </w:tcBorders>
          </w:tcPr>
          <w:p>
            <w:pPr>
              <w:pStyle w:val="TableParagraph"/>
              <w:ind w:left="0"/>
              <w:rPr>
                <w:rFonts w:ascii="Times New Roman"/>
                <w:sz w:val="20"/>
              </w:rPr>
            </w:pPr>
          </w:p>
        </w:tc>
        <w:tc>
          <w:tcPr>
            <w:tcW w:w="1942" w:type="dxa"/>
            <w:tcBorders>
              <w:top w:val="nil"/>
              <w:bottom w:val="nil"/>
            </w:tcBorders>
          </w:tcPr>
          <w:p>
            <w:pPr>
              <w:pStyle w:val="TableParagraph"/>
              <w:spacing w:line="326" w:lineRule="exact"/>
              <w:ind w:left="105"/>
              <w:rPr>
                <w:rFonts w:ascii="Segoe UI" w:eastAsia="Segoe UI"/>
                <w:sz w:val="20"/>
              </w:rPr>
            </w:pPr>
            <w:r>
              <w:rPr>
                <w:sz w:val="20"/>
              </w:rPr>
              <w:t>緣手套。</w:t>
            </w:r>
            <w:r>
              <w:rPr>
                <w:rFonts w:ascii="Segoe UI" w:eastAsia="Segoe UI"/>
                <w:sz w:val="20"/>
              </w:rPr>
              <w:t>(</w:t>
            </w:r>
            <w:r>
              <w:rPr>
                <w:sz w:val="20"/>
              </w:rPr>
              <w:t>假設</w:t>
            </w:r>
            <w:r>
              <w:rPr>
                <w:rFonts w:ascii="Segoe UI" w:eastAsia="Segoe UI"/>
                <w:sz w:val="20"/>
              </w:rPr>
              <w:t>)</w:t>
            </w:r>
          </w:p>
        </w:tc>
        <w:tc>
          <w:tcPr>
            <w:tcW w:w="1812" w:type="dxa"/>
            <w:tcBorders>
              <w:top w:val="nil"/>
              <w:bottom w:val="nil"/>
            </w:tcBorders>
          </w:tcPr>
          <w:p>
            <w:pPr>
              <w:pStyle w:val="TableParagraph"/>
              <w:spacing w:line="326" w:lineRule="exact"/>
              <w:ind w:left="105"/>
              <w:rPr>
                <w:sz w:val="20"/>
              </w:rPr>
            </w:pPr>
            <w:r>
              <w:rPr>
                <w:sz w:val="20"/>
              </w:rPr>
              <w:t>業感電危害的認</w:t>
            </w:r>
          </w:p>
        </w:tc>
      </w:tr>
      <w:tr>
        <w:trPr>
          <w:trHeight w:val="346" w:hRule="atLeast"/>
        </w:trPr>
        <w:tc>
          <w:tcPr>
            <w:tcW w:w="1288" w:type="dxa"/>
            <w:tcBorders>
              <w:top w:val="nil"/>
            </w:tcBorders>
          </w:tcPr>
          <w:p>
            <w:pPr>
              <w:pStyle w:val="TableParagraph"/>
              <w:ind w:left="0"/>
              <w:rPr>
                <w:rFonts w:ascii="Times New Roman"/>
                <w:sz w:val="20"/>
              </w:rPr>
            </w:pPr>
          </w:p>
        </w:tc>
        <w:tc>
          <w:tcPr>
            <w:tcW w:w="2708" w:type="dxa"/>
            <w:tcBorders>
              <w:top w:val="nil"/>
            </w:tcBorders>
          </w:tcPr>
          <w:p>
            <w:pPr>
              <w:pStyle w:val="TableParagraph"/>
              <w:ind w:left="0"/>
              <w:rPr>
                <w:rFonts w:ascii="Times New Roman"/>
                <w:sz w:val="20"/>
              </w:rPr>
            </w:pPr>
          </w:p>
        </w:tc>
        <w:tc>
          <w:tcPr>
            <w:tcW w:w="650" w:type="dxa"/>
            <w:tcBorders>
              <w:top w:val="nil"/>
            </w:tcBorders>
          </w:tcPr>
          <w:p>
            <w:pPr>
              <w:pStyle w:val="TableParagraph"/>
              <w:ind w:left="0"/>
              <w:rPr>
                <w:rFonts w:ascii="Times New Roman"/>
                <w:sz w:val="20"/>
              </w:rPr>
            </w:pPr>
          </w:p>
        </w:tc>
        <w:tc>
          <w:tcPr>
            <w:tcW w:w="950" w:type="dxa"/>
            <w:tcBorders>
              <w:top w:val="nil"/>
            </w:tcBorders>
          </w:tcPr>
          <w:p>
            <w:pPr>
              <w:pStyle w:val="TableParagraph"/>
              <w:ind w:left="0"/>
              <w:rPr>
                <w:rFonts w:ascii="Times New Roman"/>
                <w:sz w:val="20"/>
              </w:rPr>
            </w:pPr>
          </w:p>
        </w:tc>
        <w:tc>
          <w:tcPr>
            <w:tcW w:w="1942" w:type="dxa"/>
            <w:tcBorders>
              <w:top w:val="nil"/>
            </w:tcBorders>
          </w:tcPr>
          <w:p>
            <w:pPr>
              <w:pStyle w:val="TableParagraph"/>
              <w:ind w:left="0"/>
              <w:rPr>
                <w:rFonts w:ascii="Times New Roman"/>
                <w:sz w:val="20"/>
              </w:rPr>
            </w:pPr>
          </w:p>
        </w:tc>
        <w:tc>
          <w:tcPr>
            <w:tcW w:w="1812" w:type="dxa"/>
            <w:tcBorders>
              <w:top w:val="nil"/>
            </w:tcBorders>
          </w:tcPr>
          <w:p>
            <w:pPr>
              <w:pStyle w:val="TableParagraph"/>
              <w:spacing w:line="326" w:lineRule="exact"/>
              <w:ind w:left="105"/>
              <w:rPr>
                <w:rFonts w:ascii="Segoe UI" w:eastAsia="Segoe UI"/>
                <w:sz w:val="20"/>
              </w:rPr>
            </w:pPr>
            <w:r>
              <w:rPr>
                <w:sz w:val="20"/>
              </w:rPr>
              <w:t>知。</w:t>
            </w:r>
            <w:r>
              <w:rPr>
                <w:rFonts w:ascii="Segoe UI" w:eastAsia="Segoe UI"/>
                <w:sz w:val="20"/>
              </w:rPr>
              <w:t>(</w:t>
            </w:r>
            <w:r>
              <w:rPr>
                <w:sz w:val="20"/>
              </w:rPr>
              <w:t>假設</w:t>
            </w:r>
            <w:r>
              <w:rPr>
                <w:rFonts w:ascii="Segoe UI" w:eastAsia="Segoe UI"/>
                <w:sz w:val="20"/>
              </w:rPr>
              <w:t>)</w:t>
            </w:r>
          </w:p>
        </w:tc>
      </w:tr>
      <w:tr>
        <w:trPr>
          <w:trHeight w:val="300" w:hRule="atLeast"/>
        </w:trPr>
        <w:tc>
          <w:tcPr>
            <w:tcW w:w="1288" w:type="dxa"/>
            <w:tcBorders>
              <w:bottom w:val="nil"/>
            </w:tcBorders>
          </w:tcPr>
          <w:p>
            <w:pPr>
              <w:pStyle w:val="TableParagraph"/>
              <w:rPr>
                <w:rFonts w:ascii="Segoe UI"/>
                <w:sz w:val="20"/>
              </w:rPr>
            </w:pPr>
            <w:r>
              <w:rPr>
                <w:rFonts w:ascii="Segoe UI"/>
                <w:sz w:val="20"/>
              </w:rPr>
              <w:t>113/7/12</w:t>
            </w:r>
          </w:p>
        </w:tc>
        <w:tc>
          <w:tcPr>
            <w:tcW w:w="2708" w:type="dxa"/>
            <w:tcBorders>
              <w:bottom w:val="nil"/>
            </w:tcBorders>
          </w:tcPr>
          <w:p>
            <w:pPr>
              <w:pStyle w:val="TableParagraph"/>
              <w:spacing w:line="281" w:lineRule="exact"/>
              <w:rPr>
                <w:rFonts w:ascii="Segoe UI" w:eastAsia="Segoe UI"/>
                <w:sz w:val="20"/>
              </w:rPr>
            </w:pPr>
            <w:r>
              <w:rPr>
                <w:sz w:val="20"/>
              </w:rPr>
              <w:t>何員大喊一聲後，仰躺於</w:t>
            </w:r>
            <w:r>
              <w:rPr>
                <w:rFonts w:ascii="Segoe UI" w:eastAsia="Segoe UI"/>
                <w:sz w:val="20"/>
              </w:rPr>
              <w:t>H</w:t>
            </w:r>
          </w:p>
        </w:tc>
        <w:tc>
          <w:tcPr>
            <w:tcW w:w="650" w:type="dxa"/>
            <w:tcBorders>
              <w:bottom w:val="nil"/>
            </w:tcBorders>
          </w:tcPr>
          <w:p>
            <w:pPr>
              <w:pStyle w:val="TableParagraph"/>
              <w:spacing w:line="281" w:lineRule="exact"/>
              <w:rPr>
                <w:sz w:val="20"/>
              </w:rPr>
            </w:pPr>
            <w:r>
              <w:rPr>
                <w:sz w:val="20"/>
              </w:rPr>
              <w:t>事實</w:t>
            </w:r>
          </w:p>
        </w:tc>
        <w:tc>
          <w:tcPr>
            <w:tcW w:w="950" w:type="dxa"/>
            <w:tcBorders>
              <w:bottom w:val="nil"/>
            </w:tcBorders>
          </w:tcPr>
          <w:p>
            <w:pPr>
              <w:pStyle w:val="TableParagraph"/>
              <w:ind w:left="105"/>
              <w:rPr>
                <w:rFonts w:ascii="Segoe UI"/>
                <w:sz w:val="20"/>
              </w:rPr>
            </w:pPr>
            <w:r>
              <w:rPr>
                <w:rFonts w:ascii="Segoe UI"/>
                <w:w w:val="100"/>
                <w:sz w:val="20"/>
              </w:rPr>
              <w:t>P</w:t>
            </w:r>
          </w:p>
        </w:tc>
        <w:tc>
          <w:tcPr>
            <w:tcW w:w="1942" w:type="dxa"/>
            <w:tcBorders>
              <w:bottom w:val="nil"/>
            </w:tcBorders>
          </w:tcPr>
          <w:p>
            <w:pPr>
              <w:pStyle w:val="TableParagraph"/>
              <w:spacing w:line="281" w:lineRule="exact"/>
              <w:ind w:left="104"/>
              <w:rPr>
                <w:sz w:val="20"/>
              </w:rPr>
            </w:pPr>
            <w:r>
              <w:rPr>
                <w:sz w:val="20"/>
              </w:rPr>
              <w:t>發生嚴重電擊。</w:t>
            </w:r>
          </w:p>
        </w:tc>
        <w:tc>
          <w:tcPr>
            <w:tcW w:w="1812" w:type="dxa"/>
            <w:vMerge w:val="restart"/>
          </w:tcPr>
          <w:p>
            <w:pPr>
              <w:pStyle w:val="TableParagraph"/>
              <w:ind w:left="0"/>
              <w:rPr>
                <w:rFonts w:ascii="Times New Roman"/>
                <w:sz w:val="20"/>
              </w:rPr>
            </w:pPr>
          </w:p>
        </w:tc>
      </w:tr>
      <w:tr>
        <w:trPr>
          <w:trHeight w:val="381" w:hRule="atLeast"/>
        </w:trPr>
        <w:tc>
          <w:tcPr>
            <w:tcW w:w="1288" w:type="dxa"/>
            <w:tcBorders>
              <w:top w:val="nil"/>
            </w:tcBorders>
          </w:tcPr>
          <w:p>
            <w:pPr>
              <w:pStyle w:val="TableParagraph"/>
              <w:spacing w:line="312" w:lineRule="exact"/>
              <w:rPr>
                <w:sz w:val="20"/>
              </w:rPr>
            </w:pPr>
            <w:r>
              <w:rPr>
                <w:rFonts w:ascii="Segoe UI" w:eastAsia="Segoe UI"/>
                <w:sz w:val="20"/>
              </w:rPr>
              <w:t>11:30 </w:t>
            </w:r>
            <w:r>
              <w:rPr>
                <w:sz w:val="20"/>
              </w:rPr>
              <w:t>許</w:t>
            </w:r>
          </w:p>
        </w:tc>
        <w:tc>
          <w:tcPr>
            <w:tcW w:w="2708" w:type="dxa"/>
            <w:tcBorders>
              <w:top w:val="nil"/>
            </w:tcBorders>
          </w:tcPr>
          <w:p>
            <w:pPr>
              <w:pStyle w:val="TableParagraph"/>
              <w:spacing w:line="337" w:lineRule="exact" w:before="24"/>
              <w:rPr>
                <w:sz w:val="20"/>
              </w:rPr>
            </w:pPr>
            <w:r>
              <w:rPr>
                <w:sz w:val="20"/>
              </w:rPr>
              <w:t>型鋼上。</w:t>
            </w:r>
          </w:p>
        </w:tc>
        <w:tc>
          <w:tcPr>
            <w:tcW w:w="650" w:type="dxa"/>
            <w:tcBorders>
              <w:top w:val="nil"/>
            </w:tcBorders>
          </w:tcPr>
          <w:p>
            <w:pPr>
              <w:pStyle w:val="TableParagraph"/>
              <w:ind w:left="0"/>
              <w:rPr>
                <w:rFonts w:ascii="Times New Roman"/>
                <w:sz w:val="20"/>
              </w:rPr>
            </w:pPr>
          </w:p>
        </w:tc>
        <w:tc>
          <w:tcPr>
            <w:tcW w:w="950" w:type="dxa"/>
            <w:tcBorders>
              <w:top w:val="nil"/>
            </w:tcBorders>
          </w:tcPr>
          <w:p>
            <w:pPr>
              <w:pStyle w:val="TableParagraph"/>
              <w:ind w:left="0"/>
              <w:rPr>
                <w:rFonts w:ascii="Times New Roman"/>
                <w:sz w:val="20"/>
              </w:rPr>
            </w:pPr>
          </w:p>
        </w:tc>
        <w:tc>
          <w:tcPr>
            <w:tcW w:w="1942" w:type="dxa"/>
            <w:tcBorders>
              <w:top w:val="nil"/>
            </w:tcBorders>
          </w:tcPr>
          <w:p>
            <w:pPr>
              <w:pStyle w:val="TableParagraph"/>
              <w:ind w:left="0"/>
              <w:rPr>
                <w:rFonts w:ascii="Times New Roman"/>
                <w:sz w:val="20"/>
              </w:rPr>
            </w:pPr>
          </w:p>
        </w:tc>
        <w:tc>
          <w:tcPr>
            <w:tcW w:w="1812" w:type="dxa"/>
            <w:vMerge/>
            <w:tcBorders>
              <w:top w:val="nil"/>
            </w:tcBorders>
          </w:tcPr>
          <w:p>
            <w:pPr>
              <w:rPr>
                <w:sz w:val="2"/>
                <w:szCs w:val="2"/>
              </w:rPr>
            </w:pPr>
          </w:p>
        </w:tc>
      </w:tr>
      <w:tr>
        <w:trPr>
          <w:trHeight w:val="305" w:hRule="atLeast"/>
        </w:trPr>
        <w:tc>
          <w:tcPr>
            <w:tcW w:w="1288" w:type="dxa"/>
            <w:tcBorders>
              <w:bottom w:val="nil"/>
            </w:tcBorders>
          </w:tcPr>
          <w:p>
            <w:pPr>
              <w:pStyle w:val="TableParagraph"/>
              <w:rPr>
                <w:rFonts w:ascii="Segoe UI"/>
                <w:sz w:val="20"/>
              </w:rPr>
            </w:pPr>
            <w:r>
              <w:rPr>
                <w:rFonts w:ascii="Segoe UI"/>
                <w:sz w:val="20"/>
              </w:rPr>
              <w:t>113/7/12</w:t>
            </w:r>
          </w:p>
        </w:tc>
        <w:tc>
          <w:tcPr>
            <w:tcW w:w="2708" w:type="dxa"/>
            <w:tcBorders>
              <w:bottom w:val="nil"/>
            </w:tcBorders>
          </w:tcPr>
          <w:p>
            <w:pPr>
              <w:pStyle w:val="TableParagraph"/>
              <w:spacing w:line="285" w:lineRule="exact"/>
              <w:rPr>
                <w:sz w:val="20"/>
              </w:rPr>
            </w:pPr>
            <w:r>
              <w:rPr>
                <w:sz w:val="20"/>
              </w:rPr>
              <w:t>同事見狀，立即將電焊機電</w:t>
            </w:r>
          </w:p>
        </w:tc>
        <w:tc>
          <w:tcPr>
            <w:tcW w:w="650" w:type="dxa"/>
            <w:tcBorders>
              <w:bottom w:val="nil"/>
            </w:tcBorders>
          </w:tcPr>
          <w:p>
            <w:pPr>
              <w:pStyle w:val="TableParagraph"/>
              <w:spacing w:line="285" w:lineRule="exact"/>
              <w:rPr>
                <w:sz w:val="20"/>
              </w:rPr>
            </w:pPr>
            <w:r>
              <w:rPr>
                <w:sz w:val="20"/>
              </w:rPr>
              <w:t>事實</w:t>
            </w:r>
          </w:p>
        </w:tc>
        <w:tc>
          <w:tcPr>
            <w:tcW w:w="950" w:type="dxa"/>
            <w:tcBorders>
              <w:bottom w:val="nil"/>
            </w:tcBorders>
          </w:tcPr>
          <w:p>
            <w:pPr>
              <w:pStyle w:val="TableParagraph"/>
              <w:ind w:left="105"/>
              <w:rPr>
                <w:rFonts w:ascii="Segoe UI"/>
                <w:sz w:val="20"/>
              </w:rPr>
            </w:pPr>
            <w:r>
              <w:rPr>
                <w:rFonts w:ascii="Segoe UI"/>
                <w:w w:val="100"/>
                <w:sz w:val="20"/>
              </w:rPr>
              <w:t>S</w:t>
            </w:r>
          </w:p>
        </w:tc>
        <w:tc>
          <w:tcPr>
            <w:tcW w:w="1942" w:type="dxa"/>
            <w:tcBorders>
              <w:bottom w:val="nil"/>
            </w:tcBorders>
          </w:tcPr>
          <w:p>
            <w:pPr>
              <w:pStyle w:val="TableParagraph"/>
              <w:spacing w:line="285" w:lineRule="exact"/>
              <w:ind w:left="104"/>
              <w:rPr>
                <w:sz w:val="20"/>
              </w:rPr>
            </w:pPr>
            <w:r>
              <w:rPr>
                <w:sz w:val="20"/>
              </w:rPr>
              <w:t>啟動緊急應變。</w:t>
            </w:r>
          </w:p>
        </w:tc>
        <w:tc>
          <w:tcPr>
            <w:tcW w:w="1812" w:type="dxa"/>
            <w:tcBorders>
              <w:bottom w:val="nil"/>
            </w:tcBorders>
          </w:tcPr>
          <w:p>
            <w:pPr>
              <w:pStyle w:val="TableParagraph"/>
              <w:spacing w:line="285" w:lineRule="exact"/>
              <w:ind w:left="105"/>
              <w:rPr>
                <w:sz w:val="20"/>
              </w:rPr>
            </w:pPr>
            <w:r>
              <w:rPr>
                <w:sz w:val="20"/>
              </w:rPr>
              <w:t>現場人員具備基</w:t>
            </w:r>
          </w:p>
        </w:tc>
      </w:tr>
      <w:tr>
        <w:trPr>
          <w:trHeight w:val="386" w:hRule="atLeast"/>
        </w:trPr>
        <w:tc>
          <w:tcPr>
            <w:tcW w:w="1288" w:type="dxa"/>
            <w:tcBorders>
              <w:top w:val="nil"/>
            </w:tcBorders>
          </w:tcPr>
          <w:p>
            <w:pPr>
              <w:pStyle w:val="TableParagraph"/>
              <w:spacing w:line="317" w:lineRule="exact"/>
              <w:rPr>
                <w:sz w:val="20"/>
              </w:rPr>
            </w:pPr>
            <w:r>
              <w:rPr>
                <w:rFonts w:ascii="Segoe UI" w:eastAsia="Segoe UI"/>
                <w:sz w:val="20"/>
              </w:rPr>
              <w:t>11:30 </w:t>
            </w:r>
            <w:r>
              <w:rPr>
                <w:sz w:val="20"/>
              </w:rPr>
              <w:t>後</w:t>
            </w:r>
          </w:p>
        </w:tc>
        <w:tc>
          <w:tcPr>
            <w:tcW w:w="2708" w:type="dxa"/>
            <w:tcBorders>
              <w:top w:val="nil"/>
            </w:tcBorders>
          </w:tcPr>
          <w:p>
            <w:pPr>
              <w:pStyle w:val="TableParagraph"/>
              <w:spacing w:line="337" w:lineRule="exact" w:before="30"/>
              <w:rPr>
                <w:sz w:val="20"/>
              </w:rPr>
            </w:pPr>
            <w:r>
              <w:rPr>
                <w:sz w:val="20"/>
              </w:rPr>
              <w:t>源關閉並通報 </w:t>
            </w:r>
            <w:r>
              <w:rPr>
                <w:rFonts w:ascii="Segoe UI" w:eastAsia="Segoe UI"/>
                <w:sz w:val="20"/>
              </w:rPr>
              <w:t>119</w:t>
            </w:r>
            <w:r>
              <w:rPr>
                <w:sz w:val="20"/>
              </w:rPr>
              <w:t>。</w:t>
            </w:r>
          </w:p>
        </w:tc>
        <w:tc>
          <w:tcPr>
            <w:tcW w:w="650" w:type="dxa"/>
            <w:tcBorders>
              <w:top w:val="nil"/>
            </w:tcBorders>
          </w:tcPr>
          <w:p>
            <w:pPr>
              <w:pStyle w:val="TableParagraph"/>
              <w:ind w:left="0"/>
              <w:rPr>
                <w:rFonts w:ascii="Times New Roman"/>
                <w:sz w:val="20"/>
              </w:rPr>
            </w:pPr>
          </w:p>
        </w:tc>
        <w:tc>
          <w:tcPr>
            <w:tcW w:w="950" w:type="dxa"/>
            <w:tcBorders>
              <w:top w:val="nil"/>
            </w:tcBorders>
          </w:tcPr>
          <w:p>
            <w:pPr>
              <w:pStyle w:val="TableParagraph"/>
              <w:ind w:left="0"/>
              <w:rPr>
                <w:rFonts w:ascii="Times New Roman"/>
                <w:sz w:val="20"/>
              </w:rPr>
            </w:pPr>
          </w:p>
        </w:tc>
        <w:tc>
          <w:tcPr>
            <w:tcW w:w="1942" w:type="dxa"/>
            <w:tcBorders>
              <w:top w:val="nil"/>
            </w:tcBorders>
          </w:tcPr>
          <w:p>
            <w:pPr>
              <w:pStyle w:val="TableParagraph"/>
              <w:ind w:left="0"/>
              <w:rPr>
                <w:rFonts w:ascii="Times New Roman"/>
                <w:sz w:val="20"/>
              </w:rPr>
            </w:pPr>
          </w:p>
        </w:tc>
        <w:tc>
          <w:tcPr>
            <w:tcW w:w="1812" w:type="dxa"/>
            <w:tcBorders>
              <w:top w:val="nil"/>
            </w:tcBorders>
          </w:tcPr>
          <w:p>
            <w:pPr>
              <w:pStyle w:val="TableParagraph"/>
              <w:spacing w:line="337" w:lineRule="exact" w:before="29"/>
              <w:ind w:left="105"/>
              <w:rPr>
                <w:sz w:val="20"/>
              </w:rPr>
            </w:pPr>
            <w:r>
              <w:rPr>
                <w:sz w:val="20"/>
              </w:rPr>
              <w:t>本的應變能力。</w:t>
            </w:r>
          </w:p>
        </w:tc>
      </w:tr>
      <w:tr>
        <w:trPr>
          <w:trHeight w:val="692" w:hRule="atLeast"/>
        </w:trPr>
        <w:tc>
          <w:tcPr>
            <w:tcW w:w="1288" w:type="dxa"/>
          </w:tcPr>
          <w:p>
            <w:pPr>
              <w:pStyle w:val="TableParagraph"/>
              <w:rPr>
                <w:rFonts w:ascii="Segoe UI"/>
                <w:sz w:val="20"/>
              </w:rPr>
            </w:pPr>
            <w:r>
              <w:rPr>
                <w:rFonts w:ascii="Segoe UI"/>
                <w:sz w:val="20"/>
              </w:rPr>
              <w:t>113/7/12</w:t>
            </w:r>
          </w:p>
          <w:p>
            <w:pPr>
              <w:pStyle w:val="TableParagraph"/>
              <w:rPr>
                <w:rFonts w:ascii="Segoe UI"/>
                <w:sz w:val="20"/>
              </w:rPr>
            </w:pPr>
            <w:r>
              <w:rPr>
                <w:rFonts w:ascii="Segoe UI"/>
                <w:sz w:val="20"/>
              </w:rPr>
              <w:t>12:50</w:t>
            </w:r>
          </w:p>
        </w:tc>
        <w:tc>
          <w:tcPr>
            <w:tcW w:w="2708" w:type="dxa"/>
          </w:tcPr>
          <w:p>
            <w:pPr>
              <w:pStyle w:val="TableParagraph"/>
              <w:spacing w:line="346" w:lineRule="exact"/>
              <w:rPr>
                <w:sz w:val="20"/>
              </w:rPr>
            </w:pPr>
            <w:r>
              <w:rPr>
                <w:sz w:val="20"/>
              </w:rPr>
              <w:t>何員經送醫急救後，宣告不</w:t>
            </w:r>
          </w:p>
          <w:p>
            <w:pPr>
              <w:pStyle w:val="TableParagraph"/>
              <w:spacing w:line="326" w:lineRule="exact"/>
              <w:rPr>
                <w:sz w:val="20"/>
              </w:rPr>
            </w:pPr>
            <w:r>
              <w:rPr>
                <w:sz w:val="20"/>
              </w:rPr>
              <w:t>治死亡。</w:t>
            </w:r>
          </w:p>
        </w:tc>
        <w:tc>
          <w:tcPr>
            <w:tcW w:w="650" w:type="dxa"/>
          </w:tcPr>
          <w:p>
            <w:pPr>
              <w:pStyle w:val="TableParagraph"/>
              <w:spacing w:line="356" w:lineRule="exact"/>
              <w:rPr>
                <w:sz w:val="20"/>
              </w:rPr>
            </w:pPr>
            <w:r>
              <w:rPr>
                <w:sz w:val="20"/>
              </w:rPr>
              <w:t>事實</w:t>
            </w:r>
          </w:p>
        </w:tc>
        <w:tc>
          <w:tcPr>
            <w:tcW w:w="950" w:type="dxa"/>
          </w:tcPr>
          <w:p>
            <w:pPr>
              <w:pStyle w:val="TableParagraph"/>
              <w:ind w:left="105"/>
              <w:rPr>
                <w:rFonts w:ascii="Segoe UI"/>
                <w:sz w:val="20"/>
              </w:rPr>
            </w:pPr>
            <w:r>
              <w:rPr>
                <w:rFonts w:ascii="Segoe UI"/>
                <w:w w:val="100"/>
                <w:sz w:val="20"/>
              </w:rPr>
              <w:t>P</w:t>
            </w:r>
          </w:p>
        </w:tc>
        <w:tc>
          <w:tcPr>
            <w:tcW w:w="1942" w:type="dxa"/>
          </w:tcPr>
          <w:p>
            <w:pPr>
              <w:pStyle w:val="TableParagraph"/>
              <w:spacing w:line="346" w:lineRule="exact"/>
              <w:ind w:left="104"/>
              <w:rPr>
                <w:sz w:val="20"/>
              </w:rPr>
            </w:pPr>
            <w:r>
              <w:rPr>
                <w:sz w:val="20"/>
              </w:rPr>
              <w:t>感電傷害過於嚴</w:t>
            </w:r>
          </w:p>
          <w:p>
            <w:pPr>
              <w:pStyle w:val="TableParagraph"/>
              <w:spacing w:line="326" w:lineRule="exact"/>
              <w:ind w:left="104"/>
              <w:rPr>
                <w:sz w:val="20"/>
              </w:rPr>
            </w:pPr>
            <w:r>
              <w:rPr>
                <w:sz w:val="20"/>
              </w:rPr>
              <w:t>重。</w:t>
            </w:r>
          </w:p>
        </w:tc>
        <w:tc>
          <w:tcPr>
            <w:tcW w:w="1812" w:type="dxa"/>
          </w:tcPr>
          <w:p>
            <w:pPr>
              <w:pStyle w:val="TableParagraph"/>
              <w:ind w:left="0"/>
              <w:rPr>
                <w:rFonts w:ascii="Times New Roman"/>
                <w:sz w:val="20"/>
              </w:rPr>
            </w:pPr>
          </w:p>
        </w:tc>
      </w:tr>
    </w:tbl>
    <w:p>
      <w:pPr>
        <w:pStyle w:val="BodyText"/>
        <w:spacing w:before="8"/>
        <w:rPr>
          <w:sz w:val="22"/>
        </w:rPr>
      </w:pPr>
      <w:r>
        <w:rPr/>
        <w:pict>
          <v:group style="position:absolute;margin-left:63.779999pt;margin-top:22.620001pt;width:467.85pt;height:1.55pt;mso-position-horizontal-relative:page;mso-position-vertical-relative:paragraph;z-index:-976;mso-wrap-distance-left:0;mso-wrap-distance-right:0" coordorigin="1276,452" coordsize="9357,31">
            <v:line style="position:absolute" from="1276,468" to="10632,468" stroked="true" strokeweight="1.5pt" strokecolor="#9f9f9f">
              <v:stroke dashstyle="solid"/>
            </v:line>
            <v:rect style="position:absolute;left:1275;top:452;width:5;height:5" filled="true" fillcolor="#9f9f9f" stroked="false">
              <v:fill type="solid"/>
            </v:rect>
            <v:rect style="position:absolute;left:1275;top:452;width:5;height:5" filled="true" fillcolor="#9f9f9f" stroked="false">
              <v:fill type="solid"/>
            </v:rect>
            <v:line style="position:absolute" from="1280,455" to="10627,455" stroked="true" strokeweight=".24pt" strokecolor="#9f9f9f">
              <v:stroke dashstyle="solid"/>
            </v:line>
            <v:rect style="position:absolute;left:10627;top:452;width:5;height:5" filled="true" fillcolor="#e2e2e2" stroked="false">
              <v:fill type="solid"/>
            </v:rect>
            <v:rect style="position:absolute;left:10627;top:452;width:5;height:5" filled="true" fillcolor="#9f9f9f" stroked="false">
              <v:fill type="solid"/>
            </v:rect>
            <v:rect style="position:absolute;left:1275;top:457;width:5;height:21" filled="true" fillcolor="#9f9f9f" stroked="false">
              <v:fill type="solid"/>
            </v:rect>
            <v:rect style="position:absolute;left:10627;top:457;width:5;height:21" filled="true" fillcolor="#e2e2e2" stroked="false">
              <v:fill type="solid"/>
            </v:rect>
            <v:rect style="position:absolute;left:1275;top:477;width:5;height:5" filled="true" fillcolor="#9f9f9f" stroked="false">
              <v:fill type="solid"/>
            </v:rect>
            <v:rect style="position:absolute;left:1275;top:477;width:5;height:5" filled="true" fillcolor="#e2e2e2" stroked="false">
              <v:fill type="solid"/>
            </v:rect>
            <v:line style="position:absolute" from="1280,480" to="10627,480" stroked="true" strokeweight=".24pt" strokecolor="#e2e2e2">
              <v:stroke dashstyle="solid"/>
            </v:line>
            <v:rect style="position:absolute;left:10627;top:477;width:5;height:5" filled="true" fillcolor="#e2e2e2" stroked="false">
              <v:fill type="solid"/>
            </v:rect>
            <v:rect style="position:absolute;left:10627;top:477;width:5;height:5" filled="true" fillcolor="#e2e2e2" stroked="false">
              <v:fill type="solid"/>
            </v:rect>
            <w10:wrap type="topAndBottom"/>
          </v:group>
        </w:pict>
      </w:r>
    </w:p>
    <w:p>
      <w:pPr>
        <w:pStyle w:val="Heading1"/>
        <w:spacing w:line="428" w:lineRule="exact" w:before="7"/>
        <w:rPr>
          <w:rFonts w:ascii="Calibri" w:eastAsia="Calibri"/>
        </w:rPr>
      </w:pPr>
      <w:r>
        <w:rPr/>
        <w:t>三</w:t>
      </w:r>
      <w:r>
        <w:rPr>
          <w:rFonts w:ascii="Calibri" w:eastAsia="Calibri"/>
        </w:rPr>
        <w:t>. </w:t>
      </w:r>
      <w:r>
        <w:rPr/>
        <w:t>為何樹分析  </w:t>
      </w:r>
      <w:r>
        <w:rPr>
          <w:rFonts w:ascii="Calibri" w:eastAsia="Calibri"/>
        </w:rPr>
        <w:t>(Why Tree)</w:t>
      </w:r>
    </w:p>
    <w:p>
      <w:pPr>
        <w:pStyle w:val="BodyText"/>
        <w:spacing w:line="428" w:lineRule="exact"/>
        <w:ind w:left="115"/>
      </w:pPr>
      <w:r>
        <w:rPr/>
        <w:t>本分析從最終的傷害事件開始，透過不斷追問「為什麼」來探究事件的根本原因。</w:t>
      </w:r>
    </w:p>
    <w:p>
      <w:pPr>
        <w:spacing w:after="0" w:line="428" w:lineRule="exact"/>
        <w:sectPr>
          <w:pgSz w:w="11910" w:h="16840"/>
          <w:pgMar w:top="1420" w:bottom="280" w:left="1160" w:right="1160"/>
        </w:sectPr>
      </w:pPr>
    </w:p>
    <w:p>
      <w:pPr>
        <w:pStyle w:val="BodyText"/>
        <w:spacing w:before="16"/>
        <w:rPr>
          <w:sz w:val="9"/>
        </w:rPr>
      </w:pPr>
    </w:p>
    <w:p>
      <w:pPr>
        <w:pStyle w:val="BodyText"/>
        <w:ind w:left="1490"/>
        <w:rPr>
          <w:sz w:val="20"/>
        </w:rPr>
      </w:pPr>
      <w:r>
        <w:rPr>
          <w:sz w:val="20"/>
        </w:rPr>
        <w:drawing>
          <wp:inline distT="0" distB="0" distL="0" distR="0">
            <wp:extent cx="3699946" cy="5192077"/>
            <wp:effectExtent l="0" t="0" r="0" b="0"/>
            <wp:docPr id="3" name="image2.png" descr="一張含有 文字, 螢幕擷取畫面, 圖表, 方案 的圖片  AI 產生的內容可能不正確。"/>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699946" cy="5192077"/>
                    </a:xfrm>
                    <a:prstGeom prst="rect">
                      <a:avLst/>
                    </a:prstGeom>
                  </pic:spPr>
                </pic:pic>
              </a:graphicData>
            </a:graphic>
          </wp:inline>
        </w:drawing>
      </w:r>
      <w:r>
        <w:rPr>
          <w:sz w:val="20"/>
        </w:rPr>
      </w:r>
    </w:p>
    <w:p>
      <w:pPr>
        <w:pStyle w:val="BodyText"/>
        <w:spacing w:before="16"/>
        <w:rPr>
          <w:sz w:val="19"/>
        </w:rPr>
      </w:pPr>
      <w:r>
        <w:rPr/>
        <w:pict>
          <v:group style="position:absolute;margin-left:63.779999pt;margin-top:20.249983pt;width:467.85pt;height:1.5pt;mso-position-horizontal-relative:page;mso-position-vertical-relative:paragraph;z-index:-952;mso-wrap-distance-left:0;mso-wrap-distance-right:0" coordorigin="1276,405" coordsize="9357,30">
            <v:line style="position:absolute" from="1276,420" to="10632,420" stroked="true" strokeweight="1.5pt" strokecolor="#9f9f9f">
              <v:stroke dashstyle="solid"/>
            </v:line>
            <v:rect style="position:absolute;left:1275;top:405;width:5;height:5" filled="true" fillcolor="#9f9f9f" stroked="false">
              <v:fill type="solid"/>
            </v:rect>
            <v:rect style="position:absolute;left:1275;top:405;width:5;height:5" filled="true" fillcolor="#9f9f9f" stroked="false">
              <v:fill type="solid"/>
            </v:rect>
            <v:line style="position:absolute" from="1280,407" to="10627,407" stroked="true" strokeweight=".24pt" strokecolor="#9f9f9f">
              <v:stroke dashstyle="solid"/>
            </v:line>
            <v:rect style="position:absolute;left:10627;top:405;width:5;height:5" filled="true" fillcolor="#e2e2e2" stroked="false">
              <v:fill type="solid"/>
            </v:rect>
            <v:rect style="position:absolute;left:10627;top:405;width:5;height:5" filled="true" fillcolor="#9f9f9f" stroked="false">
              <v:fill type="solid"/>
            </v:rect>
            <v:rect style="position:absolute;left:1275;top:409;width:5;height:21" filled="true" fillcolor="#9f9f9f" stroked="false">
              <v:fill type="solid"/>
            </v:rect>
            <v:rect style="position:absolute;left:10627;top:409;width:5;height:21" filled="true" fillcolor="#e2e2e2" stroked="false">
              <v:fill type="solid"/>
            </v:rect>
            <v:rect style="position:absolute;left:1275;top:430;width:5;height:5" filled="true" fillcolor="#9f9f9f" stroked="false">
              <v:fill type="solid"/>
            </v:rect>
            <v:rect style="position:absolute;left:1275;top:430;width:5;height:5" filled="true" fillcolor="#e2e2e2" stroked="false">
              <v:fill type="solid"/>
            </v:rect>
            <v:line style="position:absolute" from="1280,433" to="10627,433" stroked="true" strokeweight=".24pt" strokecolor="#e2e2e2">
              <v:stroke dashstyle="solid"/>
            </v:line>
            <v:rect style="position:absolute;left:10627;top:430;width:5;height:5" filled="true" fillcolor="#e2e2e2" stroked="false">
              <v:fill type="solid"/>
            </v:rect>
            <v:rect style="position:absolute;left:10627;top:430;width:5;height:5" filled="true" fillcolor="#e2e2e2" stroked="false">
              <v:fill type="solid"/>
            </v:rect>
            <w10:wrap type="topAndBottom"/>
          </v:group>
        </w:pict>
      </w:r>
    </w:p>
    <w:p>
      <w:pPr>
        <w:pStyle w:val="Heading1"/>
        <w:spacing w:line="428" w:lineRule="exact" w:before="7"/>
        <w:rPr>
          <w:rFonts w:ascii="Calibri" w:eastAsia="Calibri"/>
        </w:rPr>
      </w:pPr>
      <w:r>
        <w:rPr/>
        <w:t>四</w:t>
      </w:r>
      <w:r>
        <w:rPr>
          <w:rFonts w:ascii="Calibri" w:eastAsia="Calibri"/>
        </w:rPr>
        <w:t>. </w:t>
      </w:r>
      <w:r>
        <w:rPr/>
        <w:t>屏障分析  </w:t>
      </w:r>
      <w:r>
        <w:rPr>
          <w:rFonts w:ascii="Calibri" w:eastAsia="Calibri"/>
        </w:rPr>
        <w:t>(Barrier Analysis)</w:t>
      </w:r>
    </w:p>
    <w:p>
      <w:pPr>
        <w:pStyle w:val="BodyText"/>
        <w:spacing w:line="415" w:lineRule="exact"/>
        <w:ind w:left="115"/>
      </w:pPr>
      <w:r>
        <w:rPr/>
        <w:t>本分析旨在識別應有但失效、缺失或不足的屏障，導致危害接觸到目標。</w:t>
      </w:r>
    </w:p>
    <w:p>
      <w:pPr>
        <w:pStyle w:val="ListParagraph"/>
        <w:numPr>
          <w:ilvl w:val="0"/>
          <w:numId w:val="1"/>
        </w:numPr>
        <w:tabs>
          <w:tab w:pos="835" w:val="left" w:leader="none"/>
          <w:tab w:pos="836" w:val="left" w:leader="none"/>
        </w:tabs>
        <w:spacing w:line="415" w:lineRule="exact" w:before="0" w:after="0"/>
        <w:ind w:left="835" w:right="0" w:hanging="360"/>
        <w:jc w:val="left"/>
        <w:rPr>
          <w:rFonts w:ascii="Calibri" w:hAnsi="Calibri" w:eastAsia="Calibri"/>
          <w:sz w:val="24"/>
        </w:rPr>
      </w:pPr>
      <w:r>
        <w:rPr>
          <w:b/>
          <w:spacing w:val="14"/>
          <w:sz w:val="24"/>
        </w:rPr>
        <w:t>危害： </w:t>
      </w:r>
      <w:r>
        <w:rPr>
          <w:sz w:val="24"/>
        </w:rPr>
        <w:t>交流電焊機的高無負載電壓  </w:t>
      </w:r>
      <w:r>
        <w:rPr>
          <w:rFonts w:ascii="Calibri" w:hAnsi="Calibri" w:eastAsia="Calibri"/>
          <w:sz w:val="24"/>
        </w:rPr>
        <w:t>(80.9V)</w:t>
      </w:r>
    </w:p>
    <w:p>
      <w:pPr>
        <w:pStyle w:val="ListParagraph"/>
        <w:numPr>
          <w:ilvl w:val="0"/>
          <w:numId w:val="1"/>
        </w:numPr>
        <w:tabs>
          <w:tab w:pos="835" w:val="left" w:leader="none"/>
          <w:tab w:pos="836" w:val="left" w:leader="none"/>
        </w:tabs>
        <w:spacing w:line="428" w:lineRule="exact" w:before="0" w:after="0"/>
        <w:ind w:left="835" w:right="0" w:hanging="360"/>
        <w:jc w:val="left"/>
        <w:rPr>
          <w:sz w:val="24"/>
        </w:rPr>
      </w:pPr>
      <w:r>
        <w:rPr>
          <w:b/>
          <w:sz w:val="24"/>
        </w:rPr>
        <w:t>目標： </w:t>
      </w:r>
      <w:r>
        <w:rPr>
          <w:sz w:val="24"/>
        </w:rPr>
        <w:t>罹災者何員</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8"/>
        <w:gridCol w:w="1233"/>
        <w:gridCol w:w="860"/>
        <w:gridCol w:w="2899"/>
        <w:gridCol w:w="3385"/>
      </w:tblGrid>
      <w:tr>
        <w:trPr>
          <w:trHeight w:val="1383" w:hRule="atLeast"/>
        </w:trPr>
        <w:tc>
          <w:tcPr>
            <w:tcW w:w="968" w:type="dxa"/>
          </w:tcPr>
          <w:p>
            <w:pPr>
              <w:pStyle w:val="TableParagraph"/>
              <w:spacing w:line="225" w:lineRule="auto"/>
              <w:ind w:right="248"/>
              <w:rPr>
                <w:sz w:val="20"/>
              </w:rPr>
            </w:pPr>
            <w:r>
              <w:rPr>
                <w:sz w:val="20"/>
              </w:rPr>
              <w:t>屏障類型</w:t>
            </w:r>
          </w:p>
        </w:tc>
        <w:tc>
          <w:tcPr>
            <w:tcW w:w="1233" w:type="dxa"/>
          </w:tcPr>
          <w:p>
            <w:pPr>
              <w:pStyle w:val="TableParagraph"/>
              <w:spacing w:line="344" w:lineRule="exact"/>
              <w:ind w:left="108"/>
              <w:rPr>
                <w:sz w:val="20"/>
              </w:rPr>
            </w:pPr>
            <w:r>
              <w:rPr>
                <w:sz w:val="20"/>
              </w:rPr>
              <w:t>屏障</w:t>
            </w:r>
          </w:p>
        </w:tc>
        <w:tc>
          <w:tcPr>
            <w:tcW w:w="860" w:type="dxa"/>
          </w:tcPr>
          <w:p>
            <w:pPr>
              <w:pStyle w:val="TableParagraph"/>
              <w:spacing w:line="225" w:lineRule="auto"/>
              <w:ind w:left="110" w:right="136"/>
              <w:jc w:val="both"/>
              <w:rPr>
                <w:sz w:val="20"/>
              </w:rPr>
            </w:pPr>
            <w:r>
              <w:rPr>
                <w:sz w:val="20"/>
              </w:rPr>
              <w:t>屏障表現 </w:t>
            </w:r>
            <w:r>
              <w:rPr>
                <w:rFonts w:ascii="Segoe UI" w:eastAsia="Segoe UI"/>
                <w:sz w:val="20"/>
              </w:rPr>
              <w:t>( </w:t>
            </w:r>
            <w:r>
              <w:rPr>
                <w:sz w:val="20"/>
              </w:rPr>
              <w:t>事故時狀</w:t>
            </w:r>
          </w:p>
          <w:p>
            <w:pPr>
              <w:pStyle w:val="TableParagraph"/>
              <w:spacing w:line="334" w:lineRule="exact"/>
              <w:ind w:left="110"/>
              <w:jc w:val="both"/>
              <w:rPr>
                <w:rFonts w:ascii="Segoe UI" w:eastAsia="Segoe UI"/>
                <w:sz w:val="20"/>
              </w:rPr>
            </w:pPr>
            <w:r>
              <w:rPr>
                <w:sz w:val="20"/>
              </w:rPr>
              <w:t>態</w:t>
            </w:r>
            <w:r>
              <w:rPr>
                <w:rFonts w:ascii="Segoe UI" w:eastAsia="Segoe UI"/>
                <w:sz w:val="20"/>
              </w:rPr>
              <w:t>)</w:t>
            </w:r>
          </w:p>
        </w:tc>
        <w:tc>
          <w:tcPr>
            <w:tcW w:w="2899" w:type="dxa"/>
          </w:tcPr>
          <w:p>
            <w:pPr>
              <w:pStyle w:val="TableParagraph"/>
              <w:spacing w:line="344" w:lineRule="exact"/>
              <w:ind w:left="109"/>
              <w:rPr>
                <w:sz w:val="20"/>
              </w:rPr>
            </w:pPr>
            <w:r>
              <w:rPr>
                <w:sz w:val="20"/>
              </w:rPr>
              <w:t>屏障失效原因</w:t>
            </w:r>
          </w:p>
        </w:tc>
        <w:tc>
          <w:tcPr>
            <w:tcW w:w="3385" w:type="dxa"/>
          </w:tcPr>
          <w:p>
            <w:pPr>
              <w:pStyle w:val="TableParagraph"/>
              <w:spacing w:line="344" w:lineRule="exact"/>
              <w:ind w:left="109"/>
              <w:rPr>
                <w:rFonts w:ascii="Segoe UI" w:eastAsia="Segoe UI"/>
                <w:sz w:val="20"/>
              </w:rPr>
            </w:pPr>
            <w:r>
              <w:rPr>
                <w:sz w:val="20"/>
              </w:rPr>
              <w:t>屏障如何影響事故 </w:t>
            </w:r>
            <w:r>
              <w:rPr>
                <w:rFonts w:ascii="Segoe UI" w:eastAsia="Segoe UI"/>
                <w:sz w:val="20"/>
              </w:rPr>
              <w:t>(</w:t>
            </w:r>
            <w:r>
              <w:rPr>
                <w:sz w:val="20"/>
              </w:rPr>
              <w:t>失效的後果</w:t>
            </w:r>
            <w:r>
              <w:rPr>
                <w:rFonts w:ascii="Segoe UI" w:eastAsia="Segoe UI"/>
                <w:sz w:val="20"/>
              </w:rPr>
              <w:t>)</w:t>
            </w:r>
          </w:p>
        </w:tc>
      </w:tr>
      <w:tr>
        <w:trPr>
          <w:trHeight w:val="1730" w:hRule="atLeast"/>
        </w:trPr>
        <w:tc>
          <w:tcPr>
            <w:tcW w:w="968" w:type="dxa"/>
          </w:tcPr>
          <w:p>
            <w:pPr>
              <w:pStyle w:val="TableParagraph"/>
              <w:spacing w:line="225" w:lineRule="auto"/>
              <w:ind w:right="248"/>
              <w:rPr>
                <w:b/>
                <w:sz w:val="20"/>
              </w:rPr>
            </w:pPr>
            <w:r>
              <w:rPr>
                <w:b/>
                <w:sz w:val="20"/>
              </w:rPr>
              <w:t>工程控制</w:t>
            </w:r>
          </w:p>
        </w:tc>
        <w:tc>
          <w:tcPr>
            <w:tcW w:w="1233" w:type="dxa"/>
          </w:tcPr>
          <w:p>
            <w:pPr>
              <w:pStyle w:val="TableParagraph"/>
              <w:spacing w:line="225" w:lineRule="auto"/>
              <w:ind w:left="108" w:right="111" w:hanging="1"/>
              <w:rPr>
                <w:b/>
                <w:sz w:val="20"/>
              </w:rPr>
            </w:pPr>
            <w:r>
              <w:rPr>
                <w:rFonts w:ascii="Segoe UI" w:eastAsia="Segoe UI"/>
                <w:b/>
                <w:sz w:val="20"/>
              </w:rPr>
              <w:t>1. </w:t>
            </w:r>
            <w:r>
              <w:rPr>
                <w:b/>
                <w:sz w:val="20"/>
              </w:rPr>
              <w:t>自動電擊防止裝置</w:t>
            </w:r>
          </w:p>
          <w:p>
            <w:pPr>
              <w:pStyle w:val="TableParagraph"/>
              <w:spacing w:line="225" w:lineRule="auto"/>
              <w:ind w:left="108" w:right="239"/>
              <w:rPr>
                <w:rFonts w:ascii="Segoe UI" w:eastAsia="Segoe UI"/>
                <w:b/>
                <w:sz w:val="20"/>
              </w:rPr>
            </w:pPr>
            <w:r>
              <w:rPr>
                <w:rFonts w:ascii="Segoe UI" w:eastAsia="Segoe UI"/>
                <w:b/>
                <w:sz w:val="20"/>
              </w:rPr>
              <w:t>(</w:t>
            </w:r>
            <w:r>
              <w:rPr>
                <w:b/>
                <w:sz w:val="20"/>
              </w:rPr>
              <w:t>最關鍵屏障</w:t>
            </w:r>
            <w:r>
              <w:rPr>
                <w:rFonts w:ascii="Segoe UI" w:eastAsia="Segoe UI"/>
                <w:b/>
                <w:sz w:val="20"/>
              </w:rPr>
              <w:t>)</w:t>
            </w:r>
          </w:p>
        </w:tc>
        <w:tc>
          <w:tcPr>
            <w:tcW w:w="860" w:type="dxa"/>
          </w:tcPr>
          <w:p>
            <w:pPr>
              <w:pStyle w:val="TableParagraph"/>
              <w:spacing w:line="225" w:lineRule="auto"/>
              <w:ind w:left="109" w:right="136"/>
              <w:rPr>
                <w:b/>
                <w:sz w:val="20"/>
              </w:rPr>
            </w:pPr>
            <w:r>
              <w:rPr>
                <w:b/>
                <w:sz w:val="20"/>
              </w:rPr>
              <w:t>完全不存在</w:t>
            </w:r>
          </w:p>
        </w:tc>
        <w:tc>
          <w:tcPr>
            <w:tcW w:w="2899" w:type="dxa"/>
          </w:tcPr>
          <w:p>
            <w:pPr>
              <w:pStyle w:val="TableParagraph"/>
              <w:spacing w:line="225" w:lineRule="auto"/>
              <w:ind w:left="109" w:right="177"/>
              <w:rPr>
                <w:sz w:val="20"/>
              </w:rPr>
            </w:pPr>
            <w:r>
              <w:rPr>
                <w:sz w:val="20"/>
              </w:rPr>
              <w:t>該交流電焊機「未裝設」此項最關鍵的工程控制安全裝置。</w:t>
            </w:r>
          </w:p>
        </w:tc>
        <w:tc>
          <w:tcPr>
            <w:tcW w:w="3385" w:type="dxa"/>
          </w:tcPr>
          <w:p>
            <w:pPr>
              <w:pStyle w:val="TableParagraph"/>
              <w:spacing w:line="225" w:lineRule="auto"/>
              <w:ind w:left="109" w:right="171"/>
              <w:jc w:val="both"/>
              <w:rPr>
                <w:sz w:val="20"/>
              </w:rPr>
            </w:pPr>
            <w:r>
              <w:rPr>
                <w:sz w:val="20"/>
              </w:rPr>
              <w:t>這是最根本、最致命的屏障失效。導致電焊機在待機狀態下持續輸出高達 </w:t>
            </w:r>
            <w:r>
              <w:rPr>
                <w:rFonts w:ascii="Segoe UI" w:eastAsia="Segoe UI"/>
                <w:sz w:val="20"/>
              </w:rPr>
              <w:t>80.9V </w:t>
            </w:r>
            <w:r>
              <w:rPr>
                <w:sz w:val="20"/>
              </w:rPr>
              <w:t>的致命電壓 ，使得感電事故的發生機率與嚴重性都提升至</w:t>
            </w:r>
          </w:p>
          <w:p>
            <w:pPr>
              <w:pStyle w:val="TableParagraph"/>
              <w:spacing w:line="334" w:lineRule="exact"/>
              <w:ind w:left="109"/>
              <w:jc w:val="both"/>
              <w:rPr>
                <w:sz w:val="20"/>
              </w:rPr>
            </w:pPr>
            <w:r>
              <w:rPr>
                <w:sz w:val="20"/>
              </w:rPr>
              <w:t>最高等級。</w:t>
            </w:r>
          </w:p>
        </w:tc>
      </w:tr>
    </w:tbl>
    <w:p>
      <w:pPr>
        <w:spacing w:after="0" w:line="334" w:lineRule="exact"/>
        <w:jc w:val="both"/>
        <w:rPr>
          <w:sz w:val="20"/>
        </w:rPr>
        <w:sectPr>
          <w:pgSz w:w="11910" w:h="16840"/>
          <w:pgMar w:top="1580" w:bottom="280" w:left="1160" w:right="11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8"/>
        <w:gridCol w:w="1233"/>
        <w:gridCol w:w="860"/>
        <w:gridCol w:w="2899"/>
        <w:gridCol w:w="3385"/>
      </w:tblGrid>
      <w:tr>
        <w:trPr>
          <w:trHeight w:val="1730" w:hRule="atLeast"/>
        </w:trPr>
        <w:tc>
          <w:tcPr>
            <w:tcW w:w="968" w:type="dxa"/>
          </w:tcPr>
          <w:p>
            <w:pPr>
              <w:pStyle w:val="TableParagraph"/>
              <w:spacing w:line="228" w:lineRule="auto" w:before="1"/>
              <w:ind w:right="248"/>
              <w:rPr>
                <w:rFonts w:ascii="Segoe UI" w:eastAsia="Segoe UI"/>
                <w:b/>
                <w:sz w:val="20"/>
              </w:rPr>
            </w:pPr>
            <w:r>
              <w:rPr>
                <w:b/>
                <w:sz w:val="20"/>
              </w:rPr>
              <w:t>個人防護具</w:t>
            </w:r>
            <w:r>
              <w:rPr>
                <w:rFonts w:ascii="Segoe UI" w:eastAsia="Segoe UI"/>
                <w:b/>
                <w:sz w:val="20"/>
              </w:rPr>
              <w:t>(PPE)</w:t>
            </w:r>
          </w:p>
        </w:tc>
        <w:tc>
          <w:tcPr>
            <w:tcW w:w="1233" w:type="dxa"/>
          </w:tcPr>
          <w:p>
            <w:pPr>
              <w:pStyle w:val="TableParagraph"/>
              <w:spacing w:line="225" w:lineRule="auto" w:before="4"/>
              <w:ind w:left="108" w:right="111" w:hanging="1"/>
              <w:rPr>
                <w:b/>
                <w:sz w:val="20"/>
              </w:rPr>
            </w:pPr>
            <w:r>
              <w:rPr>
                <w:rFonts w:ascii="Segoe UI" w:eastAsia="Segoe UI"/>
                <w:b/>
                <w:sz w:val="20"/>
              </w:rPr>
              <w:t>2. </w:t>
            </w:r>
            <w:r>
              <w:rPr>
                <w:b/>
                <w:sz w:val="20"/>
              </w:rPr>
              <w:t>乾燥的絕緣防護具</w:t>
            </w:r>
          </w:p>
          <w:p>
            <w:pPr>
              <w:pStyle w:val="TableParagraph"/>
              <w:spacing w:line="225" w:lineRule="auto" w:before="1"/>
              <w:ind w:left="108" w:right="239"/>
              <w:rPr>
                <w:rFonts w:ascii="Segoe UI" w:eastAsia="Segoe UI"/>
                <w:b/>
                <w:sz w:val="20"/>
              </w:rPr>
            </w:pPr>
            <w:r>
              <w:rPr>
                <w:rFonts w:ascii="Segoe UI" w:eastAsia="Segoe UI"/>
                <w:b/>
                <w:sz w:val="20"/>
              </w:rPr>
              <w:t>(</w:t>
            </w:r>
            <w:r>
              <w:rPr>
                <w:b/>
                <w:sz w:val="20"/>
              </w:rPr>
              <w:t>如手套、衣物</w:t>
            </w:r>
            <w:r>
              <w:rPr>
                <w:rFonts w:ascii="Segoe UI" w:eastAsia="Segoe UI"/>
                <w:b/>
                <w:sz w:val="20"/>
              </w:rPr>
              <w:t>)</w:t>
            </w:r>
          </w:p>
        </w:tc>
        <w:tc>
          <w:tcPr>
            <w:tcW w:w="860" w:type="dxa"/>
          </w:tcPr>
          <w:p>
            <w:pPr>
              <w:pStyle w:val="TableParagraph"/>
              <w:spacing w:line="346" w:lineRule="exact"/>
              <w:ind w:left="109"/>
              <w:rPr>
                <w:b/>
                <w:sz w:val="20"/>
              </w:rPr>
            </w:pPr>
            <w:r>
              <w:rPr>
                <w:b/>
                <w:sz w:val="20"/>
              </w:rPr>
              <w:t>失效</w:t>
            </w:r>
          </w:p>
          <w:p>
            <w:pPr>
              <w:pStyle w:val="TableParagraph"/>
              <w:spacing w:line="357" w:lineRule="exact"/>
              <w:ind w:left="110"/>
              <w:rPr>
                <w:rFonts w:ascii="Segoe UI" w:eastAsia="Segoe UI"/>
                <w:b/>
                <w:sz w:val="20"/>
              </w:rPr>
            </w:pPr>
            <w:r>
              <w:rPr>
                <w:rFonts w:ascii="Segoe UI" w:eastAsia="Segoe UI"/>
                <w:b/>
                <w:sz w:val="20"/>
              </w:rPr>
              <w:t>(</w:t>
            </w:r>
            <w:r>
              <w:rPr>
                <w:b/>
                <w:sz w:val="20"/>
              </w:rPr>
              <w:t>推斷</w:t>
            </w:r>
            <w:r>
              <w:rPr>
                <w:rFonts w:ascii="Segoe UI" w:eastAsia="Segoe UI"/>
                <w:b/>
                <w:sz w:val="20"/>
              </w:rPr>
              <w:t>)</w:t>
            </w:r>
          </w:p>
        </w:tc>
        <w:tc>
          <w:tcPr>
            <w:tcW w:w="2899" w:type="dxa"/>
          </w:tcPr>
          <w:p>
            <w:pPr>
              <w:pStyle w:val="TableParagraph"/>
              <w:numPr>
                <w:ilvl w:val="0"/>
                <w:numId w:val="4"/>
              </w:numPr>
              <w:tabs>
                <w:tab w:pos="362" w:val="left" w:leader="none"/>
              </w:tabs>
              <w:spacing w:line="225" w:lineRule="auto" w:before="4" w:after="0"/>
              <w:ind w:left="109" w:right="225" w:firstLine="0"/>
              <w:jc w:val="left"/>
              <w:rPr>
                <w:sz w:val="20"/>
              </w:rPr>
            </w:pPr>
            <w:r>
              <w:rPr>
                <w:spacing w:val="1"/>
                <w:sz w:val="20"/>
              </w:rPr>
              <w:t>罹災者身體潮濕 ，顯示其</w:t>
            </w:r>
            <w:r>
              <w:rPr>
                <w:sz w:val="20"/>
              </w:rPr>
              <w:t>手套或衣物可能已被汗水浸濕，失去絕緣效果。</w:t>
            </w:r>
          </w:p>
          <w:p>
            <w:pPr>
              <w:pStyle w:val="TableParagraph"/>
              <w:numPr>
                <w:ilvl w:val="0"/>
                <w:numId w:val="4"/>
              </w:numPr>
              <w:tabs>
                <w:tab w:pos="361" w:val="left" w:leader="none"/>
              </w:tabs>
              <w:spacing w:line="342" w:lineRule="exact" w:before="0" w:after="0"/>
              <w:ind w:left="361" w:right="0" w:hanging="252"/>
              <w:jc w:val="left"/>
              <w:rPr>
                <w:sz w:val="20"/>
              </w:rPr>
            </w:pPr>
            <w:r>
              <w:rPr>
                <w:sz w:val="20"/>
              </w:rPr>
              <w:t>未要求或未提供合適的防護</w:t>
            </w:r>
          </w:p>
          <w:p>
            <w:pPr>
              <w:pStyle w:val="TableParagraph"/>
              <w:spacing w:line="327" w:lineRule="exact"/>
              <w:ind w:left="109"/>
              <w:rPr>
                <w:rFonts w:ascii="Segoe UI" w:eastAsia="Segoe UI"/>
                <w:sz w:val="20"/>
              </w:rPr>
            </w:pPr>
            <w:r>
              <w:rPr>
                <w:sz w:val="20"/>
              </w:rPr>
              <w:t>具。</w:t>
            </w:r>
            <w:r>
              <w:rPr>
                <w:rFonts w:ascii="Segoe UI" w:eastAsia="Segoe UI"/>
                <w:sz w:val="20"/>
              </w:rPr>
              <w:t>(</w:t>
            </w:r>
            <w:r>
              <w:rPr>
                <w:sz w:val="20"/>
              </w:rPr>
              <w:t>假設</w:t>
            </w:r>
            <w:r>
              <w:rPr>
                <w:rFonts w:ascii="Segoe UI" w:eastAsia="Segoe UI"/>
                <w:sz w:val="20"/>
              </w:rPr>
              <w:t>)</w:t>
            </w:r>
          </w:p>
        </w:tc>
        <w:tc>
          <w:tcPr>
            <w:tcW w:w="3385" w:type="dxa"/>
          </w:tcPr>
          <w:p>
            <w:pPr>
              <w:pStyle w:val="TableParagraph"/>
              <w:spacing w:line="225" w:lineRule="auto" w:before="4"/>
              <w:ind w:left="109" w:right="262"/>
              <w:jc w:val="both"/>
              <w:rPr>
                <w:sz w:val="20"/>
              </w:rPr>
            </w:pPr>
            <w:r>
              <w:rPr>
                <w:sz w:val="20"/>
              </w:rPr>
              <w:t>潮濕的防護具或皮膚讓電流能輕易穿透人體，失去了最後一道防線的功能。</w:t>
            </w:r>
          </w:p>
        </w:tc>
      </w:tr>
      <w:tr>
        <w:trPr>
          <w:trHeight w:val="1383" w:hRule="atLeast"/>
        </w:trPr>
        <w:tc>
          <w:tcPr>
            <w:tcW w:w="968" w:type="dxa"/>
          </w:tcPr>
          <w:p>
            <w:pPr>
              <w:pStyle w:val="TableParagraph"/>
              <w:spacing w:line="225" w:lineRule="auto" w:before="4"/>
              <w:ind w:right="159"/>
              <w:jc w:val="both"/>
              <w:rPr>
                <w:b/>
                <w:sz w:val="20"/>
              </w:rPr>
            </w:pPr>
            <w:r>
              <w:rPr>
                <w:b/>
                <w:sz w:val="20"/>
              </w:rPr>
              <w:t>行政管理 </w:t>
            </w:r>
            <w:r>
              <w:rPr>
                <w:rFonts w:ascii="Segoe UI" w:eastAsia="Segoe UI"/>
                <w:b/>
                <w:sz w:val="20"/>
              </w:rPr>
              <w:t>/ </w:t>
            </w:r>
            <w:r>
              <w:rPr>
                <w:b/>
                <w:spacing w:val="-16"/>
                <w:sz w:val="20"/>
              </w:rPr>
              <w:t>程</w:t>
            </w:r>
            <w:r>
              <w:rPr>
                <w:b/>
                <w:sz w:val="20"/>
              </w:rPr>
              <w:t>序性</w:t>
            </w:r>
          </w:p>
        </w:tc>
        <w:tc>
          <w:tcPr>
            <w:tcW w:w="1233" w:type="dxa"/>
          </w:tcPr>
          <w:p>
            <w:pPr>
              <w:pStyle w:val="TableParagraph"/>
              <w:spacing w:line="225" w:lineRule="auto" w:before="4"/>
              <w:ind w:left="108" w:right="242" w:hanging="1"/>
              <w:rPr>
                <w:b/>
                <w:sz w:val="20"/>
              </w:rPr>
            </w:pPr>
            <w:r>
              <w:rPr>
                <w:rFonts w:ascii="Segoe UI" w:eastAsia="Segoe UI"/>
                <w:b/>
                <w:sz w:val="20"/>
              </w:rPr>
              <w:t>3. </w:t>
            </w:r>
            <w:r>
              <w:rPr>
                <w:b/>
                <w:sz w:val="20"/>
              </w:rPr>
              <w:t>安全作業程序</w:t>
            </w:r>
          </w:p>
        </w:tc>
        <w:tc>
          <w:tcPr>
            <w:tcW w:w="860" w:type="dxa"/>
          </w:tcPr>
          <w:p>
            <w:pPr>
              <w:pStyle w:val="TableParagraph"/>
              <w:spacing w:line="345" w:lineRule="exact"/>
              <w:ind w:left="110"/>
              <w:rPr>
                <w:b/>
                <w:sz w:val="20"/>
              </w:rPr>
            </w:pPr>
            <w:r>
              <w:rPr>
                <w:b/>
                <w:sz w:val="20"/>
              </w:rPr>
              <w:t>不存在</w:t>
            </w:r>
          </w:p>
          <w:p>
            <w:pPr>
              <w:pStyle w:val="TableParagraph"/>
              <w:spacing w:line="357" w:lineRule="exact"/>
              <w:ind w:left="110"/>
              <w:rPr>
                <w:rFonts w:ascii="Segoe UI" w:eastAsia="Segoe UI"/>
                <w:b/>
                <w:sz w:val="20"/>
              </w:rPr>
            </w:pPr>
            <w:r>
              <w:rPr>
                <w:rFonts w:ascii="Segoe UI" w:eastAsia="Segoe UI"/>
                <w:b/>
                <w:spacing w:val="-1"/>
                <w:sz w:val="20"/>
              </w:rPr>
              <w:t>(</w:t>
            </w:r>
            <w:r>
              <w:rPr>
                <w:b/>
                <w:spacing w:val="-1"/>
                <w:sz w:val="20"/>
              </w:rPr>
              <w:t>假設</w:t>
            </w:r>
            <w:r>
              <w:rPr>
                <w:rFonts w:ascii="Segoe UI" w:eastAsia="Segoe UI"/>
                <w:b/>
                <w:sz w:val="20"/>
              </w:rPr>
              <w:t>)</w:t>
            </w:r>
          </w:p>
        </w:tc>
        <w:tc>
          <w:tcPr>
            <w:tcW w:w="2899" w:type="dxa"/>
          </w:tcPr>
          <w:p>
            <w:pPr>
              <w:pStyle w:val="TableParagraph"/>
              <w:spacing w:line="225" w:lineRule="auto" w:before="4"/>
              <w:ind w:left="109" w:right="177"/>
              <w:rPr>
                <w:sz w:val="20"/>
              </w:rPr>
            </w:pPr>
            <w:r>
              <w:rPr>
                <w:sz w:val="20"/>
              </w:rPr>
              <w:t>未建立電焊作業相關安全程 </w:t>
            </w:r>
            <w:r>
              <w:rPr>
                <w:spacing w:val="-2"/>
                <w:sz w:val="20"/>
              </w:rPr>
              <w:t>序，例如禁止將身體直接接觸工件、在高濕熱環境下的特別</w:t>
            </w:r>
          </w:p>
          <w:p>
            <w:pPr>
              <w:pStyle w:val="TableParagraph"/>
              <w:spacing w:line="322" w:lineRule="exact"/>
              <w:ind w:left="109"/>
              <w:rPr>
                <w:sz w:val="20"/>
              </w:rPr>
            </w:pPr>
            <w:r>
              <w:rPr>
                <w:sz w:val="20"/>
              </w:rPr>
              <w:t>防護要求等。</w:t>
            </w:r>
          </w:p>
        </w:tc>
        <w:tc>
          <w:tcPr>
            <w:tcW w:w="3385" w:type="dxa"/>
          </w:tcPr>
          <w:p>
            <w:pPr>
              <w:pStyle w:val="TableParagraph"/>
              <w:spacing w:line="225" w:lineRule="auto" w:before="4"/>
              <w:ind w:left="109" w:right="141"/>
              <w:jc w:val="both"/>
              <w:rPr>
                <w:sz w:val="20"/>
              </w:rPr>
            </w:pPr>
            <w:r>
              <w:rPr>
                <w:sz w:val="20"/>
              </w:rPr>
              <w:t>由於沒有標準可循，勞工只能憑藉個人習慣或經驗作業，導致不安全的作業方式 </w:t>
            </w:r>
            <w:r>
              <w:rPr>
                <w:rFonts w:ascii="Segoe UI" w:eastAsia="Segoe UI"/>
                <w:sz w:val="20"/>
              </w:rPr>
              <w:t>(</w:t>
            </w:r>
            <w:r>
              <w:rPr>
                <w:sz w:val="20"/>
              </w:rPr>
              <w:t>如跨坐鋼樑</w:t>
            </w:r>
            <w:r>
              <w:rPr>
                <w:rFonts w:ascii="Segoe UI" w:eastAsia="Segoe UI"/>
                <w:sz w:val="20"/>
              </w:rPr>
              <w:t>) </w:t>
            </w:r>
            <w:r>
              <w:rPr>
                <w:sz w:val="20"/>
              </w:rPr>
              <w:t>被視為常</w:t>
            </w:r>
          </w:p>
          <w:p>
            <w:pPr>
              <w:pStyle w:val="TableParagraph"/>
              <w:spacing w:line="322" w:lineRule="exact"/>
              <w:ind w:left="109"/>
              <w:jc w:val="both"/>
              <w:rPr>
                <w:sz w:val="20"/>
              </w:rPr>
            </w:pPr>
            <w:r>
              <w:rPr>
                <w:sz w:val="20"/>
              </w:rPr>
              <w:t>態。</w:t>
            </w:r>
          </w:p>
        </w:tc>
      </w:tr>
      <w:tr>
        <w:trPr>
          <w:trHeight w:val="1383" w:hRule="atLeast"/>
        </w:trPr>
        <w:tc>
          <w:tcPr>
            <w:tcW w:w="968" w:type="dxa"/>
          </w:tcPr>
          <w:p>
            <w:pPr>
              <w:pStyle w:val="TableParagraph"/>
              <w:spacing w:line="225" w:lineRule="auto" w:before="4"/>
              <w:ind w:right="248"/>
              <w:rPr>
                <w:b/>
                <w:sz w:val="20"/>
              </w:rPr>
            </w:pPr>
            <w:r>
              <w:rPr>
                <w:b/>
                <w:sz w:val="20"/>
              </w:rPr>
              <w:t>行政管理</w:t>
            </w:r>
          </w:p>
        </w:tc>
        <w:tc>
          <w:tcPr>
            <w:tcW w:w="1233" w:type="dxa"/>
          </w:tcPr>
          <w:p>
            <w:pPr>
              <w:pStyle w:val="TableParagraph"/>
              <w:spacing w:line="225" w:lineRule="auto" w:before="4"/>
              <w:ind w:left="108" w:right="111" w:hanging="1"/>
              <w:rPr>
                <w:b/>
                <w:sz w:val="20"/>
              </w:rPr>
            </w:pPr>
            <w:r>
              <w:rPr>
                <w:rFonts w:ascii="Segoe UI" w:eastAsia="Segoe UI"/>
                <w:b/>
                <w:sz w:val="20"/>
              </w:rPr>
              <w:t>4. </w:t>
            </w:r>
            <w:r>
              <w:rPr>
                <w:b/>
                <w:sz w:val="20"/>
              </w:rPr>
              <w:t>危害辨識與風險評估</w:t>
            </w:r>
          </w:p>
        </w:tc>
        <w:tc>
          <w:tcPr>
            <w:tcW w:w="860" w:type="dxa"/>
          </w:tcPr>
          <w:p>
            <w:pPr>
              <w:pStyle w:val="TableParagraph"/>
              <w:spacing w:line="225" w:lineRule="auto" w:before="4"/>
              <w:ind w:left="110" w:right="136"/>
              <w:rPr>
                <w:b/>
                <w:sz w:val="20"/>
              </w:rPr>
            </w:pPr>
            <w:r>
              <w:rPr>
                <w:b/>
                <w:sz w:val="20"/>
              </w:rPr>
              <w:t>嚴重不足 </w:t>
            </w:r>
            <w:r>
              <w:rPr>
                <w:rFonts w:ascii="Segoe UI" w:eastAsia="Segoe UI"/>
                <w:b/>
                <w:sz w:val="20"/>
              </w:rPr>
              <w:t>( </w:t>
            </w:r>
            <w:r>
              <w:rPr>
                <w:b/>
                <w:sz w:val="20"/>
              </w:rPr>
              <w:t>推</w:t>
            </w:r>
          </w:p>
          <w:p>
            <w:pPr>
              <w:pStyle w:val="TableParagraph"/>
              <w:spacing w:line="353" w:lineRule="exact"/>
              <w:ind w:left="110"/>
              <w:rPr>
                <w:rFonts w:ascii="Segoe UI" w:eastAsia="Segoe UI"/>
                <w:b/>
                <w:sz w:val="20"/>
              </w:rPr>
            </w:pPr>
            <w:r>
              <w:rPr>
                <w:b/>
                <w:sz w:val="20"/>
              </w:rPr>
              <w:t>斷</w:t>
            </w:r>
            <w:r>
              <w:rPr>
                <w:rFonts w:ascii="Segoe UI" w:eastAsia="Segoe UI"/>
                <w:b/>
                <w:sz w:val="20"/>
              </w:rPr>
              <w:t>)</w:t>
            </w:r>
          </w:p>
        </w:tc>
        <w:tc>
          <w:tcPr>
            <w:tcW w:w="2899" w:type="dxa"/>
          </w:tcPr>
          <w:p>
            <w:pPr>
              <w:pStyle w:val="TableParagraph"/>
              <w:spacing w:line="225" w:lineRule="auto" w:before="4"/>
              <w:ind w:left="109" w:right="177"/>
              <w:jc w:val="both"/>
              <w:rPr>
                <w:sz w:val="20"/>
              </w:rPr>
            </w:pPr>
            <w:r>
              <w:rPr>
                <w:sz w:val="20"/>
              </w:rPr>
              <w:t>管理階層未能辨識出「使用無防護裝置的交流電焊機」是重大危害，也未能評估在高處濕</w:t>
            </w:r>
          </w:p>
          <w:p>
            <w:pPr>
              <w:pStyle w:val="TableParagraph"/>
              <w:spacing w:line="322" w:lineRule="exact"/>
              <w:ind w:left="109"/>
              <w:jc w:val="both"/>
              <w:rPr>
                <w:sz w:val="20"/>
              </w:rPr>
            </w:pPr>
            <w:r>
              <w:rPr>
                <w:sz w:val="20"/>
              </w:rPr>
              <w:t>熱環境下感電的加乘風險。</w:t>
            </w:r>
          </w:p>
        </w:tc>
        <w:tc>
          <w:tcPr>
            <w:tcW w:w="3385" w:type="dxa"/>
          </w:tcPr>
          <w:p>
            <w:pPr>
              <w:pStyle w:val="TableParagraph"/>
              <w:spacing w:line="225" w:lineRule="auto" w:before="4"/>
              <w:ind w:left="109" w:right="101"/>
              <w:rPr>
                <w:sz w:val="20"/>
              </w:rPr>
            </w:pPr>
            <w:r>
              <w:rPr>
                <w:sz w:val="20"/>
              </w:rPr>
              <w:t>由於未能辨識危害，因此完全沒有規劃任何對應的控制措施 </w:t>
            </w:r>
            <w:r>
              <w:rPr>
                <w:rFonts w:ascii="Segoe UI" w:eastAsia="Segoe UI"/>
                <w:sz w:val="20"/>
              </w:rPr>
              <w:t>(</w:t>
            </w:r>
            <w:r>
              <w:rPr>
                <w:sz w:val="20"/>
              </w:rPr>
              <w:t>例如採購合規設備、建立作業程序</w:t>
            </w:r>
            <w:r>
              <w:rPr>
                <w:rFonts w:ascii="Segoe UI" w:eastAsia="Segoe UI"/>
                <w:sz w:val="20"/>
              </w:rPr>
              <w:t>)</w:t>
            </w:r>
            <w:r>
              <w:rPr>
                <w:sz w:val="20"/>
              </w:rPr>
              <w:t>。</w:t>
            </w:r>
          </w:p>
        </w:tc>
      </w:tr>
      <w:tr>
        <w:trPr>
          <w:trHeight w:val="1730" w:hRule="atLeast"/>
        </w:trPr>
        <w:tc>
          <w:tcPr>
            <w:tcW w:w="968" w:type="dxa"/>
          </w:tcPr>
          <w:p>
            <w:pPr>
              <w:pStyle w:val="TableParagraph"/>
              <w:spacing w:line="225" w:lineRule="auto" w:before="5"/>
              <w:ind w:right="248"/>
              <w:rPr>
                <w:b/>
                <w:sz w:val="20"/>
              </w:rPr>
            </w:pPr>
            <w:r>
              <w:rPr>
                <w:b/>
                <w:sz w:val="20"/>
              </w:rPr>
              <w:t>行政管理</w:t>
            </w:r>
          </w:p>
        </w:tc>
        <w:tc>
          <w:tcPr>
            <w:tcW w:w="1233" w:type="dxa"/>
          </w:tcPr>
          <w:p>
            <w:pPr>
              <w:pStyle w:val="TableParagraph"/>
              <w:spacing w:line="225" w:lineRule="auto" w:before="5"/>
              <w:ind w:left="108" w:right="111" w:hanging="1"/>
              <w:rPr>
                <w:b/>
                <w:sz w:val="20"/>
              </w:rPr>
            </w:pPr>
            <w:r>
              <w:rPr>
                <w:rFonts w:ascii="Segoe UI" w:eastAsia="Segoe UI"/>
                <w:b/>
                <w:sz w:val="20"/>
              </w:rPr>
              <w:t>5. </w:t>
            </w:r>
            <w:r>
              <w:rPr>
                <w:b/>
                <w:sz w:val="20"/>
              </w:rPr>
              <w:t>安全衛生教育訓練</w:t>
            </w:r>
          </w:p>
        </w:tc>
        <w:tc>
          <w:tcPr>
            <w:tcW w:w="860" w:type="dxa"/>
          </w:tcPr>
          <w:p>
            <w:pPr>
              <w:pStyle w:val="TableParagraph"/>
              <w:spacing w:line="346" w:lineRule="exact"/>
              <w:ind w:left="110"/>
              <w:rPr>
                <w:b/>
                <w:sz w:val="20"/>
              </w:rPr>
            </w:pPr>
            <w:r>
              <w:rPr>
                <w:b/>
                <w:sz w:val="20"/>
              </w:rPr>
              <w:t>失效</w:t>
            </w:r>
          </w:p>
          <w:p>
            <w:pPr>
              <w:pStyle w:val="TableParagraph"/>
              <w:spacing w:line="357" w:lineRule="exact"/>
              <w:ind w:left="110"/>
              <w:rPr>
                <w:rFonts w:ascii="Segoe UI" w:eastAsia="Segoe UI"/>
                <w:b/>
                <w:sz w:val="20"/>
              </w:rPr>
            </w:pPr>
            <w:r>
              <w:rPr>
                <w:rFonts w:ascii="Segoe UI" w:eastAsia="Segoe UI"/>
                <w:b/>
                <w:sz w:val="20"/>
              </w:rPr>
              <w:t>(</w:t>
            </w:r>
            <w:r>
              <w:rPr>
                <w:b/>
                <w:sz w:val="20"/>
              </w:rPr>
              <w:t>推斷</w:t>
            </w:r>
            <w:r>
              <w:rPr>
                <w:rFonts w:ascii="Segoe UI" w:eastAsia="Segoe UI"/>
                <w:b/>
                <w:sz w:val="20"/>
              </w:rPr>
              <w:t>)</w:t>
            </w:r>
          </w:p>
        </w:tc>
        <w:tc>
          <w:tcPr>
            <w:tcW w:w="2899" w:type="dxa"/>
          </w:tcPr>
          <w:p>
            <w:pPr>
              <w:pStyle w:val="TableParagraph"/>
              <w:spacing w:line="225" w:lineRule="auto" w:before="5"/>
              <w:ind w:left="109" w:right="177"/>
              <w:jc w:val="both"/>
              <w:rPr>
                <w:sz w:val="20"/>
              </w:rPr>
            </w:pPr>
            <w:r>
              <w:rPr>
                <w:sz w:val="20"/>
              </w:rPr>
              <w:t>未能讓勞工與管理人員充分認知交流電焊機高無負載電壓的致命風險，以及身體潮濕、直接接觸工件會大幅增加感電機</w:t>
            </w:r>
          </w:p>
          <w:p>
            <w:pPr>
              <w:pStyle w:val="TableParagraph"/>
              <w:spacing w:line="322" w:lineRule="exact"/>
              <w:ind w:left="109"/>
              <w:jc w:val="both"/>
              <w:rPr>
                <w:sz w:val="20"/>
              </w:rPr>
            </w:pPr>
            <w:r>
              <w:rPr>
                <w:sz w:val="20"/>
              </w:rPr>
              <w:t>率。</w:t>
            </w:r>
          </w:p>
        </w:tc>
        <w:tc>
          <w:tcPr>
            <w:tcW w:w="3385" w:type="dxa"/>
          </w:tcPr>
          <w:p>
            <w:pPr>
              <w:pStyle w:val="TableParagraph"/>
              <w:spacing w:line="225" w:lineRule="auto" w:before="5"/>
              <w:ind w:left="109" w:right="262"/>
              <w:rPr>
                <w:sz w:val="20"/>
              </w:rPr>
            </w:pPr>
            <w:r>
              <w:rPr>
                <w:sz w:val="20"/>
              </w:rPr>
              <w:t>知識的缺乏導致從管理到執行層面都輕忽了此一致命風險。</w:t>
            </w:r>
          </w:p>
        </w:tc>
      </w:tr>
    </w:tbl>
    <w:p>
      <w:pPr>
        <w:pStyle w:val="BodyText"/>
        <w:spacing w:before="8"/>
        <w:rPr>
          <w:sz w:val="22"/>
        </w:rPr>
      </w:pPr>
      <w:r>
        <w:rPr/>
        <w:pict>
          <v:group style="position:absolute;margin-left:63.779999pt;margin-top:22.6pt;width:467.85pt;height:1.55pt;mso-position-horizontal-relative:page;mso-position-vertical-relative:paragraph;z-index:-928;mso-wrap-distance-left:0;mso-wrap-distance-right:0" coordorigin="1276,452" coordsize="9357,31">
            <v:line style="position:absolute" from="1276,467" to="10632,467" stroked="true" strokeweight="1.5pt" strokecolor="#9f9f9f">
              <v:stroke dashstyle="solid"/>
            </v:line>
            <v:rect style="position:absolute;left:1275;top:452;width:5;height:5" filled="true" fillcolor="#9f9f9f" stroked="false">
              <v:fill type="solid"/>
            </v:rect>
            <v:rect style="position:absolute;left:1275;top:452;width:5;height:5" filled="true" fillcolor="#9f9f9f" stroked="false">
              <v:fill type="solid"/>
            </v:rect>
            <v:line style="position:absolute" from="1280,455" to="10627,455" stroked="true" strokeweight=".24pt" strokecolor="#9f9f9f">
              <v:stroke dashstyle="solid"/>
            </v:line>
            <v:rect style="position:absolute;left:10627;top:452;width:5;height:5" filled="true" fillcolor="#e2e2e2" stroked="false">
              <v:fill type="solid"/>
            </v:rect>
            <v:rect style="position:absolute;left:10627;top:452;width:5;height:5" filled="true" fillcolor="#9f9f9f" stroked="false">
              <v:fill type="solid"/>
            </v:rect>
            <v:rect style="position:absolute;left:1275;top:457;width:5;height:21" filled="true" fillcolor="#9f9f9f" stroked="false">
              <v:fill type="solid"/>
            </v:rect>
            <v:rect style="position:absolute;left:10627;top:457;width:5;height:21" filled="true" fillcolor="#e2e2e2" stroked="false">
              <v:fill type="solid"/>
            </v:rect>
            <v:rect style="position:absolute;left:1275;top:477;width:5;height:5" filled="true" fillcolor="#9f9f9f" stroked="false">
              <v:fill type="solid"/>
            </v:rect>
            <v:rect style="position:absolute;left:1275;top:477;width:5;height:5" filled="true" fillcolor="#e2e2e2" stroked="false">
              <v:fill type="solid"/>
            </v:rect>
            <v:line style="position:absolute" from="1280,480" to="10627,480" stroked="true" strokeweight=".24pt" strokecolor="#e2e2e2">
              <v:stroke dashstyle="solid"/>
            </v:line>
            <v:rect style="position:absolute;left:10627;top:477;width:5;height:5" filled="true" fillcolor="#e2e2e2" stroked="false">
              <v:fill type="solid"/>
            </v:rect>
            <v:rect style="position:absolute;left:10627;top:477;width:5;height:5" filled="true" fillcolor="#e2e2e2" stroked="false">
              <v:fill type="solid"/>
            </v:rect>
            <w10:wrap type="topAndBottom"/>
          </v:group>
        </w:pict>
      </w:r>
    </w:p>
    <w:p>
      <w:pPr>
        <w:pStyle w:val="Heading1"/>
        <w:spacing w:line="428" w:lineRule="exact" w:before="7"/>
        <w:rPr>
          <w:rFonts w:ascii="Calibri" w:eastAsia="Calibri"/>
        </w:rPr>
      </w:pPr>
      <w:r>
        <w:rPr/>
        <w:t>五</w:t>
      </w:r>
      <w:r>
        <w:rPr>
          <w:rFonts w:ascii="Calibri" w:eastAsia="Calibri"/>
        </w:rPr>
        <w:t>. </w:t>
      </w:r>
      <w:r>
        <w:rPr/>
        <w:t>變更分析  </w:t>
      </w:r>
      <w:r>
        <w:rPr>
          <w:rFonts w:ascii="Calibri" w:eastAsia="Calibri"/>
        </w:rPr>
        <w:t>(Change Analysis)</w:t>
      </w:r>
    </w:p>
    <w:p>
      <w:pPr>
        <w:pStyle w:val="BodyText"/>
        <w:spacing w:line="428" w:lineRule="exact"/>
        <w:ind w:left="115"/>
      </w:pPr>
      <w:r>
        <w:rPr/>
        <w:t>本分析比較「事故狀況」與「理想的無事故狀況」，以識別導致事故的關鍵差異。</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2"/>
        <w:gridCol w:w="1753"/>
        <w:gridCol w:w="1959"/>
        <w:gridCol w:w="1598"/>
        <w:gridCol w:w="2973"/>
      </w:tblGrid>
      <w:tr>
        <w:trPr>
          <w:trHeight w:val="692" w:hRule="atLeast"/>
        </w:trPr>
        <w:tc>
          <w:tcPr>
            <w:tcW w:w="1062" w:type="dxa"/>
          </w:tcPr>
          <w:p>
            <w:pPr>
              <w:pStyle w:val="TableParagraph"/>
              <w:spacing w:line="344" w:lineRule="exact"/>
              <w:rPr>
                <w:sz w:val="20"/>
              </w:rPr>
            </w:pPr>
            <w:r>
              <w:rPr>
                <w:sz w:val="20"/>
              </w:rPr>
              <w:t>因素</w:t>
            </w:r>
          </w:p>
        </w:tc>
        <w:tc>
          <w:tcPr>
            <w:tcW w:w="1753" w:type="dxa"/>
          </w:tcPr>
          <w:p>
            <w:pPr>
              <w:pStyle w:val="TableParagraph"/>
              <w:spacing w:line="344" w:lineRule="exact"/>
              <w:ind w:left="109"/>
              <w:rPr>
                <w:sz w:val="20"/>
              </w:rPr>
            </w:pPr>
            <w:r>
              <w:rPr>
                <w:sz w:val="20"/>
              </w:rPr>
              <w:t>事故狀況</w:t>
            </w:r>
          </w:p>
        </w:tc>
        <w:tc>
          <w:tcPr>
            <w:tcW w:w="1959" w:type="dxa"/>
          </w:tcPr>
          <w:p>
            <w:pPr>
              <w:pStyle w:val="TableParagraph"/>
              <w:spacing w:line="333" w:lineRule="exact"/>
              <w:ind w:left="108"/>
              <w:rPr>
                <w:sz w:val="20"/>
              </w:rPr>
            </w:pPr>
            <w:r>
              <w:rPr>
                <w:spacing w:val="-1"/>
                <w:sz w:val="20"/>
              </w:rPr>
              <w:t>先前、理想或未發</w:t>
            </w:r>
          </w:p>
          <w:p>
            <w:pPr>
              <w:pStyle w:val="TableParagraph"/>
              <w:spacing w:line="339" w:lineRule="exact"/>
              <w:ind w:left="108"/>
              <w:rPr>
                <w:rFonts w:ascii="Segoe UI" w:eastAsia="Segoe UI"/>
                <w:sz w:val="20"/>
              </w:rPr>
            </w:pPr>
            <w:r>
              <w:rPr>
                <w:spacing w:val="8"/>
                <w:sz w:val="20"/>
              </w:rPr>
              <w:t>生事故狀況 </w:t>
            </w:r>
            <w:r>
              <w:rPr>
                <w:rFonts w:ascii="Segoe UI" w:eastAsia="Segoe UI"/>
                <w:sz w:val="20"/>
              </w:rPr>
              <w:t>(</w:t>
            </w:r>
            <w:r>
              <w:rPr>
                <w:sz w:val="20"/>
              </w:rPr>
              <w:t>假設</w:t>
            </w:r>
            <w:r>
              <w:rPr>
                <w:rFonts w:ascii="Segoe UI" w:eastAsia="Segoe UI"/>
                <w:sz w:val="20"/>
              </w:rPr>
              <w:t>)</w:t>
            </w:r>
          </w:p>
        </w:tc>
        <w:tc>
          <w:tcPr>
            <w:tcW w:w="1598" w:type="dxa"/>
          </w:tcPr>
          <w:p>
            <w:pPr>
              <w:pStyle w:val="TableParagraph"/>
              <w:spacing w:line="344" w:lineRule="exact"/>
              <w:ind w:left="109"/>
              <w:rPr>
                <w:rFonts w:ascii="Segoe UI" w:eastAsia="Segoe UI"/>
                <w:sz w:val="20"/>
              </w:rPr>
            </w:pPr>
            <w:r>
              <w:rPr>
                <w:sz w:val="20"/>
              </w:rPr>
              <w:t>差異 </w:t>
            </w:r>
            <w:r>
              <w:rPr>
                <w:rFonts w:ascii="Segoe UI" w:eastAsia="Segoe UI"/>
                <w:sz w:val="20"/>
              </w:rPr>
              <w:t>(</w:t>
            </w:r>
            <w:r>
              <w:rPr>
                <w:sz w:val="20"/>
              </w:rPr>
              <w:t>變更</w:t>
            </w:r>
            <w:r>
              <w:rPr>
                <w:rFonts w:ascii="Segoe UI" w:eastAsia="Segoe UI"/>
                <w:sz w:val="20"/>
              </w:rPr>
              <w:t>)</w:t>
            </w:r>
          </w:p>
        </w:tc>
        <w:tc>
          <w:tcPr>
            <w:tcW w:w="2973" w:type="dxa"/>
          </w:tcPr>
          <w:p>
            <w:pPr>
              <w:pStyle w:val="TableParagraph"/>
              <w:spacing w:line="344" w:lineRule="exact"/>
              <w:ind w:left="108"/>
              <w:rPr>
                <w:rFonts w:ascii="Segoe UI" w:eastAsia="Segoe UI"/>
                <w:sz w:val="20"/>
              </w:rPr>
            </w:pPr>
            <w:r>
              <w:rPr>
                <w:sz w:val="20"/>
              </w:rPr>
              <w:t>效果評估 </w:t>
            </w:r>
            <w:r>
              <w:rPr>
                <w:rFonts w:ascii="Segoe UI" w:eastAsia="Segoe UI"/>
                <w:sz w:val="20"/>
              </w:rPr>
              <w:t>(</w:t>
            </w:r>
            <w:r>
              <w:rPr>
                <w:sz w:val="20"/>
              </w:rPr>
              <w:t>差異對事故的影響</w:t>
            </w:r>
            <w:r>
              <w:rPr>
                <w:rFonts w:ascii="Segoe UI" w:eastAsia="Segoe UI"/>
                <w:sz w:val="20"/>
              </w:rPr>
              <w:t>)</w:t>
            </w:r>
          </w:p>
        </w:tc>
      </w:tr>
      <w:tr>
        <w:trPr>
          <w:trHeight w:val="1383" w:hRule="atLeast"/>
        </w:trPr>
        <w:tc>
          <w:tcPr>
            <w:tcW w:w="1062" w:type="dxa"/>
          </w:tcPr>
          <w:p>
            <w:pPr>
              <w:pStyle w:val="TableParagraph"/>
              <w:spacing w:line="248" w:lineRule="exact"/>
              <w:rPr>
                <w:rFonts w:ascii="Segoe UI"/>
                <w:b/>
                <w:sz w:val="20"/>
              </w:rPr>
            </w:pPr>
            <w:r>
              <w:rPr>
                <w:rFonts w:ascii="Segoe UI"/>
                <w:b/>
                <w:sz w:val="20"/>
              </w:rPr>
              <w:t>WHAT</w:t>
            </w:r>
          </w:p>
          <w:p>
            <w:pPr>
              <w:pStyle w:val="TableParagraph"/>
              <w:spacing w:line="362" w:lineRule="exact"/>
              <w:rPr>
                <w:rFonts w:ascii="Segoe UI" w:eastAsia="Segoe UI"/>
                <w:sz w:val="20"/>
              </w:rPr>
            </w:pPr>
            <w:r>
              <w:rPr>
                <w:rFonts w:ascii="Segoe UI" w:eastAsia="Segoe UI"/>
                <w:sz w:val="20"/>
              </w:rPr>
              <w:t>(</w:t>
            </w:r>
            <w:r>
              <w:rPr>
                <w:sz w:val="20"/>
              </w:rPr>
              <w:t>什麼</w:t>
            </w:r>
            <w:r>
              <w:rPr>
                <w:rFonts w:ascii="Segoe UI" w:eastAsia="Segoe UI"/>
                <w:sz w:val="20"/>
              </w:rPr>
              <w:t>)</w:t>
            </w:r>
          </w:p>
        </w:tc>
        <w:tc>
          <w:tcPr>
            <w:tcW w:w="1753" w:type="dxa"/>
          </w:tcPr>
          <w:p>
            <w:pPr>
              <w:pStyle w:val="TableParagraph"/>
              <w:spacing w:line="225" w:lineRule="auto"/>
              <w:ind w:left="109" w:right="231"/>
              <w:jc w:val="both"/>
              <w:rPr>
                <w:sz w:val="20"/>
              </w:rPr>
            </w:pPr>
            <w:r>
              <w:rPr>
                <w:sz w:val="20"/>
              </w:rPr>
              <w:t>使用一台「未裝設」自動電擊防止裝置的交流電</w:t>
            </w:r>
          </w:p>
          <w:p>
            <w:pPr>
              <w:pStyle w:val="TableParagraph"/>
              <w:spacing w:line="334" w:lineRule="exact"/>
              <w:ind w:left="109"/>
              <w:jc w:val="both"/>
              <w:rPr>
                <w:sz w:val="20"/>
              </w:rPr>
            </w:pPr>
            <w:r>
              <w:rPr>
                <w:sz w:val="20"/>
              </w:rPr>
              <w:t>焊機。</w:t>
            </w:r>
          </w:p>
        </w:tc>
        <w:tc>
          <w:tcPr>
            <w:tcW w:w="1959" w:type="dxa"/>
          </w:tcPr>
          <w:p>
            <w:pPr>
              <w:pStyle w:val="TableParagraph"/>
              <w:spacing w:line="225" w:lineRule="auto"/>
              <w:ind w:left="108" w:right="238"/>
              <w:rPr>
                <w:sz w:val="20"/>
              </w:rPr>
            </w:pPr>
            <w:r>
              <w:rPr>
                <w:sz w:val="20"/>
              </w:rPr>
              <w:t>使用一台「已裝 </w:t>
            </w:r>
            <w:r>
              <w:rPr>
                <w:spacing w:val="-3"/>
                <w:sz w:val="20"/>
              </w:rPr>
              <w:t>設」且功能正常的自動電擊防止裝置</w:t>
            </w:r>
          </w:p>
          <w:p>
            <w:pPr>
              <w:pStyle w:val="TableParagraph"/>
              <w:spacing w:line="334" w:lineRule="exact"/>
              <w:ind w:left="108"/>
              <w:rPr>
                <w:sz w:val="20"/>
              </w:rPr>
            </w:pPr>
            <w:r>
              <w:rPr>
                <w:sz w:val="20"/>
              </w:rPr>
              <w:t>的電焊機。</w:t>
            </w:r>
          </w:p>
        </w:tc>
        <w:tc>
          <w:tcPr>
            <w:tcW w:w="1598" w:type="dxa"/>
          </w:tcPr>
          <w:p>
            <w:pPr>
              <w:pStyle w:val="TableParagraph"/>
              <w:spacing w:line="225" w:lineRule="auto"/>
              <w:ind w:left="109" w:right="275"/>
              <w:jc w:val="both"/>
              <w:rPr>
                <w:sz w:val="20"/>
              </w:rPr>
            </w:pPr>
            <w:r>
              <w:rPr>
                <w:sz w:val="20"/>
              </w:rPr>
              <w:t>設備的「本質安全」等級由安全變為極度</w:t>
            </w:r>
          </w:p>
          <w:p>
            <w:pPr>
              <w:pStyle w:val="TableParagraph"/>
              <w:spacing w:line="334" w:lineRule="exact"/>
              <w:ind w:left="109"/>
              <w:jc w:val="both"/>
              <w:rPr>
                <w:sz w:val="20"/>
              </w:rPr>
            </w:pPr>
            <w:r>
              <w:rPr>
                <w:sz w:val="20"/>
              </w:rPr>
              <w:t>危險。</w:t>
            </w:r>
          </w:p>
        </w:tc>
        <w:tc>
          <w:tcPr>
            <w:tcW w:w="2973" w:type="dxa"/>
          </w:tcPr>
          <w:p>
            <w:pPr>
              <w:pStyle w:val="TableParagraph"/>
              <w:spacing w:line="225" w:lineRule="auto"/>
              <w:ind w:left="109" w:right="190" w:hanging="1"/>
              <w:jc w:val="both"/>
              <w:rPr>
                <w:sz w:val="20"/>
              </w:rPr>
            </w:pPr>
            <w:r>
              <w:rPr>
                <w:sz w:val="20"/>
              </w:rPr>
              <w:t>這是最關鍵的差異。此變更</w:t>
            </w:r>
            <w:r>
              <w:rPr>
                <w:rFonts w:ascii="Segoe UI" w:eastAsia="Segoe UI"/>
                <w:sz w:val="20"/>
              </w:rPr>
              <w:t>(</w:t>
            </w:r>
            <w:r>
              <w:rPr>
                <w:sz w:val="20"/>
              </w:rPr>
              <w:t>或說缺陷</w:t>
            </w:r>
            <w:r>
              <w:rPr>
                <w:rFonts w:ascii="Segoe UI" w:eastAsia="Segoe UI"/>
                <w:sz w:val="20"/>
              </w:rPr>
              <w:t>)</w:t>
            </w:r>
            <w:r>
              <w:rPr>
                <w:sz w:val="20"/>
              </w:rPr>
              <w:t>讓設備本身成為一個持續存在的陷阱，在非焊接時持</w:t>
            </w:r>
          </w:p>
          <w:p>
            <w:pPr>
              <w:pStyle w:val="TableParagraph"/>
              <w:spacing w:line="334" w:lineRule="exact"/>
              <w:ind w:left="109"/>
              <w:jc w:val="both"/>
              <w:rPr>
                <w:sz w:val="20"/>
              </w:rPr>
            </w:pPr>
            <w:r>
              <w:rPr>
                <w:sz w:val="20"/>
              </w:rPr>
              <w:t>續輸出致命電壓。</w:t>
            </w:r>
          </w:p>
        </w:tc>
      </w:tr>
      <w:tr>
        <w:trPr>
          <w:trHeight w:val="1384" w:hRule="atLeast"/>
        </w:trPr>
        <w:tc>
          <w:tcPr>
            <w:tcW w:w="1062" w:type="dxa"/>
          </w:tcPr>
          <w:p>
            <w:pPr>
              <w:pStyle w:val="TableParagraph"/>
              <w:spacing w:line="334" w:lineRule="exact"/>
              <w:rPr>
                <w:sz w:val="20"/>
              </w:rPr>
            </w:pPr>
            <w:r>
              <w:rPr>
                <w:rFonts w:ascii="Segoe UI" w:eastAsia="Segoe UI"/>
                <w:b/>
                <w:sz w:val="20"/>
              </w:rPr>
              <w:t>HOW </w:t>
            </w:r>
            <w:r>
              <w:rPr>
                <w:rFonts w:ascii="Segoe UI" w:eastAsia="Segoe UI"/>
                <w:sz w:val="20"/>
              </w:rPr>
              <w:t>(</w:t>
            </w:r>
            <w:r>
              <w:rPr>
                <w:sz w:val="20"/>
              </w:rPr>
              <w:t>如</w:t>
            </w:r>
          </w:p>
          <w:p>
            <w:pPr>
              <w:pStyle w:val="TableParagraph"/>
              <w:spacing w:line="357" w:lineRule="exact"/>
              <w:rPr>
                <w:rFonts w:ascii="Segoe UI" w:eastAsia="Segoe UI"/>
                <w:sz w:val="20"/>
              </w:rPr>
            </w:pPr>
            <w:r>
              <w:rPr>
                <w:sz w:val="20"/>
              </w:rPr>
              <w:t>何</w:t>
            </w:r>
            <w:r>
              <w:rPr>
                <w:rFonts w:ascii="Segoe UI" w:eastAsia="Segoe UI"/>
                <w:sz w:val="20"/>
              </w:rPr>
              <w:t>)</w:t>
            </w:r>
          </w:p>
        </w:tc>
        <w:tc>
          <w:tcPr>
            <w:tcW w:w="1753" w:type="dxa"/>
          </w:tcPr>
          <w:p>
            <w:pPr>
              <w:pStyle w:val="TableParagraph"/>
              <w:spacing w:line="225" w:lineRule="auto"/>
              <w:ind w:left="108" w:right="231"/>
              <w:rPr>
                <w:sz w:val="20"/>
              </w:rPr>
            </w:pPr>
            <w:r>
              <w:rPr>
                <w:spacing w:val="-3"/>
                <w:sz w:val="20"/>
              </w:rPr>
              <w:t>勞工「跨坐」在作為接地迴路的</w:t>
            </w:r>
          </w:p>
          <w:p>
            <w:pPr>
              <w:pStyle w:val="TableParagraph"/>
              <w:spacing w:line="352" w:lineRule="exact"/>
              <w:ind w:left="108"/>
              <w:rPr>
                <w:sz w:val="20"/>
              </w:rPr>
            </w:pPr>
            <w:r>
              <w:rPr>
                <w:rFonts w:ascii="Segoe UI" w:eastAsia="Segoe UI"/>
                <w:sz w:val="20"/>
              </w:rPr>
              <w:t>H</w:t>
            </w:r>
            <w:r>
              <w:rPr>
                <w:rFonts w:ascii="Segoe UI" w:eastAsia="Segoe UI"/>
                <w:spacing w:val="-10"/>
                <w:sz w:val="20"/>
              </w:rPr>
              <w:t> </w:t>
            </w:r>
            <w:r>
              <w:rPr>
                <w:sz w:val="20"/>
              </w:rPr>
              <w:t>型鋼上作業。</w:t>
            </w:r>
          </w:p>
        </w:tc>
        <w:tc>
          <w:tcPr>
            <w:tcW w:w="1959" w:type="dxa"/>
          </w:tcPr>
          <w:p>
            <w:pPr>
              <w:pStyle w:val="TableParagraph"/>
              <w:spacing w:line="225" w:lineRule="auto"/>
              <w:ind w:right="238"/>
              <w:jc w:val="both"/>
              <w:rPr>
                <w:sz w:val="20"/>
              </w:rPr>
            </w:pPr>
            <w:r>
              <w:rPr>
                <w:sz w:val="20"/>
              </w:rPr>
              <w:t>勞工站立於絕緣平台，或身體與接地工件保持有效絕緣</w:t>
            </w:r>
          </w:p>
          <w:p>
            <w:pPr>
              <w:pStyle w:val="TableParagraph"/>
              <w:spacing w:line="334" w:lineRule="exact"/>
              <w:jc w:val="both"/>
              <w:rPr>
                <w:sz w:val="20"/>
              </w:rPr>
            </w:pPr>
            <w:r>
              <w:rPr>
                <w:sz w:val="20"/>
              </w:rPr>
              <w:t>隔離。</w:t>
            </w:r>
          </w:p>
        </w:tc>
        <w:tc>
          <w:tcPr>
            <w:tcW w:w="1598" w:type="dxa"/>
          </w:tcPr>
          <w:p>
            <w:pPr>
              <w:pStyle w:val="TableParagraph"/>
              <w:spacing w:line="225" w:lineRule="auto"/>
              <w:ind w:left="109" w:right="275"/>
              <w:rPr>
                <w:sz w:val="20"/>
              </w:rPr>
            </w:pPr>
            <w:r>
              <w:rPr>
                <w:sz w:val="20"/>
              </w:rPr>
              <w:t>作 業 的 「 方 法」讓身體成為接地路徑的</w:t>
            </w:r>
          </w:p>
          <w:p>
            <w:pPr>
              <w:pStyle w:val="TableParagraph"/>
              <w:spacing w:line="334" w:lineRule="exact"/>
              <w:ind w:left="109"/>
              <w:rPr>
                <w:sz w:val="20"/>
              </w:rPr>
            </w:pPr>
            <w:r>
              <w:rPr>
                <w:sz w:val="20"/>
              </w:rPr>
              <w:t>一部分。</w:t>
            </w:r>
          </w:p>
        </w:tc>
        <w:tc>
          <w:tcPr>
            <w:tcW w:w="2973" w:type="dxa"/>
          </w:tcPr>
          <w:p>
            <w:pPr>
              <w:pStyle w:val="TableParagraph"/>
              <w:spacing w:line="225" w:lineRule="auto"/>
              <w:ind w:left="108" w:right="251"/>
              <w:rPr>
                <w:sz w:val="20"/>
              </w:rPr>
            </w:pPr>
            <w:r>
              <w:rPr>
                <w:spacing w:val="-2"/>
                <w:sz w:val="20"/>
              </w:rPr>
              <w:t>大幅降低了感電迴路的電阻， </w:t>
            </w:r>
            <w:r>
              <w:rPr>
                <w:sz w:val="20"/>
              </w:rPr>
              <w:t>使微小電流都能造成致命傷 害。</w:t>
            </w:r>
          </w:p>
        </w:tc>
      </w:tr>
      <w:tr>
        <w:trPr>
          <w:trHeight w:val="1383" w:hRule="atLeast"/>
        </w:trPr>
        <w:tc>
          <w:tcPr>
            <w:tcW w:w="1062" w:type="dxa"/>
          </w:tcPr>
          <w:p>
            <w:pPr>
              <w:pStyle w:val="TableParagraph"/>
              <w:spacing w:line="333" w:lineRule="exact"/>
              <w:rPr>
                <w:b/>
                <w:sz w:val="20"/>
              </w:rPr>
            </w:pPr>
            <w:r>
              <w:rPr>
                <w:rFonts w:ascii="Segoe UI" w:eastAsia="Segoe UI"/>
                <w:b/>
                <w:sz w:val="20"/>
              </w:rPr>
              <w:t>WHO (</w:t>
            </w:r>
            <w:r>
              <w:rPr>
                <w:b/>
                <w:sz w:val="20"/>
              </w:rPr>
              <w:t>狀</w:t>
            </w:r>
          </w:p>
          <w:p>
            <w:pPr>
              <w:pStyle w:val="TableParagraph"/>
              <w:spacing w:line="357" w:lineRule="exact"/>
              <w:rPr>
                <w:rFonts w:ascii="Segoe UI" w:eastAsia="Segoe UI"/>
                <w:b/>
                <w:sz w:val="20"/>
              </w:rPr>
            </w:pPr>
            <w:r>
              <w:rPr>
                <w:b/>
                <w:sz w:val="20"/>
              </w:rPr>
              <w:t>態</w:t>
            </w:r>
            <w:r>
              <w:rPr>
                <w:rFonts w:ascii="Segoe UI" w:eastAsia="Segoe UI"/>
                <w:b/>
                <w:sz w:val="20"/>
              </w:rPr>
              <w:t>)</w:t>
            </w:r>
          </w:p>
        </w:tc>
        <w:tc>
          <w:tcPr>
            <w:tcW w:w="1753" w:type="dxa"/>
          </w:tcPr>
          <w:p>
            <w:pPr>
              <w:pStyle w:val="TableParagraph"/>
              <w:spacing w:line="225" w:lineRule="auto"/>
              <w:ind w:left="108" w:right="231"/>
              <w:jc w:val="both"/>
              <w:rPr>
                <w:sz w:val="20"/>
              </w:rPr>
            </w:pPr>
            <w:r>
              <w:rPr>
                <w:sz w:val="20"/>
              </w:rPr>
              <w:t>勞工在「身體潮濕」的狀態下作業。</w:t>
            </w:r>
          </w:p>
        </w:tc>
        <w:tc>
          <w:tcPr>
            <w:tcW w:w="1959" w:type="dxa"/>
          </w:tcPr>
          <w:p>
            <w:pPr>
              <w:pStyle w:val="TableParagraph"/>
              <w:spacing w:line="225" w:lineRule="auto"/>
              <w:ind w:right="238"/>
              <w:jc w:val="both"/>
              <w:rPr>
                <w:sz w:val="20"/>
              </w:rPr>
            </w:pPr>
            <w:r>
              <w:rPr>
                <w:sz w:val="20"/>
              </w:rPr>
              <w:t>勞工在身體與防護具均保持乾燥的狀態下作業。</w:t>
            </w:r>
          </w:p>
        </w:tc>
        <w:tc>
          <w:tcPr>
            <w:tcW w:w="1598" w:type="dxa"/>
          </w:tcPr>
          <w:p>
            <w:pPr>
              <w:pStyle w:val="TableParagraph"/>
              <w:spacing w:line="225" w:lineRule="auto"/>
              <w:ind w:left="109" w:right="275"/>
              <w:jc w:val="both"/>
              <w:rPr>
                <w:sz w:val="20"/>
              </w:rPr>
            </w:pPr>
            <w:r>
              <w:rPr>
                <w:sz w:val="20"/>
              </w:rPr>
              <w:t>人員的「生理狀態」由高電阻變為低電</w:t>
            </w:r>
          </w:p>
          <w:p>
            <w:pPr>
              <w:pStyle w:val="TableParagraph"/>
              <w:spacing w:line="334" w:lineRule="exact"/>
              <w:ind w:left="109"/>
              <w:jc w:val="both"/>
              <w:rPr>
                <w:sz w:val="20"/>
              </w:rPr>
            </w:pPr>
            <w:r>
              <w:rPr>
                <w:sz w:val="20"/>
              </w:rPr>
              <w:t>阻。</w:t>
            </w:r>
          </w:p>
        </w:tc>
        <w:tc>
          <w:tcPr>
            <w:tcW w:w="2973" w:type="dxa"/>
          </w:tcPr>
          <w:p>
            <w:pPr>
              <w:pStyle w:val="TableParagraph"/>
              <w:spacing w:line="225" w:lineRule="auto"/>
              <w:ind w:left="108" w:right="251"/>
              <w:rPr>
                <w:sz w:val="20"/>
              </w:rPr>
            </w:pPr>
            <w:r>
              <w:rPr>
                <w:sz w:val="20"/>
              </w:rPr>
              <w:t>潮濕的皮膚電阻極低，讓致命電流能輕易通過人體。</w:t>
            </w:r>
          </w:p>
        </w:tc>
      </w:tr>
      <w:tr>
        <w:trPr>
          <w:trHeight w:val="1384" w:hRule="atLeast"/>
        </w:trPr>
        <w:tc>
          <w:tcPr>
            <w:tcW w:w="1062" w:type="dxa"/>
          </w:tcPr>
          <w:p>
            <w:pPr>
              <w:pStyle w:val="TableParagraph"/>
              <w:spacing w:line="248" w:lineRule="exact"/>
              <w:rPr>
                <w:rFonts w:ascii="Segoe UI"/>
                <w:b/>
                <w:sz w:val="20"/>
              </w:rPr>
            </w:pPr>
            <w:r>
              <w:rPr>
                <w:rFonts w:ascii="Segoe UI"/>
                <w:b/>
                <w:sz w:val="20"/>
              </w:rPr>
              <w:t>WHERE</w:t>
            </w:r>
          </w:p>
          <w:p>
            <w:pPr>
              <w:pStyle w:val="TableParagraph"/>
              <w:spacing w:line="362" w:lineRule="exact"/>
              <w:rPr>
                <w:rFonts w:ascii="Segoe UI" w:eastAsia="Segoe UI"/>
                <w:sz w:val="20"/>
              </w:rPr>
            </w:pPr>
            <w:r>
              <w:rPr>
                <w:rFonts w:ascii="Segoe UI" w:eastAsia="Segoe UI"/>
                <w:sz w:val="20"/>
              </w:rPr>
              <w:t>(</w:t>
            </w:r>
            <w:r>
              <w:rPr>
                <w:sz w:val="20"/>
              </w:rPr>
              <w:t>何地</w:t>
            </w:r>
            <w:r>
              <w:rPr>
                <w:rFonts w:ascii="Segoe UI" w:eastAsia="Segoe UI"/>
                <w:sz w:val="20"/>
              </w:rPr>
              <w:t>)</w:t>
            </w:r>
          </w:p>
        </w:tc>
        <w:tc>
          <w:tcPr>
            <w:tcW w:w="1753" w:type="dxa"/>
          </w:tcPr>
          <w:p>
            <w:pPr>
              <w:pStyle w:val="TableParagraph"/>
              <w:spacing w:line="225" w:lineRule="auto"/>
              <w:ind w:left="109" w:right="231"/>
              <w:rPr>
                <w:sz w:val="20"/>
              </w:rPr>
            </w:pPr>
            <w:r>
              <w:rPr>
                <w:sz w:val="20"/>
              </w:rPr>
              <w:t>在高處、可能悶熱的環境作業。</w:t>
            </w:r>
          </w:p>
        </w:tc>
        <w:tc>
          <w:tcPr>
            <w:tcW w:w="1959" w:type="dxa"/>
          </w:tcPr>
          <w:p>
            <w:pPr>
              <w:pStyle w:val="TableParagraph"/>
              <w:spacing w:line="225" w:lineRule="auto"/>
              <w:ind w:left="108" w:right="238"/>
              <w:jc w:val="both"/>
              <w:rPr>
                <w:sz w:val="20"/>
              </w:rPr>
            </w:pPr>
            <w:r>
              <w:rPr>
                <w:sz w:val="20"/>
              </w:rPr>
              <w:t>在通風良好、可隨時補充水分保持乾燥的環境作業。</w:t>
            </w:r>
          </w:p>
        </w:tc>
        <w:tc>
          <w:tcPr>
            <w:tcW w:w="1598" w:type="dxa"/>
          </w:tcPr>
          <w:p>
            <w:pPr>
              <w:pStyle w:val="TableParagraph"/>
              <w:spacing w:line="225" w:lineRule="auto"/>
              <w:ind w:left="109" w:right="274"/>
              <w:jc w:val="both"/>
              <w:rPr>
                <w:sz w:val="20"/>
              </w:rPr>
            </w:pPr>
            <w:r>
              <w:rPr>
                <w:sz w:val="20"/>
              </w:rPr>
              <w:t>作業「環境」增加了導致身體潮濕的因</w:t>
            </w:r>
          </w:p>
          <w:p>
            <w:pPr>
              <w:pStyle w:val="TableParagraph"/>
              <w:spacing w:line="335" w:lineRule="exact"/>
              <w:ind w:left="109"/>
              <w:jc w:val="both"/>
              <w:rPr>
                <w:sz w:val="20"/>
              </w:rPr>
            </w:pPr>
            <w:r>
              <w:rPr>
                <w:sz w:val="20"/>
              </w:rPr>
              <w:t>素。</w:t>
            </w:r>
          </w:p>
        </w:tc>
        <w:tc>
          <w:tcPr>
            <w:tcW w:w="2973" w:type="dxa"/>
          </w:tcPr>
          <w:p>
            <w:pPr>
              <w:pStyle w:val="TableParagraph"/>
              <w:spacing w:line="225" w:lineRule="auto"/>
              <w:ind w:left="108" w:right="251"/>
              <w:rPr>
                <w:sz w:val="20"/>
              </w:rPr>
            </w:pPr>
            <w:r>
              <w:rPr>
                <w:sz w:val="20"/>
              </w:rPr>
              <w:t>此環境因素加劇了人員生理狀態的惡化，增加了感電風險。</w:t>
            </w:r>
          </w:p>
        </w:tc>
      </w:tr>
    </w:tbl>
    <w:p>
      <w:pPr>
        <w:spacing w:after="0" w:line="225" w:lineRule="auto"/>
        <w:rPr>
          <w:sz w:val="20"/>
        </w:rPr>
        <w:sectPr>
          <w:pgSz w:w="11910" w:h="16840"/>
          <w:pgMar w:top="1420" w:bottom="280" w:left="1160" w:right="1160"/>
        </w:sectPr>
      </w:pPr>
    </w:p>
    <w:p>
      <w:pPr>
        <w:pStyle w:val="BodyText"/>
        <w:spacing w:before="17"/>
        <w:rPr>
          <w:sz w:val="15"/>
        </w:rPr>
      </w:pPr>
    </w:p>
    <w:p>
      <w:pPr>
        <w:pStyle w:val="BodyText"/>
        <w:spacing w:line="31" w:lineRule="exact"/>
        <w:ind w:left="101"/>
        <w:rPr>
          <w:sz w:val="3"/>
        </w:rPr>
      </w:pPr>
      <w:r>
        <w:rPr>
          <w:position w:val="0"/>
          <w:sz w:val="3"/>
        </w:rPr>
        <w:pict>
          <v:group style="width:467.85pt;height:1.55pt;mso-position-horizontal-relative:char;mso-position-vertical-relative:line" coordorigin="0,0" coordsize="9357,31">
            <v:line style="position:absolute" from="0,15" to="9356,15" stroked="true" strokeweight="1.5pt" strokecolor="#9f9f9f">
              <v:stroke dashstyle="solid"/>
            </v:line>
            <v:rect style="position:absolute;left:0;top:0;width:5;height:5" filled="true" fillcolor="#9f9f9f" stroked="false">
              <v:fill type="solid"/>
            </v:rect>
            <v:rect style="position:absolute;left:0;top:0;width:5;height:5" filled="true" fillcolor="#9f9f9f" stroked="false">
              <v:fill type="solid"/>
            </v:rect>
            <v:line style="position:absolute" from="5,3" to="9352,3" stroked="true" strokeweight=".239pt" strokecolor="#9f9f9f">
              <v:stroke dashstyle="solid"/>
            </v:line>
            <v:rect style="position:absolute;left:9351;top:0;width:5;height:5" filled="true" fillcolor="#e2e2e2" stroked="false">
              <v:fill type="solid"/>
            </v:rect>
            <v:rect style="position:absolute;left:9351;top:0;width:5;height:5" filled="true" fillcolor="#9f9f9f" stroked="false">
              <v:fill type="solid"/>
            </v:rect>
            <v:rect style="position:absolute;left:0;top:5;width:5;height:21" filled="true" fillcolor="#9f9f9f" stroked="false">
              <v:fill type="solid"/>
            </v:rect>
            <v:rect style="position:absolute;left:9351;top:5;width:5;height:21" filled="true" fillcolor="#e2e2e2" stroked="false">
              <v:fill type="solid"/>
            </v:rect>
            <v:rect style="position:absolute;left:0;top:25;width:5;height:5" filled="true" fillcolor="#9f9f9f" stroked="false">
              <v:fill type="solid"/>
            </v:rect>
            <v:rect style="position:absolute;left:0;top:25;width:5;height:5" filled="true" fillcolor="#e2e2e2" stroked="false">
              <v:fill type="solid"/>
            </v:rect>
            <v:line style="position:absolute" from="5,28" to="9352,28" stroked="true" strokeweight=".239pt" strokecolor="#e2e2e2">
              <v:stroke dashstyle="solid"/>
            </v:line>
            <v:rect style="position:absolute;left:9351;top:25;width:5;height:5" filled="true" fillcolor="#e2e2e2" stroked="false">
              <v:fill type="solid"/>
            </v:rect>
            <v:rect style="position:absolute;left:9351;top:25;width:5;height:5" filled="true" fillcolor="#e2e2e2" stroked="false">
              <v:fill type="solid"/>
            </v:rect>
          </v:group>
        </w:pict>
      </w:r>
      <w:r>
        <w:rPr>
          <w:position w:val="0"/>
          <w:sz w:val="3"/>
        </w:rPr>
      </w:r>
    </w:p>
    <w:p>
      <w:pPr>
        <w:pStyle w:val="Heading1"/>
        <w:spacing w:line="240" w:lineRule="auto" w:before="36"/>
        <w:rPr>
          <w:rFonts w:ascii="Calibri" w:eastAsia="Calibri"/>
        </w:rPr>
      </w:pPr>
      <w:r>
        <w:rPr/>
        <w:t>六</w:t>
      </w:r>
      <w:r>
        <w:rPr>
          <w:rFonts w:ascii="Calibri" w:eastAsia="Calibri"/>
        </w:rPr>
        <w:t>. </w:t>
      </w:r>
      <w:r>
        <w:rPr/>
        <w:t>人為失誤分析  </w:t>
      </w:r>
      <w:r>
        <w:rPr>
          <w:rFonts w:ascii="Calibri" w:eastAsia="Calibri"/>
        </w:rPr>
        <w:t>(Human Failure Analysis)</w:t>
      </w:r>
    </w:p>
    <w:p>
      <w:pPr>
        <w:pStyle w:val="BodyText"/>
        <w:spacing w:before="280"/>
        <w:ind w:left="115"/>
        <w:rPr>
          <w:rFonts w:ascii="新細明體" w:eastAsia="新細明體" w:hint="eastAsia"/>
        </w:rPr>
      </w:pPr>
      <w:r>
        <w:rPr>
          <w:rFonts w:ascii="新細明體" w:eastAsia="新細明體" w:hint="eastAsia"/>
        </w:rPr>
        <w:t>本分析探討影響人員行為的深層次原因，而非僅歸咎於個人。</w:t>
      </w:r>
    </w:p>
    <w:p>
      <w:pPr>
        <w:pStyle w:val="BodyText"/>
        <w:spacing w:before="12" w:after="1"/>
        <w:rPr>
          <w:rFonts w:ascii="新細明體"/>
          <w:sz w:val="2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4084"/>
        <w:gridCol w:w="4239"/>
      </w:tblGrid>
      <w:tr>
        <w:trPr>
          <w:trHeight w:val="345" w:hRule="atLeast"/>
        </w:trPr>
        <w:tc>
          <w:tcPr>
            <w:tcW w:w="1025" w:type="dxa"/>
          </w:tcPr>
          <w:p>
            <w:pPr>
              <w:pStyle w:val="TableParagraph"/>
              <w:spacing w:line="325" w:lineRule="exact"/>
              <w:rPr>
                <w:sz w:val="20"/>
              </w:rPr>
            </w:pPr>
            <w:r>
              <w:rPr>
                <w:sz w:val="20"/>
              </w:rPr>
              <w:t>失誤類型</w:t>
            </w:r>
          </w:p>
        </w:tc>
        <w:tc>
          <w:tcPr>
            <w:tcW w:w="4084" w:type="dxa"/>
          </w:tcPr>
          <w:p>
            <w:pPr>
              <w:pStyle w:val="TableParagraph"/>
              <w:spacing w:line="325" w:lineRule="exact"/>
              <w:rPr>
                <w:sz w:val="20"/>
              </w:rPr>
            </w:pPr>
            <w:r>
              <w:rPr>
                <w:sz w:val="20"/>
              </w:rPr>
              <w:t>主要不安全行為</w:t>
            </w:r>
            <w:r>
              <w:rPr>
                <w:rFonts w:ascii="Segoe UI" w:eastAsia="Segoe UI"/>
                <w:sz w:val="20"/>
              </w:rPr>
              <w:t>/</w:t>
            </w:r>
            <w:r>
              <w:rPr>
                <w:sz w:val="20"/>
              </w:rPr>
              <w:t>失誤</w:t>
            </w:r>
          </w:p>
        </w:tc>
        <w:tc>
          <w:tcPr>
            <w:tcW w:w="4239" w:type="dxa"/>
          </w:tcPr>
          <w:p>
            <w:pPr>
              <w:pStyle w:val="TableParagraph"/>
              <w:spacing w:line="325" w:lineRule="exact"/>
              <w:rPr>
                <w:rFonts w:ascii="Segoe UI" w:eastAsia="Segoe UI"/>
                <w:sz w:val="20"/>
              </w:rPr>
            </w:pPr>
            <w:r>
              <w:rPr>
                <w:sz w:val="20"/>
              </w:rPr>
              <w:t>根本原因 </w:t>
            </w:r>
            <w:r>
              <w:rPr>
                <w:rFonts w:ascii="Segoe UI" w:eastAsia="Segoe UI"/>
                <w:sz w:val="20"/>
              </w:rPr>
              <w:t>(</w:t>
            </w:r>
            <w:r>
              <w:rPr>
                <w:sz w:val="20"/>
              </w:rPr>
              <w:t>組織與系統層面</w:t>
            </w:r>
            <w:r>
              <w:rPr>
                <w:rFonts w:ascii="Segoe UI" w:eastAsia="Segoe UI"/>
                <w:sz w:val="20"/>
              </w:rPr>
              <w:t>)</w:t>
            </w:r>
          </w:p>
        </w:tc>
      </w:tr>
      <w:tr>
        <w:trPr>
          <w:trHeight w:val="2421" w:hRule="atLeast"/>
        </w:trPr>
        <w:tc>
          <w:tcPr>
            <w:tcW w:w="1025" w:type="dxa"/>
          </w:tcPr>
          <w:p>
            <w:pPr>
              <w:pStyle w:val="TableParagraph"/>
              <w:spacing w:line="225" w:lineRule="auto" w:before="5"/>
              <w:ind w:right="103"/>
              <w:rPr>
                <w:b/>
                <w:sz w:val="20"/>
              </w:rPr>
            </w:pPr>
            <w:r>
              <w:rPr>
                <w:b/>
                <w:sz w:val="20"/>
              </w:rPr>
              <w:t>知識性錯誤</w:t>
            </w:r>
          </w:p>
        </w:tc>
        <w:tc>
          <w:tcPr>
            <w:tcW w:w="4084" w:type="dxa"/>
          </w:tcPr>
          <w:p>
            <w:pPr>
              <w:pStyle w:val="TableParagraph"/>
              <w:spacing w:line="225" w:lineRule="auto" w:before="5"/>
              <w:ind w:right="174"/>
              <w:jc w:val="both"/>
              <w:rPr>
                <w:sz w:val="20"/>
              </w:rPr>
            </w:pPr>
            <w:r>
              <w:rPr>
                <w:b/>
                <w:sz w:val="20"/>
              </w:rPr>
              <w:t>雇主</w:t>
            </w:r>
            <w:r>
              <w:rPr>
                <w:rFonts w:ascii="Segoe UI" w:eastAsia="Segoe UI"/>
                <w:b/>
                <w:sz w:val="20"/>
              </w:rPr>
              <w:t>/</w:t>
            </w:r>
            <w:r>
              <w:rPr>
                <w:b/>
                <w:sz w:val="20"/>
              </w:rPr>
              <w:t>負責人： </w:t>
            </w:r>
            <w:r>
              <w:rPr>
                <w:sz w:val="20"/>
              </w:rPr>
              <w:t>提供並使用「未裝設」自動電擊防止裝置的交流電焊機。</w:t>
            </w:r>
          </w:p>
          <w:p>
            <w:pPr>
              <w:pStyle w:val="TableParagraph"/>
              <w:spacing w:line="225" w:lineRule="auto"/>
              <w:ind w:right="163"/>
              <w:jc w:val="both"/>
              <w:rPr>
                <w:sz w:val="20"/>
              </w:rPr>
            </w:pPr>
            <w:r>
              <w:rPr>
                <w:sz w:val="20"/>
              </w:rPr>
              <w:t>此行為顯示其對於職業安全衛生法規的強制要求，以及該裝置對於防止感電的絕對重要性，認知顯然不足。</w:t>
            </w:r>
          </w:p>
        </w:tc>
        <w:tc>
          <w:tcPr>
            <w:tcW w:w="4239" w:type="dxa"/>
          </w:tcPr>
          <w:p>
            <w:pPr>
              <w:pStyle w:val="TableParagraph"/>
              <w:numPr>
                <w:ilvl w:val="0"/>
                <w:numId w:val="5"/>
              </w:numPr>
              <w:tabs>
                <w:tab w:pos="291" w:val="left" w:leader="none"/>
              </w:tabs>
              <w:spacing w:line="225" w:lineRule="auto" w:before="5" w:after="0"/>
              <w:ind w:left="107" w:right="118" w:firstLine="0"/>
              <w:jc w:val="left"/>
              <w:rPr>
                <w:rFonts w:ascii="Segoe UI" w:hAnsi="Segoe UI" w:eastAsia="Segoe UI"/>
                <w:sz w:val="20"/>
              </w:rPr>
            </w:pPr>
            <w:r>
              <w:rPr>
                <w:b/>
                <w:sz w:val="20"/>
              </w:rPr>
              <w:t>管理系統缺陷</w:t>
            </w:r>
            <w:r>
              <w:rPr>
                <w:rFonts w:ascii="Segoe UI" w:hAnsi="Segoe UI" w:eastAsia="Segoe UI"/>
                <w:b/>
                <w:sz w:val="20"/>
              </w:rPr>
              <w:t>—</w:t>
            </w:r>
            <w:r>
              <w:rPr>
                <w:b/>
                <w:spacing w:val="5"/>
                <w:sz w:val="20"/>
              </w:rPr>
              <w:t>採購管理失靈： </w:t>
            </w:r>
            <w:r>
              <w:rPr>
                <w:sz w:val="20"/>
              </w:rPr>
              <w:t>公司在設</w:t>
            </w:r>
            <w:r>
              <w:rPr>
                <w:spacing w:val="-1"/>
                <w:sz w:val="20"/>
              </w:rPr>
              <w:t>備採購、驗收與維護上，完全沒有納入「安全衛生法規符合性」作為基本要求。這是從源頭</w:t>
            </w:r>
            <w:r>
              <w:rPr>
                <w:sz w:val="20"/>
              </w:rPr>
              <w:t>就已失效的管理。</w:t>
            </w:r>
            <w:r>
              <w:rPr>
                <w:rFonts w:ascii="Segoe UI" w:hAnsi="Segoe UI" w:eastAsia="Segoe UI"/>
                <w:sz w:val="20"/>
              </w:rPr>
              <w:t>(</w:t>
            </w:r>
            <w:r>
              <w:rPr>
                <w:sz w:val="20"/>
              </w:rPr>
              <w:t>推斷</w:t>
            </w:r>
            <w:r>
              <w:rPr>
                <w:rFonts w:ascii="Segoe UI" w:hAnsi="Segoe UI" w:eastAsia="Segoe UI"/>
                <w:sz w:val="20"/>
              </w:rPr>
              <w:t>)</w:t>
            </w:r>
          </w:p>
          <w:p>
            <w:pPr>
              <w:pStyle w:val="TableParagraph"/>
              <w:numPr>
                <w:ilvl w:val="0"/>
                <w:numId w:val="5"/>
              </w:numPr>
              <w:tabs>
                <w:tab w:pos="291" w:val="left" w:leader="none"/>
              </w:tabs>
              <w:spacing w:line="225" w:lineRule="auto" w:before="1" w:after="0"/>
              <w:ind w:left="107" w:right="119" w:firstLine="0"/>
              <w:jc w:val="left"/>
              <w:rPr>
                <w:sz w:val="20"/>
              </w:rPr>
            </w:pPr>
            <w:r>
              <w:rPr>
                <w:b/>
                <w:spacing w:val="3"/>
                <w:sz w:val="20"/>
              </w:rPr>
              <w:t>安全文化與領導力失效： </w:t>
            </w:r>
            <w:r>
              <w:rPr>
                <w:sz w:val="20"/>
              </w:rPr>
              <w:t>雇主自身安全知</w:t>
            </w:r>
            <w:r>
              <w:rPr>
                <w:spacing w:val="-1"/>
                <w:sz w:val="20"/>
              </w:rPr>
              <w:t>識匱乏，未能將保護勞工安全視為首要責任，</w:t>
            </w:r>
          </w:p>
          <w:p>
            <w:pPr>
              <w:pStyle w:val="TableParagraph"/>
              <w:spacing w:line="320" w:lineRule="exact"/>
              <w:rPr>
                <w:rFonts w:ascii="Segoe UI" w:eastAsia="Segoe UI"/>
                <w:sz w:val="20"/>
              </w:rPr>
            </w:pPr>
            <w:r>
              <w:rPr>
                <w:sz w:val="20"/>
              </w:rPr>
              <w:t>因而做出提供不安全設備的致命決策。</w:t>
            </w:r>
            <w:r>
              <w:rPr>
                <w:rFonts w:ascii="Segoe UI" w:eastAsia="Segoe UI"/>
                <w:sz w:val="20"/>
              </w:rPr>
              <w:t>(</w:t>
            </w:r>
            <w:r>
              <w:rPr>
                <w:sz w:val="20"/>
              </w:rPr>
              <w:t>推斷</w:t>
            </w:r>
            <w:r>
              <w:rPr>
                <w:rFonts w:ascii="Segoe UI" w:eastAsia="Segoe UI"/>
                <w:sz w:val="20"/>
              </w:rPr>
              <w:t>)</w:t>
            </w:r>
          </w:p>
        </w:tc>
      </w:tr>
      <w:tr>
        <w:trPr>
          <w:trHeight w:val="2421" w:hRule="atLeast"/>
        </w:trPr>
        <w:tc>
          <w:tcPr>
            <w:tcW w:w="1025" w:type="dxa"/>
          </w:tcPr>
          <w:p>
            <w:pPr>
              <w:pStyle w:val="TableParagraph"/>
              <w:spacing w:line="225" w:lineRule="auto" w:before="5"/>
              <w:ind w:right="103"/>
              <w:jc w:val="both"/>
              <w:rPr>
                <w:b/>
                <w:sz w:val="20"/>
              </w:rPr>
            </w:pPr>
            <w:r>
              <w:rPr>
                <w:b/>
                <w:sz w:val="20"/>
              </w:rPr>
              <w:t>常規性違規 </w:t>
            </w:r>
            <w:r>
              <w:rPr>
                <w:sz w:val="20"/>
              </w:rPr>
              <w:t>與 </w:t>
            </w:r>
            <w:r>
              <w:rPr>
                <w:b/>
                <w:sz w:val="20"/>
              </w:rPr>
              <w:t>知識性錯誤</w:t>
            </w:r>
          </w:p>
        </w:tc>
        <w:tc>
          <w:tcPr>
            <w:tcW w:w="4084" w:type="dxa"/>
          </w:tcPr>
          <w:p>
            <w:pPr>
              <w:pStyle w:val="TableParagraph"/>
              <w:spacing w:line="225" w:lineRule="auto" w:before="5"/>
              <w:ind w:right="162"/>
              <w:rPr>
                <w:sz w:val="20"/>
              </w:rPr>
            </w:pPr>
            <w:r>
              <w:rPr>
                <w:b/>
                <w:sz w:val="20"/>
              </w:rPr>
              <w:t>罹災者： </w:t>
            </w:r>
            <w:r>
              <w:rPr>
                <w:sz w:val="20"/>
              </w:rPr>
              <w:t>跨坐在作為接地迴路的工件上 ， 且在身體潮濕的狀態下作業 。</w:t>
            </w:r>
          </w:p>
          <w:p>
            <w:pPr>
              <w:pStyle w:val="TableParagraph"/>
              <w:spacing w:line="225" w:lineRule="auto"/>
              <w:ind w:right="163"/>
              <w:rPr>
                <w:sz w:val="20"/>
              </w:rPr>
            </w:pPr>
            <w:r>
              <w:rPr>
                <w:sz w:val="20"/>
              </w:rPr>
              <w:t>此行為若出於習慣（例如「老師傅都這樣 教」、「以前都沒事」）</w:t>
            </w:r>
            <w:r>
              <w:rPr>
                <w:spacing w:val="-2"/>
                <w:sz w:val="20"/>
              </w:rPr>
              <w:t>，即為「常規性違</w:t>
            </w:r>
            <w:r>
              <w:rPr>
                <w:spacing w:val="-1"/>
                <w:sz w:val="20"/>
              </w:rPr>
              <w:t>規」。若出於不完全理解其高度危險性，則</w:t>
            </w:r>
            <w:r>
              <w:rPr>
                <w:sz w:val="20"/>
              </w:rPr>
              <w:t>為「知識性錯誤」。</w:t>
            </w:r>
          </w:p>
        </w:tc>
        <w:tc>
          <w:tcPr>
            <w:tcW w:w="4239" w:type="dxa"/>
          </w:tcPr>
          <w:p>
            <w:pPr>
              <w:pStyle w:val="TableParagraph"/>
              <w:numPr>
                <w:ilvl w:val="0"/>
                <w:numId w:val="6"/>
              </w:numPr>
              <w:tabs>
                <w:tab w:pos="291" w:val="left" w:leader="none"/>
              </w:tabs>
              <w:spacing w:line="225" w:lineRule="auto" w:before="5" w:after="0"/>
              <w:ind w:left="107" w:right="118" w:firstLine="0"/>
              <w:jc w:val="left"/>
              <w:rPr>
                <w:sz w:val="20"/>
              </w:rPr>
            </w:pPr>
            <w:r>
              <w:rPr>
                <w:b/>
                <w:spacing w:val="3"/>
                <w:sz w:val="20"/>
              </w:rPr>
              <w:t>危害辨識與作業程序闕如： </w:t>
            </w:r>
            <w:r>
              <w:rPr>
                <w:sz w:val="20"/>
              </w:rPr>
              <w:t>公司從未對電</w:t>
            </w:r>
            <w:r>
              <w:rPr>
                <w:spacing w:val="-1"/>
                <w:sz w:val="20"/>
              </w:rPr>
              <w:t>焊作業進行風險評估，也未建立任何安全作業</w:t>
            </w:r>
            <w:r>
              <w:rPr>
                <w:sz w:val="20"/>
              </w:rPr>
              <w:t>標準，導致勞工只能依循不安全卻被默許的</w:t>
            </w:r>
          </w:p>
          <w:p>
            <w:pPr>
              <w:pStyle w:val="TableParagraph"/>
              <w:spacing w:line="341" w:lineRule="exact"/>
              <w:rPr>
                <w:rFonts w:ascii="Segoe UI" w:eastAsia="Segoe UI"/>
                <w:sz w:val="20"/>
              </w:rPr>
            </w:pPr>
            <w:r>
              <w:rPr>
                <w:sz w:val="20"/>
              </w:rPr>
              <w:t>「慣例」或「直覺」來作業。</w:t>
            </w:r>
            <w:r>
              <w:rPr>
                <w:rFonts w:ascii="Segoe UI" w:eastAsia="Segoe UI"/>
                <w:sz w:val="20"/>
              </w:rPr>
              <w:t>(</w:t>
            </w:r>
            <w:r>
              <w:rPr>
                <w:sz w:val="20"/>
              </w:rPr>
              <w:t>假設</w:t>
            </w:r>
            <w:r>
              <w:rPr>
                <w:rFonts w:ascii="Segoe UI" w:eastAsia="Segoe UI"/>
                <w:sz w:val="20"/>
              </w:rPr>
              <w:t>)</w:t>
            </w:r>
          </w:p>
          <w:p>
            <w:pPr>
              <w:pStyle w:val="TableParagraph"/>
              <w:numPr>
                <w:ilvl w:val="0"/>
                <w:numId w:val="6"/>
              </w:numPr>
              <w:tabs>
                <w:tab w:pos="291" w:val="left" w:leader="none"/>
              </w:tabs>
              <w:spacing w:line="225" w:lineRule="auto" w:before="6" w:after="0"/>
              <w:ind w:left="107" w:right="119" w:firstLine="0"/>
              <w:jc w:val="left"/>
              <w:rPr>
                <w:sz w:val="20"/>
              </w:rPr>
            </w:pPr>
            <w:r>
              <w:rPr>
                <w:b/>
                <w:spacing w:val="4"/>
                <w:sz w:val="20"/>
              </w:rPr>
              <w:t>教育訓練的徹底失敗： </w:t>
            </w:r>
            <w:r>
              <w:rPr>
                <w:sz w:val="20"/>
              </w:rPr>
              <w:t>安全訓練未能針對</w:t>
            </w:r>
            <w:r>
              <w:rPr>
                <w:spacing w:val="-2"/>
                <w:sz w:val="20"/>
              </w:rPr>
              <w:t>性地教導交流電焊機的特殊感電危害，導致勞</w:t>
            </w:r>
          </w:p>
          <w:p>
            <w:pPr>
              <w:pStyle w:val="TableParagraph"/>
              <w:spacing w:line="320" w:lineRule="exact"/>
              <w:rPr>
                <w:rFonts w:ascii="Segoe UI" w:eastAsia="Segoe UI"/>
                <w:sz w:val="20"/>
              </w:rPr>
            </w:pPr>
            <w:r>
              <w:rPr>
                <w:spacing w:val="-1"/>
                <w:sz w:val="20"/>
              </w:rPr>
              <w:t>工對自身作業環境的風險一無所知。</w:t>
            </w:r>
            <w:r>
              <w:rPr>
                <w:rFonts w:ascii="Segoe UI" w:eastAsia="Segoe UI"/>
                <w:sz w:val="20"/>
              </w:rPr>
              <w:t>(</w:t>
            </w:r>
            <w:r>
              <w:rPr>
                <w:sz w:val="20"/>
              </w:rPr>
              <w:t>假設</w:t>
            </w:r>
            <w:r>
              <w:rPr>
                <w:rFonts w:ascii="Segoe UI" w:eastAsia="Segoe UI"/>
                <w:sz w:val="20"/>
              </w:rPr>
              <w:t>)</w:t>
            </w:r>
          </w:p>
        </w:tc>
      </w:tr>
      <w:tr>
        <w:trPr>
          <w:trHeight w:val="1384" w:hRule="atLeast"/>
        </w:trPr>
        <w:tc>
          <w:tcPr>
            <w:tcW w:w="1025" w:type="dxa"/>
          </w:tcPr>
          <w:p>
            <w:pPr>
              <w:pStyle w:val="TableParagraph"/>
              <w:spacing w:line="225" w:lineRule="auto" w:before="5"/>
              <w:ind w:right="103"/>
              <w:rPr>
                <w:b/>
                <w:sz w:val="20"/>
              </w:rPr>
            </w:pPr>
            <w:r>
              <w:rPr>
                <w:b/>
                <w:sz w:val="20"/>
              </w:rPr>
              <w:t>技術性失誤 </w:t>
            </w:r>
            <w:r>
              <w:rPr>
                <w:rFonts w:ascii="Segoe UI" w:eastAsia="Segoe UI"/>
                <w:b/>
                <w:sz w:val="20"/>
              </w:rPr>
              <w:t>( </w:t>
            </w:r>
            <w:r>
              <w:rPr>
                <w:b/>
                <w:sz w:val="20"/>
              </w:rPr>
              <w:t>疏</w:t>
            </w:r>
          </w:p>
          <w:p>
            <w:pPr>
              <w:pStyle w:val="TableParagraph"/>
              <w:spacing w:line="352" w:lineRule="exact"/>
              <w:rPr>
                <w:rFonts w:ascii="Segoe UI" w:eastAsia="Segoe UI"/>
                <w:b/>
                <w:sz w:val="20"/>
              </w:rPr>
            </w:pPr>
            <w:r>
              <w:rPr>
                <w:b/>
                <w:sz w:val="20"/>
              </w:rPr>
              <w:t>忽</w:t>
            </w:r>
            <w:r>
              <w:rPr>
                <w:rFonts w:ascii="Segoe UI" w:eastAsia="Segoe UI"/>
                <w:b/>
                <w:sz w:val="20"/>
              </w:rPr>
              <w:t>)</w:t>
            </w:r>
          </w:p>
        </w:tc>
        <w:tc>
          <w:tcPr>
            <w:tcW w:w="4084" w:type="dxa"/>
          </w:tcPr>
          <w:p>
            <w:pPr>
              <w:pStyle w:val="TableParagraph"/>
              <w:spacing w:line="225" w:lineRule="auto" w:before="5"/>
              <w:ind w:right="242"/>
              <w:rPr>
                <w:rFonts w:ascii="Segoe UI" w:eastAsia="Segoe UI"/>
                <w:sz w:val="20"/>
              </w:rPr>
            </w:pPr>
            <w:r>
              <w:rPr>
                <w:b/>
                <w:sz w:val="20"/>
              </w:rPr>
              <w:t>罹災者： </w:t>
            </w:r>
            <w:r>
              <w:rPr>
                <w:sz w:val="20"/>
              </w:rPr>
              <w:t>在更換焊條或調整位置時，手部或身體不慎碰觸到焊條的帶電部分。</w:t>
            </w:r>
            <w:r>
              <w:rPr>
                <w:rFonts w:ascii="Segoe UI" w:eastAsia="Segoe UI"/>
                <w:sz w:val="20"/>
              </w:rPr>
              <w:t>(</w:t>
            </w:r>
            <w:r>
              <w:rPr>
                <w:sz w:val="20"/>
              </w:rPr>
              <w:t>推斷</w:t>
            </w:r>
            <w:r>
              <w:rPr>
                <w:rFonts w:ascii="Segoe UI" w:eastAsia="Segoe UI"/>
                <w:sz w:val="20"/>
              </w:rPr>
              <w:t>)</w:t>
            </w:r>
          </w:p>
        </w:tc>
        <w:tc>
          <w:tcPr>
            <w:tcW w:w="4239" w:type="dxa"/>
          </w:tcPr>
          <w:p>
            <w:pPr>
              <w:pStyle w:val="TableParagraph"/>
              <w:spacing w:line="225" w:lineRule="auto" w:before="5"/>
              <w:ind w:right="118" w:hanging="1"/>
              <w:rPr>
                <w:sz w:val="20"/>
              </w:rPr>
            </w:pPr>
            <w:r>
              <w:rPr>
                <w:rFonts w:ascii="Segoe UI" w:eastAsia="Segoe UI"/>
                <w:sz w:val="20"/>
              </w:rPr>
              <w:t>*</w:t>
            </w:r>
            <w:r>
              <w:rPr>
                <w:rFonts w:ascii="Segoe UI" w:eastAsia="Segoe UI"/>
                <w:spacing w:val="43"/>
                <w:sz w:val="20"/>
              </w:rPr>
              <w:t> </w:t>
            </w:r>
            <w:r>
              <w:rPr>
                <w:b/>
                <w:spacing w:val="6"/>
                <w:sz w:val="20"/>
              </w:rPr>
              <w:t>作業條件不良： </w:t>
            </w:r>
            <w:r>
              <w:rPr>
                <w:sz w:val="20"/>
              </w:rPr>
              <w:t>在高處作業，穩定性不如地面，且環境悶熱，增加了操作失誤的可能 </w:t>
            </w:r>
            <w:r>
              <w:rPr>
                <w:spacing w:val="-1"/>
                <w:sz w:val="20"/>
              </w:rPr>
              <w:t>性。但此失誤是在前述多項系統性失效的基礎</w:t>
            </w:r>
          </w:p>
          <w:p>
            <w:pPr>
              <w:pStyle w:val="TableParagraph"/>
              <w:spacing w:line="322" w:lineRule="exact"/>
              <w:rPr>
                <w:sz w:val="20"/>
              </w:rPr>
            </w:pPr>
            <w:r>
              <w:rPr>
                <w:sz w:val="20"/>
              </w:rPr>
              <w:t>上才變得致命。</w:t>
            </w:r>
          </w:p>
        </w:tc>
      </w:tr>
    </w:tbl>
    <w:p>
      <w:pPr>
        <w:pStyle w:val="BodyText"/>
        <w:spacing w:before="7"/>
        <w:rPr>
          <w:rFonts w:ascii="新細明體"/>
          <w:sz w:val="29"/>
        </w:rPr>
      </w:pPr>
      <w:r>
        <w:rPr/>
        <w:pict>
          <v:group style="position:absolute;margin-left:63.779999pt;margin-top:22.6pt;width:467.85pt;height:1.55pt;mso-position-horizontal-relative:page;mso-position-vertical-relative:paragraph;z-index:-880;mso-wrap-distance-left:0;mso-wrap-distance-right:0" coordorigin="1276,452" coordsize="9357,31">
            <v:line style="position:absolute" from="1276,467" to="10632,467" stroked="true" strokeweight="1.5pt" strokecolor="#9f9f9f">
              <v:stroke dashstyle="solid"/>
            </v:line>
            <v:rect style="position:absolute;left:1275;top:452;width:5;height:5" filled="true" fillcolor="#9f9f9f" stroked="false">
              <v:fill type="solid"/>
            </v:rect>
            <v:rect style="position:absolute;left:1275;top:452;width:5;height:5" filled="true" fillcolor="#9f9f9f" stroked="false">
              <v:fill type="solid"/>
            </v:rect>
            <v:line style="position:absolute" from="1280,455" to="10627,455" stroked="true" strokeweight=".24pt" strokecolor="#9f9f9f">
              <v:stroke dashstyle="solid"/>
            </v:line>
            <v:rect style="position:absolute;left:10627;top:452;width:5;height:5" filled="true" fillcolor="#e2e2e2" stroked="false">
              <v:fill type="solid"/>
            </v:rect>
            <v:rect style="position:absolute;left:10627;top:452;width:5;height:5" filled="true" fillcolor="#9f9f9f" stroked="false">
              <v:fill type="solid"/>
            </v:rect>
            <v:rect style="position:absolute;left:1275;top:457;width:5;height:21" filled="true" fillcolor="#9f9f9f" stroked="false">
              <v:fill type="solid"/>
            </v:rect>
            <v:rect style="position:absolute;left:10627;top:457;width:5;height:21" filled="true" fillcolor="#e2e2e2" stroked="false">
              <v:fill type="solid"/>
            </v:rect>
            <v:rect style="position:absolute;left:1275;top:477;width:5;height:5" filled="true" fillcolor="#9f9f9f" stroked="false">
              <v:fill type="solid"/>
            </v:rect>
            <v:rect style="position:absolute;left:1275;top:477;width:5;height:5" filled="true" fillcolor="#e2e2e2" stroked="false">
              <v:fill type="solid"/>
            </v:rect>
            <v:line style="position:absolute" from="1280,480" to="10627,480" stroked="true" strokeweight=".24pt" strokecolor="#e2e2e2">
              <v:stroke dashstyle="solid"/>
            </v:line>
            <v:rect style="position:absolute;left:10627;top:477;width:5;height:5" filled="true" fillcolor="#e2e2e2" stroked="false">
              <v:fill type="solid"/>
            </v:rect>
            <v:rect style="position:absolute;left:10627;top:477;width:5;height:5" filled="true" fillcolor="#e2e2e2" stroked="false">
              <v:fill type="solid"/>
            </v:rect>
            <w10:wrap type="topAndBottom"/>
          </v:group>
        </w:pict>
      </w:r>
    </w:p>
    <w:p>
      <w:pPr>
        <w:pStyle w:val="Heading1"/>
        <w:spacing w:line="428" w:lineRule="exact" w:before="7"/>
      </w:pPr>
      <w:r>
        <w:rPr/>
        <w:t>七</w:t>
      </w:r>
      <w:r>
        <w:rPr>
          <w:rFonts w:ascii="Calibri" w:eastAsia="Calibri"/>
        </w:rPr>
        <w:t>. </w:t>
      </w:r>
      <w:r>
        <w:rPr/>
        <w:t>根本原因分析與矯正改善措施</w:t>
      </w:r>
    </w:p>
    <w:p>
      <w:pPr>
        <w:spacing w:line="415" w:lineRule="exact" w:before="0"/>
        <w:ind w:left="115" w:right="0" w:firstLine="0"/>
        <w:jc w:val="left"/>
        <w:rPr>
          <w:b/>
          <w:sz w:val="24"/>
        </w:rPr>
      </w:pPr>
      <w:r>
        <w:rPr>
          <w:rFonts w:ascii="Calibri" w:eastAsia="Calibri"/>
          <w:b/>
          <w:sz w:val="24"/>
        </w:rPr>
        <w:t>(</w:t>
      </w:r>
      <w:r>
        <w:rPr>
          <w:b/>
          <w:sz w:val="24"/>
        </w:rPr>
        <w:t>一</w:t>
      </w:r>
      <w:r>
        <w:rPr>
          <w:rFonts w:ascii="Calibri" w:eastAsia="Calibri"/>
          <w:b/>
          <w:sz w:val="24"/>
        </w:rPr>
        <w:t>) </w:t>
      </w:r>
      <w:r>
        <w:rPr>
          <w:b/>
          <w:sz w:val="24"/>
        </w:rPr>
        <w:t>立即原因</w:t>
      </w:r>
    </w:p>
    <w:p>
      <w:pPr>
        <w:pStyle w:val="ListParagraph"/>
        <w:numPr>
          <w:ilvl w:val="0"/>
          <w:numId w:val="1"/>
        </w:numPr>
        <w:tabs>
          <w:tab w:pos="835" w:val="left" w:leader="none"/>
          <w:tab w:pos="836" w:val="left" w:leader="none"/>
        </w:tabs>
        <w:spacing w:line="415" w:lineRule="exact" w:before="0" w:after="0"/>
        <w:ind w:left="835" w:right="0" w:hanging="360"/>
        <w:jc w:val="left"/>
        <w:rPr>
          <w:b/>
          <w:sz w:val="24"/>
        </w:rPr>
      </w:pPr>
      <w:r>
        <w:rPr>
          <w:b/>
          <w:sz w:val="24"/>
        </w:rPr>
        <w:t>不安全的狀況：</w:t>
      </w:r>
    </w:p>
    <w:p>
      <w:pPr>
        <w:pStyle w:val="ListParagraph"/>
        <w:numPr>
          <w:ilvl w:val="1"/>
          <w:numId w:val="1"/>
        </w:numPr>
        <w:tabs>
          <w:tab w:pos="1556" w:val="left" w:leader="none"/>
        </w:tabs>
        <w:spacing w:line="415" w:lineRule="exact" w:before="0" w:after="0"/>
        <w:ind w:left="1555" w:right="0" w:hanging="360"/>
        <w:jc w:val="left"/>
        <w:rPr>
          <w:sz w:val="24"/>
        </w:rPr>
      </w:pPr>
      <w:r>
        <w:rPr>
          <w:sz w:val="24"/>
        </w:rPr>
        <w:t>使用未裝設自動電擊防止裝置之交流電焊機，其無負載電壓</w:t>
      </w:r>
      <w:r>
        <w:rPr>
          <w:rFonts w:ascii="Calibri" w:eastAsia="Calibri"/>
          <w:sz w:val="24"/>
        </w:rPr>
        <w:t>(80.9V)</w:t>
      </w:r>
      <w:r>
        <w:rPr>
          <w:sz w:val="24"/>
        </w:rPr>
        <w:t>過高。</w:t>
      </w:r>
    </w:p>
    <w:p>
      <w:pPr>
        <w:pStyle w:val="Heading1"/>
        <w:numPr>
          <w:ilvl w:val="0"/>
          <w:numId w:val="1"/>
        </w:numPr>
        <w:tabs>
          <w:tab w:pos="835" w:val="left" w:leader="none"/>
          <w:tab w:pos="836" w:val="left" w:leader="none"/>
        </w:tabs>
        <w:spacing w:line="415" w:lineRule="exact" w:before="0" w:after="0"/>
        <w:ind w:left="835" w:right="0" w:hanging="360"/>
        <w:jc w:val="left"/>
      </w:pPr>
      <w:r>
        <w:rPr/>
        <w:t>不安全的行為：</w:t>
      </w:r>
    </w:p>
    <w:p>
      <w:pPr>
        <w:pStyle w:val="BodyText"/>
        <w:spacing w:line="415" w:lineRule="exact"/>
        <w:ind w:left="1195"/>
      </w:pPr>
      <w:r>
        <w:rPr>
          <w:rFonts w:ascii="Calibri" w:eastAsia="Calibri"/>
        </w:rPr>
        <w:t>1. </w:t>
      </w:r>
      <w:r>
        <w:rPr/>
        <w:t>勞工於作業時身體潮濕，且直接跨坐在作為接地迴路的 </w:t>
      </w:r>
      <w:r>
        <w:rPr>
          <w:rFonts w:ascii="Calibri" w:eastAsia="Calibri"/>
        </w:rPr>
        <w:t>H </w:t>
      </w:r>
      <w:r>
        <w:rPr/>
        <w:t>型鋼上。</w:t>
      </w:r>
    </w:p>
    <w:p>
      <w:pPr>
        <w:pStyle w:val="Heading1"/>
      </w:pPr>
      <w:r>
        <w:rPr>
          <w:rFonts w:ascii="Calibri" w:eastAsia="Calibri"/>
        </w:rPr>
        <w:t>(</w:t>
      </w:r>
      <w:r>
        <w:rPr/>
        <w:t>二</w:t>
      </w:r>
      <w:r>
        <w:rPr>
          <w:rFonts w:ascii="Calibri" w:eastAsia="Calibri"/>
        </w:rPr>
        <w:t>) </w:t>
      </w:r>
      <w:r>
        <w:rPr/>
        <w:t>根本原因</w:t>
      </w:r>
    </w:p>
    <w:p>
      <w:pPr>
        <w:pStyle w:val="ListParagraph"/>
        <w:numPr>
          <w:ilvl w:val="0"/>
          <w:numId w:val="7"/>
        </w:numPr>
        <w:tabs>
          <w:tab w:pos="836" w:val="left" w:leader="none"/>
        </w:tabs>
        <w:spacing w:line="415" w:lineRule="exact" w:before="0" w:after="0"/>
        <w:ind w:left="835" w:right="0" w:hanging="360"/>
        <w:jc w:val="left"/>
        <w:rPr>
          <w:sz w:val="24"/>
        </w:rPr>
      </w:pPr>
      <w:r>
        <w:rPr>
          <w:b/>
          <w:sz w:val="24"/>
        </w:rPr>
        <w:t>致命性的設備採購與管理失靈： </w:t>
      </w:r>
      <w:r>
        <w:rPr>
          <w:sz w:val="24"/>
        </w:rPr>
        <w:t>最核心的根本原因是，雇主提供並讓勞工使用</w:t>
      </w:r>
    </w:p>
    <w:p>
      <w:pPr>
        <w:pStyle w:val="BodyText"/>
        <w:spacing w:line="225" w:lineRule="auto" w:before="6"/>
        <w:ind w:left="835" w:right="828"/>
      </w:pPr>
      <w:r>
        <w:rPr/>
        <w:t>「未符合法規安全標準」的生產設備（未裝設自動電擊防止裝置的交流電焊機），這是源頭管理的徹底失敗。</w:t>
      </w:r>
    </w:p>
    <w:p>
      <w:pPr>
        <w:spacing w:after="0" w:line="225" w:lineRule="auto"/>
        <w:sectPr>
          <w:pgSz w:w="11910" w:h="16840"/>
          <w:pgMar w:top="1580" w:bottom="280" w:left="1160" w:right="1160"/>
        </w:sectPr>
      </w:pPr>
    </w:p>
    <w:p>
      <w:pPr>
        <w:pStyle w:val="ListParagraph"/>
        <w:numPr>
          <w:ilvl w:val="0"/>
          <w:numId w:val="7"/>
        </w:numPr>
        <w:tabs>
          <w:tab w:pos="836" w:val="left" w:leader="none"/>
        </w:tabs>
        <w:spacing w:line="225" w:lineRule="auto" w:before="47" w:after="0"/>
        <w:ind w:left="835" w:right="228" w:hanging="360"/>
        <w:jc w:val="left"/>
        <w:rPr>
          <w:sz w:val="24"/>
        </w:rPr>
      </w:pPr>
      <w:r>
        <w:rPr>
          <w:b/>
          <w:sz w:val="24"/>
        </w:rPr>
        <w:t>危害辨識與風險評估的完全失效： </w:t>
      </w:r>
      <w:r>
        <w:rPr>
          <w:spacing w:val="-1"/>
          <w:sz w:val="24"/>
        </w:rPr>
        <w:t>管理階層未能辨識出「交流電焊機高無負載電</w:t>
      </w:r>
      <w:r>
        <w:rPr>
          <w:sz w:val="24"/>
        </w:rPr>
        <w:t>壓」是感電的關鍵危害，因此也從未考慮過從工程控制（採購合規設備）或行政管理（作業程序）上進行任何風險控制。</w:t>
      </w:r>
    </w:p>
    <w:p>
      <w:pPr>
        <w:pStyle w:val="ListParagraph"/>
        <w:numPr>
          <w:ilvl w:val="0"/>
          <w:numId w:val="7"/>
        </w:numPr>
        <w:tabs>
          <w:tab w:pos="836" w:val="left" w:leader="none"/>
        </w:tabs>
        <w:spacing w:line="225" w:lineRule="auto" w:before="1" w:after="0"/>
        <w:ind w:left="835" w:right="228" w:hanging="360"/>
        <w:jc w:val="left"/>
        <w:rPr>
          <w:sz w:val="24"/>
        </w:rPr>
      </w:pPr>
      <w:r>
        <w:rPr>
          <w:b/>
          <w:sz w:val="24"/>
        </w:rPr>
        <w:t>安全作業程序的完全缺乏： </w:t>
      </w:r>
      <w:r>
        <w:rPr>
          <w:spacing w:val="-1"/>
          <w:sz w:val="24"/>
        </w:rPr>
        <w:t>公司完全沒有針對電焊作業，特別是在濕熱、高處等</w:t>
      </w:r>
      <w:r>
        <w:rPr>
          <w:sz w:val="24"/>
        </w:rPr>
        <w:t>特殊環境下的作業，制定任何安全作業標準或程序。</w:t>
      </w:r>
    </w:p>
    <w:p>
      <w:pPr>
        <w:pStyle w:val="ListParagraph"/>
        <w:numPr>
          <w:ilvl w:val="0"/>
          <w:numId w:val="7"/>
        </w:numPr>
        <w:tabs>
          <w:tab w:pos="836" w:val="left" w:leader="none"/>
        </w:tabs>
        <w:spacing w:line="225" w:lineRule="auto" w:before="0" w:after="0"/>
        <w:ind w:left="835" w:right="228" w:hanging="360"/>
        <w:jc w:val="left"/>
        <w:rPr>
          <w:sz w:val="24"/>
        </w:rPr>
      </w:pPr>
      <w:r>
        <w:rPr>
          <w:b/>
          <w:sz w:val="24"/>
        </w:rPr>
        <w:t>安全認知與教育訓練的徹底失敗： </w:t>
      </w:r>
      <w:r>
        <w:rPr>
          <w:spacing w:val="-1"/>
          <w:sz w:val="24"/>
        </w:rPr>
        <w:t>從管理階層到作業勞工，均嚴重缺乏對交流電</w:t>
      </w:r>
      <w:r>
        <w:rPr>
          <w:sz w:val="24"/>
        </w:rPr>
        <w:t>焊作業特定感電危害的認知，導致不安全的設備與不安全的行為被視為理所當</w:t>
      </w:r>
    </w:p>
    <w:p>
      <w:pPr>
        <w:pStyle w:val="BodyText"/>
        <w:spacing w:line="410" w:lineRule="exact"/>
        <w:ind w:left="835"/>
      </w:pPr>
      <w:r>
        <w:rPr/>
        <w:t>然。</w:t>
      </w:r>
    </w:p>
    <w:p>
      <w:pPr>
        <w:pStyle w:val="Heading1"/>
      </w:pPr>
      <w:r>
        <w:rPr>
          <w:rFonts w:ascii="Calibri" w:eastAsia="Calibri"/>
        </w:rPr>
        <w:t>(</w:t>
      </w:r>
      <w:r>
        <w:rPr/>
        <w:t>三</w:t>
      </w:r>
      <w:r>
        <w:rPr>
          <w:rFonts w:ascii="Calibri" w:eastAsia="Calibri"/>
        </w:rPr>
        <w:t>) </w:t>
      </w:r>
      <w:r>
        <w:rPr/>
        <w:t>矯正改善措施建議</w:t>
      </w:r>
    </w:p>
    <w:p>
      <w:pPr>
        <w:pStyle w:val="ListParagraph"/>
        <w:numPr>
          <w:ilvl w:val="0"/>
          <w:numId w:val="1"/>
        </w:numPr>
        <w:tabs>
          <w:tab w:pos="835" w:val="left" w:leader="none"/>
          <w:tab w:pos="836" w:val="left" w:leader="none"/>
        </w:tabs>
        <w:spacing w:line="415" w:lineRule="exact" w:before="0" w:after="0"/>
        <w:ind w:left="835" w:right="0" w:hanging="360"/>
        <w:jc w:val="left"/>
        <w:rPr>
          <w:b/>
          <w:sz w:val="24"/>
        </w:rPr>
      </w:pPr>
      <w:r>
        <w:rPr>
          <w:b/>
          <w:spacing w:val="11"/>
          <w:sz w:val="24"/>
        </w:rPr>
        <w:t>工程控制 </w:t>
      </w:r>
      <w:r>
        <w:rPr>
          <w:rFonts w:ascii="Calibri" w:hAnsi="Calibri" w:eastAsia="Calibri"/>
          <w:b/>
          <w:sz w:val="24"/>
        </w:rPr>
        <w:t>/</w:t>
      </w:r>
      <w:r>
        <w:rPr>
          <w:rFonts w:ascii="Calibri" w:hAnsi="Calibri" w:eastAsia="Calibri"/>
          <w:b/>
          <w:spacing w:val="11"/>
          <w:sz w:val="24"/>
        </w:rPr>
        <w:t> </w:t>
      </w:r>
      <w:r>
        <w:rPr>
          <w:b/>
          <w:sz w:val="24"/>
        </w:rPr>
        <w:t>消除  </w:t>
      </w:r>
      <w:r>
        <w:rPr>
          <w:rFonts w:ascii="Calibri" w:hAnsi="Calibri" w:eastAsia="Calibri"/>
          <w:b/>
          <w:sz w:val="24"/>
        </w:rPr>
        <w:t>(</w:t>
      </w:r>
      <w:r>
        <w:rPr>
          <w:b/>
          <w:sz w:val="24"/>
        </w:rPr>
        <w:t>最優先</w:t>
      </w:r>
      <w:r>
        <w:rPr>
          <w:rFonts w:ascii="Calibri" w:hAnsi="Calibri" w:eastAsia="Calibri"/>
          <w:b/>
          <w:sz w:val="24"/>
        </w:rPr>
        <w:t>)</w:t>
      </w:r>
      <w:r>
        <w:rPr>
          <w:b/>
          <w:sz w:val="24"/>
        </w:rPr>
        <w:t>：</w:t>
      </w:r>
    </w:p>
    <w:p>
      <w:pPr>
        <w:pStyle w:val="ListParagraph"/>
        <w:numPr>
          <w:ilvl w:val="1"/>
          <w:numId w:val="7"/>
        </w:numPr>
        <w:tabs>
          <w:tab w:pos="1556" w:val="left" w:leader="none"/>
        </w:tabs>
        <w:spacing w:line="225" w:lineRule="auto" w:before="6" w:after="0"/>
        <w:ind w:left="1555" w:right="228" w:hanging="360"/>
        <w:jc w:val="left"/>
        <w:rPr>
          <w:sz w:val="24"/>
        </w:rPr>
      </w:pPr>
      <w:r>
        <w:rPr>
          <w:b/>
          <w:sz w:val="24"/>
        </w:rPr>
        <w:t>立即停用並汰換所有不符規定的交流電焊機： </w:t>
      </w:r>
      <w:r>
        <w:rPr>
          <w:spacing w:val="-2"/>
          <w:sz w:val="24"/>
        </w:rPr>
        <w:t>應立即全面盤點公司內所有</w:t>
      </w:r>
      <w:r>
        <w:rPr>
          <w:sz w:val="24"/>
        </w:rPr>
        <w:t>交流電焊機，凡未裝設、或裝置已故障的，應立即停用並貼上「禁止使</w:t>
      </w:r>
    </w:p>
    <w:p>
      <w:pPr>
        <w:pStyle w:val="BodyText"/>
        <w:spacing w:line="225" w:lineRule="auto" w:before="1"/>
        <w:ind w:left="1555" w:right="348"/>
      </w:pPr>
      <w:r>
        <w:rPr/>
        <w:t>用」標籤。應優先考慮替換為本質較安全的直流電焊機，或採購內建合格有效之自動電擊防止裝置的新交流電焊機。</w:t>
      </w:r>
    </w:p>
    <w:p>
      <w:pPr>
        <w:pStyle w:val="Heading1"/>
        <w:numPr>
          <w:ilvl w:val="0"/>
          <w:numId w:val="1"/>
        </w:numPr>
        <w:tabs>
          <w:tab w:pos="835" w:val="left" w:leader="none"/>
          <w:tab w:pos="836" w:val="left" w:leader="none"/>
        </w:tabs>
        <w:spacing w:line="409" w:lineRule="exact" w:before="0" w:after="0"/>
        <w:ind w:left="835" w:right="0" w:hanging="360"/>
        <w:jc w:val="left"/>
      </w:pPr>
      <w:r>
        <w:rPr/>
        <w:t>制度層面：</w:t>
      </w:r>
    </w:p>
    <w:p>
      <w:pPr>
        <w:pStyle w:val="ListParagraph"/>
        <w:numPr>
          <w:ilvl w:val="0"/>
          <w:numId w:val="8"/>
        </w:numPr>
        <w:tabs>
          <w:tab w:pos="1556" w:val="left" w:leader="none"/>
        </w:tabs>
        <w:spacing w:line="415" w:lineRule="exact" w:before="0" w:after="0"/>
        <w:ind w:left="1555" w:right="0" w:hanging="360"/>
        <w:jc w:val="left"/>
        <w:rPr>
          <w:sz w:val="24"/>
        </w:rPr>
      </w:pPr>
      <w:r>
        <w:rPr>
          <w:b/>
          <w:sz w:val="24"/>
        </w:rPr>
        <w:t>建立設備採購安全驗收程序： </w:t>
      </w:r>
      <w:r>
        <w:rPr>
          <w:sz w:val="24"/>
        </w:rPr>
        <w:t>未來採購任何機械、器具、設備，必須將</w:t>
      </w:r>
    </w:p>
    <w:p>
      <w:pPr>
        <w:pStyle w:val="BodyText"/>
        <w:spacing w:line="225" w:lineRule="auto" w:before="6"/>
        <w:ind w:left="1555" w:right="348"/>
      </w:pPr>
      <w:r>
        <w:rPr/>
        <w:t>「符合職業安全衛生法規」列為必要驗收項目，由專人確認安全裝置（如本案之電擊防止裝置）規格與功能正常後，方可投入使用。</w:t>
      </w:r>
    </w:p>
    <w:p>
      <w:pPr>
        <w:pStyle w:val="ListParagraph"/>
        <w:numPr>
          <w:ilvl w:val="0"/>
          <w:numId w:val="8"/>
        </w:numPr>
        <w:tabs>
          <w:tab w:pos="1556" w:val="left" w:leader="none"/>
        </w:tabs>
        <w:spacing w:line="225" w:lineRule="auto" w:before="0" w:after="0"/>
        <w:ind w:left="1555" w:right="228" w:hanging="360"/>
        <w:jc w:val="left"/>
        <w:rPr>
          <w:sz w:val="24"/>
        </w:rPr>
      </w:pPr>
      <w:r>
        <w:rPr>
          <w:b/>
          <w:sz w:val="24"/>
        </w:rPr>
        <w:t>建立電焊作業安全標準： </w:t>
      </w:r>
      <w:r>
        <w:rPr>
          <w:spacing w:val="-1"/>
          <w:sz w:val="24"/>
        </w:rPr>
        <w:t>立即制定電焊作業安全衛生工作守則，內容須明</w:t>
      </w:r>
      <w:r>
        <w:rPr>
          <w:sz w:val="24"/>
        </w:rPr>
        <w:t>確包含：</w:t>
      </w:r>
    </w:p>
    <w:p>
      <w:pPr>
        <w:pStyle w:val="ListParagraph"/>
        <w:numPr>
          <w:ilvl w:val="1"/>
          <w:numId w:val="8"/>
        </w:numPr>
        <w:tabs>
          <w:tab w:pos="2275" w:val="left" w:leader="none"/>
          <w:tab w:pos="2276" w:val="left" w:leader="none"/>
        </w:tabs>
        <w:spacing w:line="410" w:lineRule="exact" w:before="0" w:after="0"/>
        <w:ind w:left="2275" w:right="0" w:hanging="360"/>
        <w:jc w:val="left"/>
        <w:rPr>
          <w:sz w:val="24"/>
        </w:rPr>
      </w:pPr>
      <w:r>
        <w:rPr>
          <w:sz w:val="24"/>
        </w:rPr>
        <w:t>作業前必須檢查電焊機（含電擊防止裝置）是否正常。</w:t>
      </w:r>
    </w:p>
    <w:p>
      <w:pPr>
        <w:pStyle w:val="ListParagraph"/>
        <w:numPr>
          <w:ilvl w:val="1"/>
          <w:numId w:val="8"/>
        </w:numPr>
        <w:tabs>
          <w:tab w:pos="2275" w:val="left" w:leader="none"/>
          <w:tab w:pos="2276" w:val="left" w:leader="none"/>
        </w:tabs>
        <w:spacing w:line="415" w:lineRule="exact" w:before="0" w:after="0"/>
        <w:ind w:left="2275" w:right="0" w:hanging="360"/>
        <w:jc w:val="left"/>
        <w:rPr>
          <w:sz w:val="24"/>
        </w:rPr>
      </w:pPr>
      <w:r>
        <w:rPr>
          <w:sz w:val="24"/>
        </w:rPr>
        <w:t>嚴禁身體任何部位直接接觸工件或作為接地路徑。</w:t>
      </w:r>
    </w:p>
    <w:p>
      <w:pPr>
        <w:pStyle w:val="ListParagraph"/>
        <w:numPr>
          <w:ilvl w:val="1"/>
          <w:numId w:val="8"/>
        </w:numPr>
        <w:tabs>
          <w:tab w:pos="2275" w:val="left" w:leader="none"/>
          <w:tab w:pos="2276" w:val="left" w:leader="none"/>
        </w:tabs>
        <w:spacing w:line="415" w:lineRule="exact" w:before="0" w:after="0"/>
        <w:ind w:left="2275" w:right="0" w:hanging="360"/>
        <w:jc w:val="left"/>
        <w:rPr>
          <w:sz w:val="24"/>
        </w:rPr>
      </w:pPr>
      <w:r>
        <w:rPr>
          <w:sz w:val="24"/>
        </w:rPr>
        <w:t>在濕熱環境作業時，應有保持身體乾燥之措施。</w:t>
      </w:r>
    </w:p>
    <w:p>
      <w:pPr>
        <w:pStyle w:val="ListParagraph"/>
        <w:numPr>
          <w:ilvl w:val="1"/>
          <w:numId w:val="8"/>
        </w:numPr>
        <w:tabs>
          <w:tab w:pos="2275" w:val="left" w:leader="none"/>
          <w:tab w:pos="2276" w:val="left" w:leader="none"/>
        </w:tabs>
        <w:spacing w:line="415" w:lineRule="exact" w:before="0" w:after="0"/>
        <w:ind w:left="2275" w:right="0" w:hanging="360"/>
        <w:jc w:val="left"/>
        <w:rPr>
          <w:sz w:val="24"/>
        </w:rPr>
      </w:pPr>
      <w:r>
        <w:rPr>
          <w:sz w:val="24"/>
        </w:rPr>
        <w:t>明確規定應穿戴之個人防護具（如乾燥完整的絕緣手套）。</w:t>
      </w:r>
    </w:p>
    <w:p>
      <w:pPr>
        <w:pStyle w:val="Heading1"/>
        <w:numPr>
          <w:ilvl w:val="0"/>
          <w:numId w:val="1"/>
        </w:numPr>
        <w:tabs>
          <w:tab w:pos="835" w:val="left" w:leader="none"/>
          <w:tab w:pos="836" w:val="left" w:leader="none"/>
        </w:tabs>
        <w:spacing w:line="415" w:lineRule="exact" w:before="0" w:after="0"/>
        <w:ind w:left="835" w:right="0" w:hanging="360"/>
        <w:jc w:val="left"/>
      </w:pPr>
      <w:r>
        <w:rPr/>
        <w:t>人員層面：</w:t>
      </w:r>
    </w:p>
    <w:p>
      <w:pPr>
        <w:pStyle w:val="ListParagraph"/>
        <w:numPr>
          <w:ilvl w:val="0"/>
          <w:numId w:val="9"/>
        </w:numPr>
        <w:tabs>
          <w:tab w:pos="1556" w:val="left" w:leader="none"/>
        </w:tabs>
        <w:spacing w:line="415" w:lineRule="exact" w:before="0" w:after="0"/>
        <w:ind w:left="1555" w:right="0" w:hanging="360"/>
        <w:jc w:val="left"/>
        <w:rPr>
          <w:sz w:val="24"/>
        </w:rPr>
      </w:pPr>
      <w:r>
        <w:rPr>
          <w:b/>
          <w:sz w:val="24"/>
        </w:rPr>
        <w:t>實施電焊作業危害專項訓練： </w:t>
      </w:r>
      <w:r>
        <w:rPr>
          <w:sz w:val="24"/>
        </w:rPr>
        <w:t>立即將本次事故作為教材，對所有相關人員</w:t>
      </w:r>
    </w:p>
    <w:p>
      <w:pPr>
        <w:pStyle w:val="BodyText"/>
        <w:spacing w:line="225" w:lineRule="auto" w:before="6"/>
        <w:ind w:left="1555" w:right="348"/>
      </w:pPr>
      <w:r>
        <w:rPr/>
        <w:t>（含管理階層）進行專項訓練，強力宣導交流電焊機感電的致命機轉，以及自動電擊防止裝置的重要性。</w:t>
      </w:r>
    </w:p>
    <w:p>
      <w:pPr>
        <w:pStyle w:val="ListParagraph"/>
        <w:numPr>
          <w:ilvl w:val="0"/>
          <w:numId w:val="9"/>
        </w:numPr>
        <w:tabs>
          <w:tab w:pos="1556" w:val="left" w:leader="none"/>
        </w:tabs>
        <w:spacing w:line="225" w:lineRule="auto" w:before="1" w:after="0"/>
        <w:ind w:left="1555" w:right="228" w:hanging="360"/>
        <w:jc w:val="left"/>
        <w:rPr>
          <w:sz w:val="24"/>
        </w:rPr>
      </w:pPr>
      <w:r>
        <w:rPr>
          <w:b/>
          <w:sz w:val="24"/>
        </w:rPr>
        <w:t>落實工作前安全檢核： </w:t>
      </w:r>
      <w:r>
        <w:rPr>
          <w:spacing w:val="-1"/>
          <w:sz w:val="24"/>
        </w:rPr>
        <w:t>要求每日作業前，由領班或作業負責人進行工具箱</w:t>
      </w:r>
      <w:r>
        <w:rPr>
          <w:sz w:val="24"/>
        </w:rPr>
        <w:t>會議及安全檢點，確認設備、防護具、作業環境與人員狀況皆符合安全要求後，方可開始作業。</w:t>
      </w:r>
    </w:p>
    <w:sectPr>
      <w:pgSz w:w="11910" w:h="16840"/>
      <w:pgMar w:top="138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ymbol">
    <w:altName w:val="Symbol"/>
    <w:charset w:val="2"/>
    <w:family w:val="roman"/>
    <w:pitch w:val="variable"/>
  </w:font>
  <w:font w:name="Wingdings">
    <w:altName w:val="Wingdings"/>
    <w:charset w:val="2"/>
    <w:family w:val="auto"/>
    <w:pitch w:val="variable"/>
  </w:font>
  <w:font w:name="微軟正黑體">
    <w:altName w:val="微軟正黑體"/>
    <w:charset w:val="88"/>
    <w:family w:val="swiss"/>
    <w:pitch w:val="variable"/>
  </w:font>
  <w:font w:name="Calibri">
    <w:altName w:val="Calibri"/>
    <w:charset w:val="0"/>
    <w:family w:val="swiss"/>
    <w:pitch w:val="variable"/>
  </w:font>
  <w:font w:name="新細明體">
    <w:altName w:val="新細明體"/>
    <w:charset w:val="88"/>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555" w:hanging="360"/>
        <w:jc w:val="left"/>
      </w:pPr>
      <w:rPr>
        <w:rFonts w:hint="default" w:ascii="Calibri" w:hAnsi="Calibri" w:eastAsia="Calibri" w:cs="Calibri"/>
        <w:spacing w:val="-1"/>
        <w:w w:val="100"/>
        <w:sz w:val="24"/>
        <w:szCs w:val="24"/>
      </w:rPr>
    </w:lvl>
    <w:lvl w:ilvl="1">
      <w:start w:val="0"/>
      <w:numFmt w:val="bullet"/>
      <w:lvlText w:val="•"/>
      <w:lvlJc w:val="left"/>
      <w:pPr>
        <w:ind w:left="2362" w:hanging="360"/>
      </w:pPr>
      <w:rPr>
        <w:rFonts w:hint="default"/>
      </w:rPr>
    </w:lvl>
    <w:lvl w:ilvl="2">
      <w:start w:val="0"/>
      <w:numFmt w:val="bullet"/>
      <w:lvlText w:val="•"/>
      <w:lvlJc w:val="left"/>
      <w:pPr>
        <w:ind w:left="3165" w:hanging="360"/>
      </w:pPr>
      <w:rPr>
        <w:rFonts w:hint="default"/>
      </w:rPr>
    </w:lvl>
    <w:lvl w:ilvl="3">
      <w:start w:val="0"/>
      <w:numFmt w:val="bullet"/>
      <w:lvlText w:val="•"/>
      <w:lvlJc w:val="left"/>
      <w:pPr>
        <w:ind w:left="3967" w:hanging="360"/>
      </w:pPr>
      <w:rPr>
        <w:rFonts w:hint="default"/>
      </w:rPr>
    </w:lvl>
    <w:lvl w:ilvl="4">
      <w:start w:val="0"/>
      <w:numFmt w:val="bullet"/>
      <w:lvlText w:val="•"/>
      <w:lvlJc w:val="left"/>
      <w:pPr>
        <w:ind w:left="477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375" w:hanging="360"/>
      </w:pPr>
      <w:rPr>
        <w:rFonts w:hint="default"/>
      </w:rPr>
    </w:lvl>
    <w:lvl w:ilvl="7">
      <w:start w:val="0"/>
      <w:numFmt w:val="bullet"/>
      <w:lvlText w:val="•"/>
      <w:lvlJc w:val="left"/>
      <w:pPr>
        <w:ind w:left="7178" w:hanging="360"/>
      </w:pPr>
      <w:rPr>
        <w:rFonts w:hint="default"/>
      </w:rPr>
    </w:lvl>
    <w:lvl w:ilvl="8">
      <w:start w:val="0"/>
      <w:numFmt w:val="bullet"/>
      <w:lvlText w:val="•"/>
      <w:lvlJc w:val="left"/>
      <w:pPr>
        <w:ind w:left="7981" w:hanging="360"/>
      </w:pPr>
      <w:rPr>
        <w:rFonts w:hint="default"/>
      </w:rPr>
    </w:lvl>
  </w:abstractNum>
  <w:abstractNum w:abstractNumId="7">
    <w:multiLevelType w:val="hybridMultilevel"/>
    <w:lvl w:ilvl="0">
      <w:start w:val="1"/>
      <w:numFmt w:val="decimal"/>
      <w:lvlText w:val="%1."/>
      <w:lvlJc w:val="left"/>
      <w:pPr>
        <w:ind w:left="1555" w:hanging="360"/>
        <w:jc w:val="left"/>
      </w:pPr>
      <w:rPr>
        <w:rFonts w:hint="default" w:ascii="Calibri" w:hAnsi="Calibri" w:eastAsia="Calibri" w:cs="Calibri"/>
        <w:spacing w:val="-1"/>
        <w:w w:val="100"/>
        <w:sz w:val="24"/>
        <w:szCs w:val="24"/>
      </w:rPr>
    </w:lvl>
    <w:lvl w:ilvl="1">
      <w:start w:val="0"/>
      <w:numFmt w:val="bullet"/>
      <w:lvlText w:val=""/>
      <w:lvlJc w:val="left"/>
      <w:pPr>
        <w:ind w:left="2275" w:hanging="360"/>
      </w:pPr>
      <w:rPr>
        <w:rFonts w:hint="default" w:ascii="Wingdings" w:hAnsi="Wingdings" w:eastAsia="Wingdings" w:cs="Wingdings"/>
        <w:w w:val="100"/>
        <w:sz w:val="20"/>
        <w:szCs w:val="20"/>
      </w:rPr>
    </w:lvl>
    <w:lvl w:ilvl="2">
      <w:start w:val="0"/>
      <w:numFmt w:val="bullet"/>
      <w:lvlText w:val="•"/>
      <w:lvlJc w:val="left"/>
      <w:pPr>
        <w:ind w:left="3091" w:hanging="360"/>
      </w:pPr>
      <w:rPr>
        <w:rFonts w:hint="default"/>
      </w:rPr>
    </w:lvl>
    <w:lvl w:ilvl="3">
      <w:start w:val="0"/>
      <w:numFmt w:val="bullet"/>
      <w:lvlText w:val="•"/>
      <w:lvlJc w:val="left"/>
      <w:pPr>
        <w:ind w:left="3903" w:hanging="360"/>
      </w:pPr>
      <w:rPr>
        <w:rFonts w:hint="default"/>
      </w:rPr>
    </w:lvl>
    <w:lvl w:ilvl="4">
      <w:start w:val="0"/>
      <w:numFmt w:val="bullet"/>
      <w:lvlText w:val="•"/>
      <w:lvlJc w:val="left"/>
      <w:pPr>
        <w:ind w:left="4715" w:hanging="360"/>
      </w:pPr>
      <w:rPr>
        <w:rFonts w:hint="default"/>
      </w:rPr>
    </w:lvl>
    <w:lvl w:ilvl="5">
      <w:start w:val="0"/>
      <w:numFmt w:val="bullet"/>
      <w:lvlText w:val="•"/>
      <w:lvlJc w:val="left"/>
      <w:pPr>
        <w:ind w:left="5527" w:hanging="360"/>
      </w:pPr>
      <w:rPr>
        <w:rFonts w:hint="default"/>
      </w:rPr>
    </w:lvl>
    <w:lvl w:ilvl="6">
      <w:start w:val="0"/>
      <w:numFmt w:val="bullet"/>
      <w:lvlText w:val="•"/>
      <w:lvlJc w:val="left"/>
      <w:pPr>
        <w:ind w:left="6339" w:hanging="360"/>
      </w:pPr>
      <w:rPr>
        <w:rFonts w:hint="default"/>
      </w:rPr>
    </w:lvl>
    <w:lvl w:ilvl="7">
      <w:start w:val="0"/>
      <w:numFmt w:val="bullet"/>
      <w:lvlText w:val="•"/>
      <w:lvlJc w:val="left"/>
      <w:pPr>
        <w:ind w:left="7150" w:hanging="360"/>
      </w:pPr>
      <w:rPr>
        <w:rFonts w:hint="default"/>
      </w:rPr>
    </w:lvl>
    <w:lvl w:ilvl="8">
      <w:start w:val="0"/>
      <w:numFmt w:val="bullet"/>
      <w:lvlText w:val="•"/>
      <w:lvlJc w:val="left"/>
      <w:pPr>
        <w:ind w:left="7962" w:hanging="360"/>
      </w:pPr>
      <w:rPr>
        <w:rFonts w:hint="default"/>
      </w:rPr>
    </w:lvl>
  </w:abstractNum>
  <w:abstractNum w:abstractNumId="6">
    <w:multiLevelType w:val="hybridMultilevel"/>
    <w:lvl w:ilvl="0">
      <w:start w:val="1"/>
      <w:numFmt w:val="decimal"/>
      <w:lvlText w:val="%1."/>
      <w:lvlJc w:val="left"/>
      <w:pPr>
        <w:ind w:left="835" w:hanging="360"/>
        <w:jc w:val="left"/>
      </w:pPr>
      <w:rPr>
        <w:rFonts w:hint="default" w:ascii="Calibri" w:hAnsi="Calibri" w:eastAsia="Calibri" w:cs="Calibri"/>
        <w:spacing w:val="-1"/>
        <w:w w:val="100"/>
        <w:sz w:val="24"/>
        <w:szCs w:val="24"/>
      </w:rPr>
    </w:lvl>
    <w:lvl w:ilvl="1">
      <w:start w:val="1"/>
      <w:numFmt w:val="decimal"/>
      <w:lvlText w:val="%2."/>
      <w:lvlJc w:val="left"/>
      <w:pPr>
        <w:ind w:left="1555" w:hanging="360"/>
        <w:jc w:val="left"/>
      </w:pPr>
      <w:rPr>
        <w:rFonts w:hint="default" w:ascii="Calibri" w:hAnsi="Calibri" w:eastAsia="Calibri" w:cs="Calibri"/>
        <w:spacing w:val="-16"/>
        <w:w w:val="100"/>
        <w:sz w:val="24"/>
        <w:szCs w:val="24"/>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abstractNum w:abstractNumId="5">
    <w:multiLevelType w:val="hybridMultilevel"/>
    <w:lvl w:ilvl="0">
      <w:start w:val="0"/>
      <w:numFmt w:val="bullet"/>
      <w:lvlText w:val="*"/>
      <w:lvlJc w:val="left"/>
      <w:pPr>
        <w:ind w:left="107" w:hanging="184"/>
      </w:pPr>
      <w:rPr>
        <w:rFonts w:hint="default" w:ascii="Segoe UI" w:hAnsi="Segoe UI" w:eastAsia="Segoe UI" w:cs="Segoe UI"/>
        <w:w w:val="100"/>
        <w:sz w:val="20"/>
        <w:szCs w:val="20"/>
      </w:rPr>
    </w:lvl>
    <w:lvl w:ilvl="1">
      <w:start w:val="0"/>
      <w:numFmt w:val="bullet"/>
      <w:lvlText w:val="•"/>
      <w:lvlJc w:val="left"/>
      <w:pPr>
        <w:ind w:left="512" w:hanging="184"/>
      </w:pPr>
      <w:rPr>
        <w:rFonts w:hint="default"/>
      </w:rPr>
    </w:lvl>
    <w:lvl w:ilvl="2">
      <w:start w:val="0"/>
      <w:numFmt w:val="bullet"/>
      <w:lvlText w:val="•"/>
      <w:lvlJc w:val="left"/>
      <w:pPr>
        <w:ind w:left="925" w:hanging="184"/>
      </w:pPr>
      <w:rPr>
        <w:rFonts w:hint="default"/>
      </w:rPr>
    </w:lvl>
    <w:lvl w:ilvl="3">
      <w:start w:val="0"/>
      <w:numFmt w:val="bullet"/>
      <w:lvlText w:val="•"/>
      <w:lvlJc w:val="left"/>
      <w:pPr>
        <w:ind w:left="1338" w:hanging="184"/>
      </w:pPr>
      <w:rPr>
        <w:rFonts w:hint="default"/>
      </w:rPr>
    </w:lvl>
    <w:lvl w:ilvl="4">
      <w:start w:val="0"/>
      <w:numFmt w:val="bullet"/>
      <w:lvlText w:val="•"/>
      <w:lvlJc w:val="left"/>
      <w:pPr>
        <w:ind w:left="1751" w:hanging="184"/>
      </w:pPr>
      <w:rPr>
        <w:rFonts w:hint="default"/>
      </w:rPr>
    </w:lvl>
    <w:lvl w:ilvl="5">
      <w:start w:val="0"/>
      <w:numFmt w:val="bullet"/>
      <w:lvlText w:val="•"/>
      <w:lvlJc w:val="left"/>
      <w:pPr>
        <w:ind w:left="2164" w:hanging="184"/>
      </w:pPr>
      <w:rPr>
        <w:rFonts w:hint="default"/>
      </w:rPr>
    </w:lvl>
    <w:lvl w:ilvl="6">
      <w:start w:val="0"/>
      <w:numFmt w:val="bullet"/>
      <w:lvlText w:val="•"/>
      <w:lvlJc w:val="left"/>
      <w:pPr>
        <w:ind w:left="2577" w:hanging="184"/>
      </w:pPr>
      <w:rPr>
        <w:rFonts w:hint="default"/>
      </w:rPr>
    </w:lvl>
    <w:lvl w:ilvl="7">
      <w:start w:val="0"/>
      <w:numFmt w:val="bullet"/>
      <w:lvlText w:val="•"/>
      <w:lvlJc w:val="left"/>
      <w:pPr>
        <w:ind w:left="2990" w:hanging="184"/>
      </w:pPr>
      <w:rPr>
        <w:rFonts w:hint="default"/>
      </w:rPr>
    </w:lvl>
    <w:lvl w:ilvl="8">
      <w:start w:val="0"/>
      <w:numFmt w:val="bullet"/>
      <w:lvlText w:val="•"/>
      <w:lvlJc w:val="left"/>
      <w:pPr>
        <w:ind w:left="3403" w:hanging="184"/>
      </w:pPr>
      <w:rPr>
        <w:rFonts w:hint="default"/>
      </w:rPr>
    </w:lvl>
  </w:abstractNum>
  <w:abstractNum w:abstractNumId="4">
    <w:multiLevelType w:val="hybridMultilevel"/>
    <w:lvl w:ilvl="0">
      <w:start w:val="0"/>
      <w:numFmt w:val="bullet"/>
      <w:lvlText w:val="*"/>
      <w:lvlJc w:val="left"/>
      <w:pPr>
        <w:ind w:left="107" w:hanging="184"/>
      </w:pPr>
      <w:rPr>
        <w:rFonts w:hint="default" w:ascii="Segoe UI" w:hAnsi="Segoe UI" w:eastAsia="Segoe UI" w:cs="Segoe UI"/>
        <w:w w:val="100"/>
        <w:sz w:val="20"/>
        <w:szCs w:val="20"/>
      </w:rPr>
    </w:lvl>
    <w:lvl w:ilvl="1">
      <w:start w:val="0"/>
      <w:numFmt w:val="bullet"/>
      <w:lvlText w:val="•"/>
      <w:lvlJc w:val="left"/>
      <w:pPr>
        <w:ind w:left="512" w:hanging="184"/>
      </w:pPr>
      <w:rPr>
        <w:rFonts w:hint="default"/>
      </w:rPr>
    </w:lvl>
    <w:lvl w:ilvl="2">
      <w:start w:val="0"/>
      <w:numFmt w:val="bullet"/>
      <w:lvlText w:val="•"/>
      <w:lvlJc w:val="left"/>
      <w:pPr>
        <w:ind w:left="925" w:hanging="184"/>
      </w:pPr>
      <w:rPr>
        <w:rFonts w:hint="default"/>
      </w:rPr>
    </w:lvl>
    <w:lvl w:ilvl="3">
      <w:start w:val="0"/>
      <w:numFmt w:val="bullet"/>
      <w:lvlText w:val="•"/>
      <w:lvlJc w:val="left"/>
      <w:pPr>
        <w:ind w:left="1338" w:hanging="184"/>
      </w:pPr>
      <w:rPr>
        <w:rFonts w:hint="default"/>
      </w:rPr>
    </w:lvl>
    <w:lvl w:ilvl="4">
      <w:start w:val="0"/>
      <w:numFmt w:val="bullet"/>
      <w:lvlText w:val="•"/>
      <w:lvlJc w:val="left"/>
      <w:pPr>
        <w:ind w:left="1751" w:hanging="184"/>
      </w:pPr>
      <w:rPr>
        <w:rFonts w:hint="default"/>
      </w:rPr>
    </w:lvl>
    <w:lvl w:ilvl="5">
      <w:start w:val="0"/>
      <w:numFmt w:val="bullet"/>
      <w:lvlText w:val="•"/>
      <w:lvlJc w:val="left"/>
      <w:pPr>
        <w:ind w:left="2164" w:hanging="184"/>
      </w:pPr>
      <w:rPr>
        <w:rFonts w:hint="default"/>
      </w:rPr>
    </w:lvl>
    <w:lvl w:ilvl="6">
      <w:start w:val="0"/>
      <w:numFmt w:val="bullet"/>
      <w:lvlText w:val="•"/>
      <w:lvlJc w:val="left"/>
      <w:pPr>
        <w:ind w:left="2577" w:hanging="184"/>
      </w:pPr>
      <w:rPr>
        <w:rFonts w:hint="default"/>
      </w:rPr>
    </w:lvl>
    <w:lvl w:ilvl="7">
      <w:start w:val="0"/>
      <w:numFmt w:val="bullet"/>
      <w:lvlText w:val="•"/>
      <w:lvlJc w:val="left"/>
      <w:pPr>
        <w:ind w:left="2990" w:hanging="184"/>
      </w:pPr>
      <w:rPr>
        <w:rFonts w:hint="default"/>
      </w:rPr>
    </w:lvl>
    <w:lvl w:ilvl="8">
      <w:start w:val="0"/>
      <w:numFmt w:val="bullet"/>
      <w:lvlText w:val="•"/>
      <w:lvlJc w:val="left"/>
      <w:pPr>
        <w:ind w:left="3403" w:hanging="184"/>
      </w:pPr>
      <w:rPr>
        <w:rFonts w:hint="default"/>
      </w:rPr>
    </w:lvl>
  </w:abstractNum>
  <w:abstractNum w:abstractNumId="3">
    <w:multiLevelType w:val="hybridMultilevel"/>
    <w:lvl w:ilvl="0">
      <w:start w:val="1"/>
      <w:numFmt w:val="decimal"/>
      <w:lvlText w:val="%1."/>
      <w:lvlJc w:val="left"/>
      <w:pPr>
        <w:ind w:left="109" w:hanging="252"/>
        <w:jc w:val="left"/>
      </w:pPr>
      <w:rPr>
        <w:rFonts w:hint="default" w:ascii="Segoe UI" w:hAnsi="Segoe UI" w:eastAsia="Segoe UI" w:cs="Segoe UI"/>
        <w:spacing w:val="-1"/>
        <w:w w:val="100"/>
        <w:sz w:val="20"/>
        <w:szCs w:val="20"/>
      </w:rPr>
    </w:lvl>
    <w:lvl w:ilvl="1">
      <w:start w:val="0"/>
      <w:numFmt w:val="bullet"/>
      <w:lvlText w:val="•"/>
      <w:lvlJc w:val="left"/>
      <w:pPr>
        <w:ind w:left="378" w:hanging="252"/>
      </w:pPr>
      <w:rPr>
        <w:rFonts w:hint="default"/>
      </w:rPr>
    </w:lvl>
    <w:lvl w:ilvl="2">
      <w:start w:val="0"/>
      <w:numFmt w:val="bullet"/>
      <w:lvlText w:val="•"/>
      <w:lvlJc w:val="left"/>
      <w:pPr>
        <w:ind w:left="657" w:hanging="252"/>
      </w:pPr>
      <w:rPr>
        <w:rFonts w:hint="default"/>
      </w:rPr>
    </w:lvl>
    <w:lvl w:ilvl="3">
      <w:start w:val="0"/>
      <w:numFmt w:val="bullet"/>
      <w:lvlText w:val="•"/>
      <w:lvlJc w:val="left"/>
      <w:pPr>
        <w:ind w:left="936" w:hanging="252"/>
      </w:pPr>
      <w:rPr>
        <w:rFonts w:hint="default"/>
      </w:rPr>
    </w:lvl>
    <w:lvl w:ilvl="4">
      <w:start w:val="0"/>
      <w:numFmt w:val="bullet"/>
      <w:lvlText w:val="•"/>
      <w:lvlJc w:val="left"/>
      <w:pPr>
        <w:ind w:left="1215" w:hanging="252"/>
      </w:pPr>
      <w:rPr>
        <w:rFonts w:hint="default"/>
      </w:rPr>
    </w:lvl>
    <w:lvl w:ilvl="5">
      <w:start w:val="0"/>
      <w:numFmt w:val="bullet"/>
      <w:lvlText w:val="•"/>
      <w:lvlJc w:val="left"/>
      <w:pPr>
        <w:ind w:left="1494" w:hanging="252"/>
      </w:pPr>
      <w:rPr>
        <w:rFonts w:hint="default"/>
      </w:rPr>
    </w:lvl>
    <w:lvl w:ilvl="6">
      <w:start w:val="0"/>
      <w:numFmt w:val="bullet"/>
      <w:lvlText w:val="•"/>
      <w:lvlJc w:val="left"/>
      <w:pPr>
        <w:ind w:left="1773" w:hanging="252"/>
      </w:pPr>
      <w:rPr>
        <w:rFonts w:hint="default"/>
      </w:rPr>
    </w:lvl>
    <w:lvl w:ilvl="7">
      <w:start w:val="0"/>
      <w:numFmt w:val="bullet"/>
      <w:lvlText w:val="•"/>
      <w:lvlJc w:val="left"/>
      <w:pPr>
        <w:ind w:left="2052" w:hanging="252"/>
      </w:pPr>
      <w:rPr>
        <w:rFonts w:hint="default"/>
      </w:rPr>
    </w:lvl>
    <w:lvl w:ilvl="8">
      <w:start w:val="0"/>
      <w:numFmt w:val="bullet"/>
      <w:lvlText w:val="•"/>
      <w:lvlJc w:val="left"/>
      <w:pPr>
        <w:ind w:left="2331" w:hanging="252"/>
      </w:pPr>
      <w:rPr>
        <w:rFonts w:hint="default"/>
      </w:rPr>
    </w:lvl>
  </w:abstractNum>
  <w:abstractNum w:abstractNumId="2">
    <w:multiLevelType w:val="hybridMultilevel"/>
    <w:lvl w:ilvl="0">
      <w:start w:val="1"/>
      <w:numFmt w:val="decimal"/>
      <w:lvlText w:val="%1."/>
      <w:lvlJc w:val="left"/>
      <w:pPr>
        <w:ind w:left="105" w:hanging="252"/>
        <w:jc w:val="left"/>
      </w:pPr>
      <w:rPr>
        <w:rFonts w:hint="default" w:ascii="Segoe UI" w:hAnsi="Segoe UI" w:eastAsia="Segoe UI" w:cs="Segoe UI"/>
        <w:spacing w:val="-1"/>
        <w:w w:val="100"/>
        <w:sz w:val="20"/>
        <w:szCs w:val="20"/>
      </w:rPr>
    </w:lvl>
    <w:lvl w:ilvl="1">
      <w:start w:val="0"/>
      <w:numFmt w:val="bullet"/>
      <w:lvlText w:val="•"/>
      <w:lvlJc w:val="left"/>
      <w:pPr>
        <w:ind w:left="283" w:hanging="252"/>
      </w:pPr>
      <w:rPr>
        <w:rFonts w:hint="default"/>
      </w:rPr>
    </w:lvl>
    <w:lvl w:ilvl="2">
      <w:start w:val="0"/>
      <w:numFmt w:val="bullet"/>
      <w:lvlText w:val="•"/>
      <w:lvlJc w:val="left"/>
      <w:pPr>
        <w:ind w:left="466" w:hanging="252"/>
      </w:pPr>
      <w:rPr>
        <w:rFonts w:hint="default"/>
      </w:rPr>
    </w:lvl>
    <w:lvl w:ilvl="3">
      <w:start w:val="0"/>
      <w:numFmt w:val="bullet"/>
      <w:lvlText w:val="•"/>
      <w:lvlJc w:val="left"/>
      <w:pPr>
        <w:ind w:left="649" w:hanging="252"/>
      </w:pPr>
      <w:rPr>
        <w:rFonts w:hint="default"/>
      </w:rPr>
    </w:lvl>
    <w:lvl w:ilvl="4">
      <w:start w:val="0"/>
      <w:numFmt w:val="bullet"/>
      <w:lvlText w:val="•"/>
      <w:lvlJc w:val="left"/>
      <w:pPr>
        <w:ind w:left="832" w:hanging="252"/>
      </w:pPr>
      <w:rPr>
        <w:rFonts w:hint="default"/>
      </w:rPr>
    </w:lvl>
    <w:lvl w:ilvl="5">
      <w:start w:val="0"/>
      <w:numFmt w:val="bullet"/>
      <w:lvlText w:val="•"/>
      <w:lvlJc w:val="left"/>
      <w:pPr>
        <w:ind w:left="1016" w:hanging="252"/>
      </w:pPr>
      <w:rPr>
        <w:rFonts w:hint="default"/>
      </w:rPr>
    </w:lvl>
    <w:lvl w:ilvl="6">
      <w:start w:val="0"/>
      <w:numFmt w:val="bullet"/>
      <w:lvlText w:val="•"/>
      <w:lvlJc w:val="left"/>
      <w:pPr>
        <w:ind w:left="1199" w:hanging="252"/>
      </w:pPr>
      <w:rPr>
        <w:rFonts w:hint="default"/>
      </w:rPr>
    </w:lvl>
    <w:lvl w:ilvl="7">
      <w:start w:val="0"/>
      <w:numFmt w:val="bullet"/>
      <w:lvlText w:val="•"/>
      <w:lvlJc w:val="left"/>
      <w:pPr>
        <w:ind w:left="1382" w:hanging="252"/>
      </w:pPr>
      <w:rPr>
        <w:rFonts w:hint="default"/>
      </w:rPr>
    </w:lvl>
    <w:lvl w:ilvl="8">
      <w:start w:val="0"/>
      <w:numFmt w:val="bullet"/>
      <w:lvlText w:val="•"/>
      <w:lvlJc w:val="left"/>
      <w:pPr>
        <w:ind w:left="1565" w:hanging="252"/>
      </w:pPr>
      <w:rPr>
        <w:rFonts w:hint="default"/>
      </w:rPr>
    </w:lvl>
  </w:abstractNum>
  <w:abstractNum w:abstractNumId="1">
    <w:multiLevelType w:val="hybridMultilevel"/>
    <w:lvl w:ilvl="0">
      <w:start w:val="1"/>
      <w:numFmt w:val="decimal"/>
      <w:lvlText w:val="%1."/>
      <w:lvlJc w:val="left"/>
      <w:pPr>
        <w:ind w:left="105" w:hanging="252"/>
        <w:jc w:val="left"/>
      </w:pPr>
      <w:rPr>
        <w:rFonts w:hint="default" w:ascii="Segoe UI" w:hAnsi="Segoe UI" w:eastAsia="Segoe UI" w:cs="Segoe UI"/>
        <w:spacing w:val="-1"/>
        <w:w w:val="100"/>
        <w:sz w:val="20"/>
        <w:szCs w:val="20"/>
      </w:rPr>
    </w:lvl>
    <w:lvl w:ilvl="1">
      <w:start w:val="0"/>
      <w:numFmt w:val="bullet"/>
      <w:lvlText w:val="•"/>
      <w:lvlJc w:val="left"/>
      <w:pPr>
        <w:ind w:left="283" w:hanging="252"/>
      </w:pPr>
      <w:rPr>
        <w:rFonts w:hint="default"/>
      </w:rPr>
    </w:lvl>
    <w:lvl w:ilvl="2">
      <w:start w:val="0"/>
      <w:numFmt w:val="bullet"/>
      <w:lvlText w:val="•"/>
      <w:lvlJc w:val="left"/>
      <w:pPr>
        <w:ind w:left="466" w:hanging="252"/>
      </w:pPr>
      <w:rPr>
        <w:rFonts w:hint="default"/>
      </w:rPr>
    </w:lvl>
    <w:lvl w:ilvl="3">
      <w:start w:val="0"/>
      <w:numFmt w:val="bullet"/>
      <w:lvlText w:val="•"/>
      <w:lvlJc w:val="left"/>
      <w:pPr>
        <w:ind w:left="649" w:hanging="252"/>
      </w:pPr>
      <w:rPr>
        <w:rFonts w:hint="default"/>
      </w:rPr>
    </w:lvl>
    <w:lvl w:ilvl="4">
      <w:start w:val="0"/>
      <w:numFmt w:val="bullet"/>
      <w:lvlText w:val="•"/>
      <w:lvlJc w:val="left"/>
      <w:pPr>
        <w:ind w:left="832" w:hanging="252"/>
      </w:pPr>
      <w:rPr>
        <w:rFonts w:hint="default"/>
      </w:rPr>
    </w:lvl>
    <w:lvl w:ilvl="5">
      <w:start w:val="0"/>
      <w:numFmt w:val="bullet"/>
      <w:lvlText w:val="•"/>
      <w:lvlJc w:val="left"/>
      <w:pPr>
        <w:ind w:left="1016" w:hanging="252"/>
      </w:pPr>
      <w:rPr>
        <w:rFonts w:hint="default"/>
      </w:rPr>
    </w:lvl>
    <w:lvl w:ilvl="6">
      <w:start w:val="0"/>
      <w:numFmt w:val="bullet"/>
      <w:lvlText w:val="•"/>
      <w:lvlJc w:val="left"/>
      <w:pPr>
        <w:ind w:left="1199" w:hanging="252"/>
      </w:pPr>
      <w:rPr>
        <w:rFonts w:hint="default"/>
      </w:rPr>
    </w:lvl>
    <w:lvl w:ilvl="7">
      <w:start w:val="0"/>
      <w:numFmt w:val="bullet"/>
      <w:lvlText w:val="•"/>
      <w:lvlJc w:val="left"/>
      <w:pPr>
        <w:ind w:left="1382" w:hanging="252"/>
      </w:pPr>
      <w:rPr>
        <w:rFonts w:hint="default"/>
      </w:rPr>
    </w:lvl>
    <w:lvl w:ilvl="8">
      <w:start w:val="0"/>
      <w:numFmt w:val="bullet"/>
      <w:lvlText w:val="•"/>
      <w:lvlJc w:val="left"/>
      <w:pPr>
        <w:ind w:left="1565" w:hanging="252"/>
      </w:pPr>
      <w:rPr>
        <w:rFonts w:hint="default"/>
      </w:rPr>
    </w:lvl>
  </w:abstractNum>
  <w:abstractNum w:abstractNumId="0">
    <w:multiLevelType w:val="hybridMultilevel"/>
    <w:lvl w:ilvl="0">
      <w:start w:val="0"/>
      <w:numFmt w:val="bullet"/>
      <w:lvlText w:val=""/>
      <w:lvlJc w:val="left"/>
      <w:pPr>
        <w:ind w:left="835" w:hanging="360"/>
      </w:pPr>
      <w:rPr>
        <w:rFonts w:hint="default" w:ascii="Symbol" w:hAnsi="Symbol" w:eastAsia="Symbol" w:cs="Symbol"/>
        <w:w w:val="100"/>
        <w:sz w:val="20"/>
        <w:szCs w:val="20"/>
      </w:rPr>
    </w:lvl>
    <w:lvl w:ilvl="1">
      <w:start w:val="1"/>
      <w:numFmt w:val="decimal"/>
      <w:lvlText w:val="%2."/>
      <w:lvlJc w:val="left"/>
      <w:pPr>
        <w:ind w:left="1555" w:hanging="360"/>
        <w:jc w:val="left"/>
      </w:pPr>
      <w:rPr>
        <w:rFonts w:hint="default" w:ascii="Calibri" w:hAnsi="Calibri" w:eastAsia="Calibri" w:cs="Calibri"/>
        <w:spacing w:val="-2"/>
        <w:w w:val="100"/>
        <w:sz w:val="24"/>
        <w:szCs w:val="24"/>
      </w:rPr>
    </w:lvl>
    <w:lvl w:ilvl="2">
      <w:start w:val="0"/>
      <w:numFmt w:val="bullet"/>
      <w:lvlText w:val="•"/>
      <w:lvlJc w:val="left"/>
      <w:pPr>
        <w:ind w:left="2451" w:hanging="360"/>
      </w:pPr>
      <w:rPr>
        <w:rFonts w:hint="default"/>
      </w:rPr>
    </w:lvl>
    <w:lvl w:ilvl="3">
      <w:start w:val="0"/>
      <w:numFmt w:val="bullet"/>
      <w:lvlText w:val="•"/>
      <w:lvlJc w:val="left"/>
      <w:pPr>
        <w:ind w:left="3343" w:hanging="360"/>
      </w:pPr>
      <w:rPr>
        <w:rFonts w:hint="default"/>
      </w:rPr>
    </w:lvl>
    <w:lvl w:ilvl="4">
      <w:start w:val="0"/>
      <w:numFmt w:val="bullet"/>
      <w:lvlText w:val="•"/>
      <w:lvlJc w:val="left"/>
      <w:pPr>
        <w:ind w:left="4235" w:hanging="360"/>
      </w:pPr>
      <w:rPr>
        <w:rFonts w:hint="default"/>
      </w:rPr>
    </w:lvl>
    <w:lvl w:ilvl="5">
      <w:start w:val="0"/>
      <w:numFmt w:val="bullet"/>
      <w:lvlText w:val="•"/>
      <w:lvlJc w:val="left"/>
      <w:pPr>
        <w:ind w:left="5127" w:hanging="360"/>
      </w:pPr>
      <w:rPr>
        <w:rFonts w:hint="default"/>
      </w:rPr>
    </w:lvl>
    <w:lvl w:ilvl="6">
      <w:start w:val="0"/>
      <w:numFmt w:val="bullet"/>
      <w:lvlText w:val="•"/>
      <w:lvlJc w:val="left"/>
      <w:pPr>
        <w:ind w:left="6019"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802" w:hanging="36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軟正黑體" w:hAnsi="微軟正黑體" w:eastAsia="微軟正黑體" w:cs="微軟正黑體"/>
    </w:rPr>
  </w:style>
  <w:style w:styleId="BodyText" w:type="paragraph">
    <w:name w:val="Body Text"/>
    <w:basedOn w:val="Normal"/>
    <w:uiPriority w:val="1"/>
    <w:qFormat/>
    <w:pPr/>
    <w:rPr>
      <w:rFonts w:ascii="微軟正黑體" w:hAnsi="微軟正黑體" w:eastAsia="微軟正黑體" w:cs="微軟正黑體"/>
      <w:sz w:val="24"/>
      <w:szCs w:val="24"/>
    </w:rPr>
  </w:style>
  <w:style w:styleId="Heading1" w:type="paragraph">
    <w:name w:val="Heading 1"/>
    <w:basedOn w:val="Normal"/>
    <w:uiPriority w:val="1"/>
    <w:qFormat/>
    <w:pPr>
      <w:spacing w:line="415" w:lineRule="exact"/>
      <w:ind w:left="115"/>
      <w:outlineLvl w:val="1"/>
    </w:pPr>
    <w:rPr>
      <w:rFonts w:ascii="微軟正黑體" w:hAnsi="微軟正黑體" w:eastAsia="微軟正黑體" w:cs="微軟正黑體"/>
      <w:b/>
      <w:bCs/>
      <w:sz w:val="24"/>
      <w:szCs w:val="24"/>
    </w:rPr>
  </w:style>
  <w:style w:styleId="ListParagraph" w:type="paragraph">
    <w:name w:val="List Paragraph"/>
    <w:basedOn w:val="Normal"/>
    <w:uiPriority w:val="1"/>
    <w:qFormat/>
    <w:pPr>
      <w:spacing w:line="415" w:lineRule="exact"/>
      <w:ind w:left="835" w:hanging="360"/>
    </w:pPr>
    <w:rPr>
      <w:rFonts w:ascii="微軟正黑體" w:hAnsi="微軟正黑體" w:eastAsia="微軟正黑體" w:cs="微軟正黑體"/>
    </w:rPr>
  </w:style>
  <w:style w:styleId="TableParagraph" w:type="paragraph">
    <w:name w:val="Table Paragraph"/>
    <w:basedOn w:val="Normal"/>
    <w:uiPriority w:val="1"/>
    <w:qFormat/>
    <w:pPr>
      <w:ind w:left="107"/>
    </w:pPr>
    <w:rPr>
      <w:rFonts w:ascii="微軟正黑體" w:hAnsi="微軟正黑體" w:eastAsia="微軟正黑體" w:cs="微軟正黑體"/>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Ho</dc:creator>
  <dcterms:created xsi:type="dcterms:W3CDTF">2025-07-25T00:47:32Z</dcterms:created>
  <dcterms:modified xsi:type="dcterms:W3CDTF">2025-07-25T00:47:32Z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Acrobat PDFMaker 19 Word 版</vt:lpwstr>
  </property>
  <property fmtid="{D5CDD505-2E9C-101B-9397-08002B2CF9AE}" pid="4" name="LastSaved">
    <vt:filetime>2025-07-25T00:00:00Z</vt:filetime>
  </property>
</Properties>
</file>