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8"/>
        <w:ind w:left="3644" w:right="3643"/>
        <w:jc w:val="center"/>
      </w:pPr>
      <w:r>
        <w:rPr/>
        <w:t>感電案 </w:t>
      </w:r>
      <w:r>
        <w:rPr>
          <w:rFonts w:ascii="Calibri" w:eastAsia="Calibri"/>
        </w:rPr>
        <w:t>4_</w:t>
      </w:r>
      <w:r>
        <w:rPr/>
        <w:t>分析參考</w:t>
      </w:r>
    </w:p>
    <w:p>
      <w:pPr>
        <w:spacing w:before="267"/>
        <w:ind w:left="1654" w:right="0" w:firstLine="0"/>
        <w:jc w:val="left"/>
        <w:rPr>
          <w:b/>
          <w:sz w:val="24"/>
        </w:rPr>
      </w:pPr>
      <w:r>
        <w:rPr>
          <w:b/>
          <w:sz w:val="24"/>
        </w:rPr>
        <w:t>勞工進行電源線配線作業發生感電致死災害調查分析報告</w:t>
      </w:r>
    </w:p>
    <w:p>
      <w:pPr>
        <w:pStyle w:val="BodyText"/>
        <w:spacing w:line="225" w:lineRule="auto" w:before="286"/>
        <w:ind w:left="118" w:right="187"/>
        <w:jc w:val="both"/>
      </w:pPr>
      <w:r>
        <w:rPr>
          <w:b/>
        </w:rPr>
        <w:t>重要提醒： </w:t>
      </w:r>
      <w:r>
        <w:rPr/>
        <w:t>本分析報告是基於所提供案例的有限資訊，並結合事故調查的專業方法論進行。部分內容為根據邏輯與經驗所做的合理假設，並會明確標示為 </w:t>
      </w:r>
      <w:r>
        <w:rPr>
          <w:rFonts w:ascii="Calibri" w:eastAsia="Calibri"/>
          <w:b/>
        </w:rPr>
        <w:t>(</w:t>
      </w:r>
      <w:r>
        <w:rPr>
          <w:b/>
        </w:rPr>
        <w:t>假設</w:t>
      </w:r>
      <w:r>
        <w:rPr>
          <w:rFonts w:ascii="Calibri" w:eastAsia="Calibri"/>
          <w:b/>
        </w:rPr>
        <w:t>)</w:t>
      </w:r>
      <w:r>
        <w:rPr/>
        <w:t>。一場實際、完整的事故調查，需要更詳盡的現場勘查、人員訪談與物證檢驗來支持所有結</w:t>
      </w:r>
    </w:p>
    <w:p>
      <w:pPr>
        <w:pStyle w:val="BodyText"/>
        <w:spacing w:line="423" w:lineRule="exact"/>
        <w:ind w:left="118"/>
        <w:jc w:val="both"/>
      </w:pPr>
      <w:r>
        <w:rPr/>
        <w:t>論。</w:t>
      </w:r>
    </w:p>
    <w:p>
      <w:pPr>
        <w:pStyle w:val="Heading1"/>
        <w:spacing w:before="266"/>
        <w:jc w:val="both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機電、電信及電路設備安裝業  </w:t>
      </w:r>
      <w:r>
        <w:rPr>
          <w:rFonts w:ascii="Calibri" w:hAnsi="Calibri" w:eastAsia="Calibri"/>
          <w:sz w:val="24"/>
        </w:rPr>
        <w:t>(4331)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感電  </w:t>
      </w:r>
      <w:r>
        <w:rPr>
          <w:rFonts w:ascii="Calibri" w:hAnsi="Calibri" w:eastAsia="Calibri"/>
          <w:sz w:val="24"/>
        </w:rPr>
        <w:t>(13)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輸配電線路  </w:t>
      </w:r>
      <w:r>
        <w:rPr>
          <w:rFonts w:ascii="Calibri" w:hAnsi="Calibri" w:eastAsia="Calibri"/>
          <w:sz w:val="24"/>
        </w:rPr>
        <w:t>(351)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sz w:val="24"/>
        </w:rPr>
        <w:t>民國 </w:t>
      </w:r>
      <w:r>
        <w:rPr>
          <w:rFonts w:ascii="Calibri" w:hAnsi="Calibri" w:eastAsia="Calibri"/>
          <w:sz w:val="24"/>
        </w:rPr>
        <w:t>111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19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日，約 </w:t>
      </w:r>
      <w:r>
        <w:rPr>
          <w:rFonts w:ascii="Calibri" w:hAnsi="Calibri" w:eastAsia="Calibri"/>
          <w:sz w:val="24"/>
        </w:rPr>
        <w:t>11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28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分許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事故地點： </w:t>
      </w:r>
      <w:r>
        <w:rPr>
          <w:rFonts w:ascii="Calibri" w:hAnsi="Calibri" w:eastAsia="Calibri"/>
          <w:sz w:val="24"/>
        </w:rPr>
        <w:t>○○○○</w:t>
      </w:r>
      <w:r>
        <w:rPr>
          <w:sz w:val="24"/>
        </w:rPr>
        <w:t>企業有限公司廠房內，高約 </w:t>
      </w:r>
      <w:r>
        <w:rPr>
          <w:rFonts w:ascii="Calibri" w:hAnsi="Calibri" w:eastAsia="Calibri"/>
          <w:sz w:val="24"/>
        </w:rPr>
        <w:t>2.4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公尺之移動梯上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225" w:lineRule="auto" w:before="6" w:after="0"/>
        <w:ind w:left="838" w:right="115" w:hanging="360"/>
        <w:jc w:val="left"/>
        <w:rPr>
          <w:sz w:val="24"/>
        </w:rPr>
      </w:pPr>
      <w:r>
        <w:rPr>
          <w:b/>
          <w:sz w:val="24"/>
        </w:rPr>
        <w:t>事故摘要： </w:t>
      </w:r>
      <w:r>
        <w:rPr>
          <w:rFonts w:ascii="Calibri" w:hAnsi="Calibri" w:eastAsia="Calibri"/>
          <w:sz w:val="24"/>
        </w:rPr>
        <w:t>○○</w:t>
      </w:r>
      <w:r>
        <w:rPr>
          <w:sz w:val="24"/>
        </w:rPr>
        <w:t>工程有限公司所僱勞工黃</w:t>
      </w:r>
      <w:r>
        <w:rPr>
          <w:rFonts w:ascii="Calibri" w:hAnsi="Calibri" w:eastAsia="Calibri"/>
          <w:sz w:val="24"/>
        </w:rPr>
        <w:t>○○</w:t>
      </w:r>
      <w:r>
        <w:rPr>
          <w:sz w:val="24"/>
        </w:rPr>
        <w:t>與同事楊</w:t>
      </w:r>
      <w:r>
        <w:rPr>
          <w:rFonts w:ascii="Calibri" w:hAnsi="Calibri" w:eastAsia="Calibri"/>
          <w:sz w:val="24"/>
        </w:rPr>
        <w:t>○○</w:t>
      </w:r>
      <w:r>
        <w:rPr>
          <w:spacing w:val="-2"/>
          <w:sz w:val="24"/>
        </w:rPr>
        <w:t>從事廠房電燈裝設配線工</w:t>
      </w:r>
      <w:r>
        <w:rPr>
          <w:sz w:val="24"/>
        </w:rPr>
        <w:t>程。當時電源未切斷，黃員於移動梯上進行線槽內電源線配置作業時，因左手</w:t>
      </w:r>
      <w:r>
        <w:rPr>
          <w:spacing w:val="-1"/>
          <w:sz w:val="24"/>
        </w:rPr>
        <w:t>食指碰觸到電壓 </w:t>
      </w:r>
      <w:r>
        <w:rPr>
          <w:rFonts w:ascii="Calibri" w:hAnsi="Calibri" w:eastAsia="Calibri"/>
          <w:sz w:val="24"/>
        </w:rPr>
        <w:t>220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伏特之電源火線，而其右前臂碰觸到線槽金屬支架，電流經由身體形成迴路，造成感電災害，經送醫後因傷重不治死亡。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70.900002pt;margin-top:7.775513pt;width:453.65pt;height:1.55pt;mso-position-horizontal-relative:page;mso-position-vertical-relative:paragraph;z-index:-1024;mso-wrap-distance-left:0;mso-wrap-distance-right:0" coordorigin="1418,156" coordsize="9073,31">
            <v:line style="position:absolute" from="1418,171" to="10490,171" stroked="true" strokeweight="1.5pt" strokecolor="#9f9f9f">
              <v:stroke dashstyle="solid"/>
            </v:line>
            <v:rect style="position:absolute;left:1418;top:155;width:5;height:5" filled="true" fillcolor="#9f9f9f" stroked="false">
              <v:fill type="solid"/>
            </v:rect>
            <v:rect style="position:absolute;left:1418;top:155;width:5;height:5" filled="true" fillcolor="#9f9f9f" stroked="false">
              <v:fill type="solid"/>
            </v:rect>
            <v:line style="position:absolute" from="1423,158" to="10486,158" stroked="true" strokeweight=".239pt" strokecolor="#9f9f9f">
              <v:stroke dashstyle="solid"/>
            </v:line>
            <v:rect style="position:absolute;left:10485;top:155;width:5;height:5" filled="true" fillcolor="#e2e2e2" stroked="false">
              <v:fill type="solid"/>
            </v:rect>
            <v:rect style="position:absolute;left:10485;top:155;width:5;height:5" filled="true" fillcolor="#9f9f9f" stroked="false">
              <v:fill type="solid"/>
            </v:rect>
            <v:rect style="position:absolute;left:1418;top:160;width:5;height:21" filled="true" fillcolor="#9f9f9f" stroked="false">
              <v:fill type="solid"/>
            </v:rect>
            <v:rect style="position:absolute;left:10485;top:160;width:5;height:21" filled="true" fillcolor="#e2e2e2" stroked="false">
              <v:fill type="solid"/>
            </v:rect>
            <v:rect style="position:absolute;left:1418;top:180;width:5;height:5" filled="true" fillcolor="#9f9f9f" stroked="false">
              <v:fill type="solid"/>
            </v:rect>
            <v:rect style="position:absolute;left:1418;top:180;width:5;height:5" filled="true" fillcolor="#e2e2e2" stroked="false">
              <v:fill type="solid"/>
            </v:rect>
            <v:line style="position:absolute" from="1423,183" to="10486,183" stroked="true" strokeweight=".239pt" strokecolor="#e2e2e2">
              <v:stroke dashstyle="solid"/>
            </v:line>
            <v:rect style="position:absolute;left:10485;top:180;width:5;height:5" filled="true" fillcolor="#e2e2e2" stroked="false">
              <v:fill type="solid"/>
            </v:rect>
            <v:rect style="position:absolute;left:10485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225" w:lineRule="auto" w:before="6"/>
        <w:ind w:left="118" w:right="307"/>
      </w:pPr>
      <w:r>
        <w:rPr>
          <w:spacing w:val="-1"/>
        </w:rPr>
        <w:t>此圖將事故發生的事件及相關條件按時間順序呈現，以視覺化方式釐清因果關係。圖</w:t>
      </w:r>
      <w:r>
        <w:rPr/>
        <w:t>中黃色方框為「事件」，粉紅色橢圓為「條件」，藍色虛線橢圓為「推測條件或假 設」。</w:t>
      </w:r>
    </w:p>
    <w:p>
      <w:pPr>
        <w:spacing w:after="0" w:line="225" w:lineRule="auto"/>
        <w:sectPr>
          <w:type w:val="continuous"/>
          <w:pgSz w:w="11910" w:h="16840"/>
          <w:pgMar w:top="1380" w:bottom="280" w:left="1300" w:right="1300"/>
        </w:sect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843"/>
        <w:rPr>
          <w:sz w:val="20"/>
        </w:rPr>
      </w:pPr>
      <w:r>
        <w:rPr>
          <w:sz w:val="20"/>
        </w:rPr>
        <w:drawing>
          <wp:inline distT="0" distB="0" distL="0" distR="0">
            <wp:extent cx="4988187" cy="647947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187" cy="64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70.900002pt;margin-top:21.440001pt;width:453.65pt;height:1.55pt;mso-position-horizontal-relative:page;mso-position-vertical-relative:paragraph;z-index:-1000;mso-wrap-distance-left:0;mso-wrap-distance-right:0" coordorigin="1418,429" coordsize="9073,31">
            <v:line style="position:absolute" from="1418,444" to="10490,444" stroked="true" strokeweight="1.5pt" strokecolor="#9f9f9f">
              <v:stroke dashstyle="solid"/>
            </v:line>
            <v:rect style="position:absolute;left:1418;top:428;width:5;height:5" filled="true" fillcolor="#9f9f9f" stroked="false">
              <v:fill type="solid"/>
            </v:rect>
            <v:rect style="position:absolute;left:1418;top:428;width:5;height:5" filled="true" fillcolor="#9f9f9f" stroked="false">
              <v:fill type="solid"/>
            </v:rect>
            <v:line style="position:absolute" from="1423,431" to="10486,431" stroked="true" strokeweight=".239pt" strokecolor="#9f9f9f">
              <v:stroke dashstyle="solid"/>
            </v:line>
            <v:rect style="position:absolute;left:10485;top:428;width:5;height:5" filled="true" fillcolor="#e2e2e2" stroked="false">
              <v:fill type="solid"/>
            </v:rect>
            <v:rect style="position:absolute;left:10485;top:428;width:5;height:5" filled="true" fillcolor="#9f9f9f" stroked="false">
              <v:fill type="solid"/>
            </v:rect>
            <v:rect style="position:absolute;left:1418;top:433;width:5;height:21" filled="true" fillcolor="#9f9f9f" stroked="false">
              <v:fill type="solid"/>
            </v:rect>
            <v:rect style="position:absolute;left:10485;top:433;width:5;height:21" filled="true" fillcolor="#e2e2e2" stroked="false">
              <v:fill type="solid"/>
            </v:rect>
            <v:rect style="position:absolute;left:1418;top:454;width:5;height:5" filled="true" fillcolor="#9f9f9f" stroked="false">
              <v:fill type="solid"/>
            </v:rect>
            <v:rect style="position:absolute;left:1418;top:454;width:5;height:5" filled="true" fillcolor="#e2e2e2" stroked="false">
              <v:fill type="solid"/>
            </v:rect>
            <v:line style="position:absolute" from="1423,456" to="10486,456" stroked="true" strokeweight=".239pt" strokecolor="#e2e2e2">
              <v:stroke dashstyle="solid"/>
            </v:line>
            <v:rect style="position:absolute;left:10485;top:454;width:5;height:5" filled="true" fillcolor="#e2e2e2" stroked="false">
              <v:fill type="solid"/>
            </v:rect>
            <v:rect style="position:absolute;left:10485;top:45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118"/>
      </w:pPr>
      <w:r>
        <w:rPr/>
        <w:t>此表以表格形式記錄事故發生的先後順序和相關條件，作為 </w:t>
      </w:r>
      <w:r>
        <w:rPr>
          <w:rFonts w:ascii="Calibri" w:eastAsia="Calibri"/>
        </w:rPr>
        <w:t>ECFC </w:t>
      </w:r>
      <w:r>
        <w:rPr/>
        <w:t>的輔助。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2384"/>
        <w:gridCol w:w="637"/>
        <w:gridCol w:w="929"/>
        <w:gridCol w:w="1714"/>
        <w:gridCol w:w="2129"/>
      </w:tblGrid>
      <w:tr>
        <w:trPr>
          <w:trHeight w:val="1037" w:hRule="atLeast"/>
        </w:trPr>
        <w:tc>
          <w:tcPr>
            <w:tcW w:w="1276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384" w:type="dxa"/>
          </w:tcPr>
          <w:p>
            <w:pPr>
              <w:pStyle w:val="TableParagraph"/>
              <w:spacing w:line="344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37" w:type="dxa"/>
          </w:tcPr>
          <w:p>
            <w:pPr>
              <w:pStyle w:val="TableParagraph"/>
              <w:spacing w:line="333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假</w:t>
            </w:r>
          </w:p>
          <w:p>
            <w:pPr>
              <w:pStyle w:val="TableParagraph"/>
              <w:spacing w:line="339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設</w:t>
            </w:r>
          </w:p>
        </w:tc>
        <w:tc>
          <w:tcPr>
            <w:tcW w:w="929" w:type="dxa"/>
          </w:tcPr>
          <w:p>
            <w:pPr>
              <w:pStyle w:val="TableParagraph"/>
              <w:spacing w:line="333" w:lineRule="exact"/>
              <w:ind w:left="105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39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714" w:type="dxa"/>
          </w:tcPr>
          <w:p>
            <w:pPr>
              <w:pStyle w:val="TableParagraph"/>
              <w:spacing w:line="225" w:lineRule="auto"/>
              <w:ind w:left="103" w:right="125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129" w:type="dxa"/>
          </w:tcPr>
          <w:p>
            <w:pPr>
              <w:pStyle w:val="TableParagraph"/>
              <w:spacing w:line="225" w:lineRule="auto"/>
              <w:ind w:left="102" w:right="132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</w:tbl>
    <w:p>
      <w:pPr>
        <w:spacing w:after="0" w:line="225" w:lineRule="auto"/>
        <w:rPr>
          <w:rFonts w:ascii="Segoe UI" w:eastAsia="Segoe UI"/>
          <w:sz w:val="20"/>
        </w:rPr>
        <w:sectPr>
          <w:pgSz w:w="11910" w:h="16840"/>
          <w:pgMar w:top="1580" w:bottom="280" w:left="1300" w:right="130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2384"/>
        <w:gridCol w:w="637"/>
        <w:gridCol w:w="929"/>
        <w:gridCol w:w="1714"/>
        <w:gridCol w:w="2129"/>
      </w:tblGrid>
      <w:tr>
        <w:trPr>
          <w:trHeight w:val="1037" w:hRule="atLeast"/>
        </w:trPr>
        <w:tc>
          <w:tcPr>
            <w:tcW w:w="1276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111/8/19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10:00</w:t>
            </w:r>
            <w:r>
              <w:rPr>
                <w:rFonts w:ascii="Segoe UI" w:eastAsia="Segoe UI"/>
                <w:spacing w:val="-8"/>
                <w:sz w:val="20"/>
              </w:rPr>
              <w:t> </w:t>
            </w:r>
            <w:r>
              <w:rPr>
                <w:sz w:val="20"/>
              </w:rPr>
              <w:t>許</w:t>
            </w:r>
          </w:p>
        </w:tc>
        <w:tc>
          <w:tcPr>
            <w:tcW w:w="2384" w:type="dxa"/>
          </w:tcPr>
          <w:p>
            <w:pPr>
              <w:pStyle w:val="TableParagraph"/>
              <w:spacing w:line="225" w:lineRule="auto" w:before="4"/>
              <w:ind w:left="106" w:right="264"/>
              <w:rPr>
                <w:sz w:val="20"/>
              </w:rPr>
            </w:pPr>
            <w:r>
              <w:rPr>
                <w:sz w:val="20"/>
              </w:rPr>
              <w:t>罹災者黃員與同事楊員從事廠房電燈裝設配線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工程。</w:t>
            </w:r>
          </w:p>
        </w:tc>
        <w:tc>
          <w:tcPr>
            <w:tcW w:w="637" w:type="dxa"/>
          </w:tcPr>
          <w:p>
            <w:pPr>
              <w:pStyle w:val="TableParagraph"/>
              <w:spacing w:line="356" w:lineRule="exact"/>
              <w:ind w:left="87" w:right="100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29" w:type="dxa"/>
          </w:tcPr>
          <w:p>
            <w:pPr>
              <w:pStyle w:val="TableParagraph"/>
              <w:ind w:left="105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714" w:type="dxa"/>
          </w:tcPr>
          <w:p>
            <w:pPr>
              <w:pStyle w:val="TableParagraph"/>
              <w:spacing w:line="225" w:lineRule="auto" w:before="4"/>
              <w:ind w:left="103" w:right="198"/>
              <w:rPr>
                <w:sz w:val="20"/>
              </w:rPr>
            </w:pPr>
            <w:r>
              <w:rPr>
                <w:sz w:val="20"/>
              </w:rPr>
              <w:t>電源處於未切斷狀態下進行施</w:t>
            </w:r>
          </w:p>
          <w:p>
            <w:pPr>
              <w:pStyle w:val="TableParagraph"/>
              <w:spacing w:line="322" w:lineRule="exact"/>
              <w:ind w:left="103"/>
              <w:rPr>
                <w:sz w:val="20"/>
              </w:rPr>
            </w:pPr>
            <w:r>
              <w:rPr>
                <w:sz w:val="20"/>
              </w:rPr>
              <w:t>工。</w:t>
            </w:r>
          </w:p>
        </w:tc>
        <w:tc>
          <w:tcPr>
            <w:tcW w:w="2129" w:type="dxa"/>
          </w:tcPr>
          <w:p>
            <w:pPr>
              <w:pStyle w:val="TableParagraph"/>
              <w:spacing w:line="346" w:lineRule="exact"/>
              <w:ind w:left="102"/>
              <w:rPr>
                <w:sz w:val="20"/>
              </w:rPr>
            </w:pPr>
            <w:r>
              <w:rPr>
                <w:sz w:val="20"/>
              </w:rPr>
              <w:t>未建立停電作業</w:t>
            </w:r>
          </w:p>
          <w:p>
            <w:pPr>
              <w:pStyle w:val="TableParagraph"/>
              <w:spacing w:line="357" w:lineRule="exact"/>
              <w:ind w:left="102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(LOTO)</w:t>
            </w:r>
            <w:r>
              <w:rPr>
                <w:sz w:val="20"/>
              </w:rPr>
              <w:t>程序。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04" w:hRule="atLeast"/>
        </w:trPr>
        <w:tc>
          <w:tcPr>
            <w:tcW w:w="1276" w:type="dxa"/>
            <w:tcBorders>
              <w:bottom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111/8/19</w:t>
            </w:r>
          </w:p>
        </w:tc>
        <w:tc>
          <w:tcPr>
            <w:tcW w:w="2384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sz w:val="20"/>
              </w:rPr>
              <w:t>黃員使用移動梯，於離</w:t>
            </w:r>
          </w:p>
        </w:tc>
        <w:tc>
          <w:tcPr>
            <w:tcW w:w="637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87" w:right="100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ind w:left="105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14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未使用絕緣防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2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危害認知不足。</w:t>
            </w:r>
          </w:p>
        </w:tc>
      </w:tr>
      <w:tr>
        <w:trPr>
          <w:trHeight w:val="386" w:hRule="atLeast"/>
        </w:trPr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8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11:28 </w:t>
            </w:r>
            <w:r>
              <w:rPr>
                <w:sz w:val="20"/>
              </w:rPr>
              <w:t>前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6" w:lineRule="exact" w:before="30"/>
              <w:ind w:left="106"/>
              <w:rPr>
                <w:sz w:val="20"/>
              </w:rPr>
            </w:pPr>
            <w:r>
              <w:rPr>
                <w:sz w:val="20"/>
              </w:rPr>
              <w:t>地約 </w:t>
            </w:r>
            <w:r>
              <w:rPr>
                <w:rFonts w:ascii="Segoe UI" w:eastAsia="Segoe UI"/>
                <w:sz w:val="20"/>
              </w:rPr>
              <w:t>2.4 </w:t>
            </w:r>
            <w:r>
              <w:rPr>
                <w:sz w:val="20"/>
              </w:rPr>
              <w:t>公尺處進行線槽</w:t>
            </w:r>
          </w:p>
        </w:tc>
        <w:tc>
          <w:tcPr>
            <w:tcW w:w="6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6" w:lineRule="exact" w:before="30"/>
              <w:ind w:left="103"/>
              <w:rPr>
                <w:sz w:val="20"/>
              </w:rPr>
            </w:pPr>
            <w:r>
              <w:rPr>
                <w:sz w:val="20"/>
              </w:rPr>
              <w:t>護具。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6" w:lineRule="exact" w:before="30"/>
              <w:ind w:left="102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內電源線配置。</w:t>
            </w:r>
          </w:p>
        </w:tc>
        <w:tc>
          <w:tcPr>
            <w:tcW w:w="6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於不穩固的移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2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未提供更安全之工</w:t>
            </w:r>
          </w:p>
        </w:tc>
      </w:tr>
      <w:tr>
        <w:trPr>
          <w:trHeight w:val="346" w:hRule="atLeast"/>
        </w:trPr>
        <w:tc>
          <w:tcPr>
            <w:tcW w:w="127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ind w:left="103"/>
              <w:rPr>
                <w:sz w:val="20"/>
              </w:rPr>
            </w:pPr>
            <w:r>
              <w:rPr>
                <w:sz w:val="20"/>
              </w:rPr>
              <w:t>動梯上作業。</w:t>
            </w: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spacing w:line="326" w:lineRule="exact"/>
              <w:ind w:left="102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作台。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305" w:hRule="atLeast"/>
        </w:trPr>
        <w:tc>
          <w:tcPr>
            <w:tcW w:w="1276" w:type="dxa"/>
            <w:tcBorders>
              <w:bottom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111/8/19</w:t>
            </w:r>
          </w:p>
        </w:tc>
        <w:tc>
          <w:tcPr>
            <w:tcW w:w="2384" w:type="dxa"/>
            <w:tcBorders>
              <w:bottom w:val="nil"/>
            </w:tcBorders>
          </w:tcPr>
          <w:p>
            <w:pPr>
              <w:pStyle w:val="TableParagraph"/>
              <w:spacing w:line="286" w:lineRule="exact"/>
              <w:ind w:left="106"/>
              <w:rPr>
                <w:sz w:val="20"/>
              </w:rPr>
            </w:pPr>
            <w:r>
              <w:rPr>
                <w:sz w:val="20"/>
              </w:rPr>
              <w:t>同事楊員完成接線後至</w:t>
            </w:r>
          </w:p>
        </w:tc>
        <w:tc>
          <w:tcPr>
            <w:tcW w:w="637" w:type="dxa"/>
            <w:tcBorders>
              <w:bottom w:val="nil"/>
            </w:tcBorders>
          </w:tcPr>
          <w:p>
            <w:pPr>
              <w:pStyle w:val="TableParagraph"/>
              <w:spacing w:line="286" w:lineRule="exact"/>
              <w:ind w:left="87" w:right="100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ind w:left="105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714" w:type="dxa"/>
            <w:tcBorders>
              <w:bottom w:val="nil"/>
            </w:tcBorders>
          </w:tcPr>
          <w:p>
            <w:pPr>
              <w:pStyle w:val="TableParagraph"/>
              <w:spacing w:line="286" w:lineRule="exact"/>
              <w:ind w:left="103"/>
              <w:rPr>
                <w:sz w:val="20"/>
              </w:rPr>
            </w:pPr>
            <w:r>
              <w:rPr>
                <w:sz w:val="20"/>
              </w:rPr>
              <w:t>罹災者形成獨自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spacing w:line="286" w:lineRule="exact"/>
              <w:ind w:left="102"/>
              <w:rPr>
                <w:sz w:val="20"/>
              </w:rPr>
            </w:pPr>
            <w:r>
              <w:rPr>
                <w:sz w:val="20"/>
              </w:rPr>
              <w:t>現場缺乏有效監督。</w:t>
            </w:r>
          </w:p>
        </w:tc>
      </w:tr>
      <w:tr>
        <w:trPr>
          <w:trHeight w:val="386" w:hRule="atLeast"/>
        </w:trPr>
        <w:tc>
          <w:tcPr>
            <w:tcW w:w="1276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11:28 </w:t>
            </w:r>
            <w:r>
              <w:rPr>
                <w:sz w:val="20"/>
              </w:rPr>
              <w:t>許</w:t>
            </w:r>
          </w:p>
        </w:tc>
        <w:tc>
          <w:tcPr>
            <w:tcW w:w="2384" w:type="dxa"/>
            <w:tcBorders>
              <w:top w:val="nil"/>
            </w:tcBorders>
          </w:tcPr>
          <w:p>
            <w:pPr>
              <w:pStyle w:val="TableParagraph"/>
              <w:spacing w:line="337" w:lineRule="exact" w:before="29"/>
              <w:ind w:left="106"/>
              <w:rPr>
                <w:sz w:val="20"/>
              </w:rPr>
            </w:pPr>
            <w:r>
              <w:rPr>
                <w:sz w:val="20"/>
              </w:rPr>
              <w:t>戶外抽菸。</w:t>
            </w:r>
          </w:p>
        </w:tc>
        <w:tc>
          <w:tcPr>
            <w:tcW w:w="63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>
            <w:pPr>
              <w:pStyle w:val="TableParagraph"/>
              <w:spacing w:line="337" w:lineRule="exact" w:before="29"/>
              <w:ind w:left="103"/>
              <w:rPr>
                <w:sz w:val="20"/>
              </w:rPr>
            </w:pPr>
            <w:r>
              <w:rPr>
                <w:sz w:val="20"/>
              </w:rPr>
              <w:t>作業狀態。</w:t>
            </w: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5" w:hRule="atLeast"/>
        </w:trPr>
        <w:tc>
          <w:tcPr>
            <w:tcW w:w="1276" w:type="dxa"/>
            <w:tcBorders>
              <w:bottom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111/8/19</w:t>
            </w:r>
          </w:p>
        </w:tc>
        <w:tc>
          <w:tcPr>
            <w:tcW w:w="2384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6"/>
              <w:rPr>
                <w:sz w:val="20"/>
              </w:rPr>
            </w:pPr>
            <w:r>
              <w:rPr>
                <w:sz w:val="20"/>
              </w:rPr>
              <w:t>黃員左手食指碰觸電源</w:t>
            </w:r>
          </w:p>
        </w:tc>
        <w:tc>
          <w:tcPr>
            <w:tcW w:w="637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87" w:right="100"/>
              <w:jc w:val="center"/>
              <w:rPr>
                <w:sz w:val="20"/>
              </w:rPr>
            </w:pPr>
            <w:r>
              <w:rPr>
                <w:sz w:val="20"/>
              </w:rPr>
              <w:t>推斷</w:t>
            </w: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ind w:left="105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14" w:type="dxa"/>
            <w:tcBorders>
              <w:bottom w:val="nil"/>
            </w:tcBorders>
          </w:tcPr>
          <w:p>
            <w:pPr>
              <w:pStyle w:val="TableParagraph"/>
              <w:spacing w:line="285" w:lineRule="exact"/>
              <w:ind w:left="10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電線帶電</w:t>
            </w:r>
          </w:p>
        </w:tc>
        <w:tc>
          <w:tcPr>
            <w:tcW w:w="2129" w:type="dxa"/>
            <w:tcBorders>
              <w:bottom w:val="nil"/>
            </w:tcBorders>
          </w:tcPr>
          <w:p>
            <w:pPr>
              <w:pStyle w:val="TableParagraph"/>
              <w:spacing w:line="286" w:lineRule="exact"/>
              <w:ind w:left="102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1. </w:t>
            </w:r>
            <w:r>
              <w:rPr>
                <w:sz w:val="20"/>
              </w:rPr>
              <w:t>未執行停電作業。</w:t>
            </w:r>
          </w:p>
        </w:tc>
      </w:tr>
      <w:tr>
        <w:trPr>
          <w:trHeight w:val="386" w:hRule="atLeast"/>
        </w:trPr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11:28 </w:t>
            </w:r>
            <w:r>
              <w:rPr>
                <w:sz w:val="20"/>
              </w:rPr>
              <w:t>許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6" w:lineRule="exact" w:before="29"/>
              <w:ind w:left="106"/>
              <w:rPr>
                <w:sz w:val="20"/>
              </w:rPr>
            </w:pPr>
            <w:r>
              <w:rPr>
                <w:sz w:val="20"/>
              </w:rPr>
              <w:t>線火線，右前臂碰觸線</w:t>
            </w:r>
          </w:p>
        </w:tc>
        <w:tc>
          <w:tcPr>
            <w:tcW w:w="6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6" w:lineRule="exact" w:before="29"/>
              <w:ind w:left="10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(220V)</w:t>
            </w:r>
            <w:r>
              <w:rPr>
                <w:sz w:val="20"/>
              </w:rPr>
              <w:t>。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6" w:lineRule="exact" w:before="29"/>
              <w:ind w:left="102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作業空間狹小，身</w:t>
            </w:r>
          </w:p>
        </w:tc>
      </w:tr>
      <w:tr>
        <w:trPr>
          <w:trHeight w:val="345" w:hRule="atLeast"/>
        </w:trPr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6"/>
              <w:rPr>
                <w:sz w:val="20"/>
              </w:rPr>
            </w:pPr>
            <w:r>
              <w:rPr>
                <w:sz w:val="20"/>
              </w:rPr>
              <w:t>槽金屬支架。</w:t>
            </w:r>
          </w:p>
        </w:tc>
        <w:tc>
          <w:tcPr>
            <w:tcW w:w="6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人體構成感電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6" w:lineRule="exact"/>
              <w:ind w:left="102"/>
              <w:rPr>
                <w:sz w:val="20"/>
              </w:rPr>
            </w:pPr>
            <w:r>
              <w:rPr>
                <w:sz w:val="20"/>
              </w:rPr>
              <w:t>體易碰觸周邊金屬物</w:t>
            </w:r>
          </w:p>
        </w:tc>
      </w:tr>
      <w:tr>
        <w:trPr>
          <w:trHeight w:val="347" w:hRule="atLeast"/>
        </w:trPr>
        <w:tc>
          <w:tcPr>
            <w:tcW w:w="127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>
            <w:pPr>
              <w:pStyle w:val="TableParagraph"/>
              <w:spacing w:line="328" w:lineRule="exact"/>
              <w:ind w:left="103"/>
              <w:rPr>
                <w:sz w:val="20"/>
              </w:rPr>
            </w:pPr>
            <w:r>
              <w:rPr>
                <w:sz w:val="20"/>
              </w:rPr>
              <w:t>迴路。</w:t>
            </w:r>
          </w:p>
        </w:tc>
        <w:tc>
          <w:tcPr>
            <w:tcW w:w="2129" w:type="dxa"/>
            <w:tcBorders>
              <w:top w:val="nil"/>
            </w:tcBorders>
          </w:tcPr>
          <w:p>
            <w:pPr>
              <w:pStyle w:val="TableParagraph"/>
              <w:spacing w:line="328" w:lineRule="exact"/>
              <w:ind w:left="102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件。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99" w:hRule="atLeast"/>
        </w:trPr>
        <w:tc>
          <w:tcPr>
            <w:tcW w:w="1276" w:type="dxa"/>
            <w:tcBorders>
              <w:bottom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111/8/19</w:t>
            </w:r>
          </w:p>
        </w:tc>
        <w:tc>
          <w:tcPr>
            <w:tcW w:w="2384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106"/>
              <w:rPr>
                <w:sz w:val="20"/>
              </w:rPr>
            </w:pPr>
            <w:r>
              <w:rPr>
                <w:sz w:val="20"/>
              </w:rPr>
              <w:t>人員發現黃員感電，趴</w:t>
            </w:r>
          </w:p>
        </w:tc>
        <w:tc>
          <w:tcPr>
            <w:tcW w:w="637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87" w:right="100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ind w:left="105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714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103"/>
              <w:rPr>
                <w:sz w:val="20"/>
              </w:rPr>
            </w:pPr>
            <w:r>
              <w:rPr>
                <w:sz w:val="20"/>
              </w:rPr>
              <w:t>啟動緊急應變。</w:t>
            </w:r>
          </w:p>
        </w:tc>
        <w:tc>
          <w:tcPr>
            <w:tcW w:w="212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5" w:hRule="atLeast"/>
        </w:trPr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11:28 </w:t>
            </w:r>
            <w:r>
              <w:rPr>
                <w:sz w:val="20"/>
              </w:rPr>
              <w:t>後</w:t>
            </w: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31" w:lineRule="exact" w:before="24"/>
              <w:ind w:left="106"/>
              <w:rPr>
                <w:sz w:val="20"/>
              </w:rPr>
            </w:pPr>
            <w:r>
              <w:rPr>
                <w:sz w:val="20"/>
              </w:rPr>
              <w:t>在線槽上，立即通報</w:t>
            </w:r>
          </w:p>
        </w:tc>
        <w:tc>
          <w:tcPr>
            <w:tcW w:w="63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276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84" w:type="dxa"/>
            <w:tcBorders>
              <w:top w:val="nil"/>
            </w:tcBorders>
          </w:tcPr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119</w:t>
            </w:r>
            <w:r>
              <w:rPr>
                <w:sz w:val="20"/>
              </w:rPr>
              <w:t>。</w:t>
            </w:r>
          </w:p>
        </w:tc>
        <w:tc>
          <w:tcPr>
            <w:tcW w:w="637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29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4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1" w:hRule="atLeast"/>
        </w:trPr>
        <w:tc>
          <w:tcPr>
            <w:tcW w:w="1276" w:type="dxa"/>
          </w:tcPr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111/8/19</w:t>
            </w:r>
          </w:p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12:50</w:t>
            </w:r>
          </w:p>
        </w:tc>
        <w:tc>
          <w:tcPr>
            <w:tcW w:w="2384" w:type="dxa"/>
          </w:tcPr>
          <w:p>
            <w:pPr>
              <w:pStyle w:val="TableParagraph"/>
              <w:spacing w:line="345" w:lineRule="exact"/>
              <w:ind w:left="106"/>
              <w:rPr>
                <w:sz w:val="20"/>
              </w:rPr>
            </w:pPr>
            <w:r>
              <w:rPr>
                <w:sz w:val="20"/>
              </w:rPr>
              <w:t>黃員經送醫急救後，宣</w:t>
            </w:r>
          </w:p>
          <w:p>
            <w:pPr>
              <w:pStyle w:val="TableParagraph"/>
              <w:spacing w:line="327" w:lineRule="exact"/>
              <w:ind w:left="106"/>
              <w:rPr>
                <w:sz w:val="20"/>
              </w:rPr>
            </w:pPr>
            <w:r>
              <w:rPr>
                <w:sz w:val="20"/>
              </w:rPr>
              <w:t>告不治死亡。</w:t>
            </w:r>
          </w:p>
        </w:tc>
        <w:tc>
          <w:tcPr>
            <w:tcW w:w="637" w:type="dxa"/>
          </w:tcPr>
          <w:p>
            <w:pPr>
              <w:pStyle w:val="TableParagraph"/>
              <w:spacing w:line="356" w:lineRule="exact"/>
              <w:ind w:left="87" w:right="100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29" w:type="dxa"/>
          </w:tcPr>
          <w:p>
            <w:pPr>
              <w:pStyle w:val="TableParagraph"/>
              <w:ind w:left="105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14" w:type="dxa"/>
          </w:tcPr>
          <w:p>
            <w:pPr>
              <w:pStyle w:val="TableParagraph"/>
              <w:spacing w:line="345" w:lineRule="exact"/>
              <w:ind w:left="103"/>
              <w:rPr>
                <w:sz w:val="20"/>
              </w:rPr>
            </w:pPr>
            <w:r>
              <w:rPr>
                <w:sz w:val="20"/>
              </w:rPr>
              <w:t>感電傷害過於嚴</w:t>
            </w:r>
          </w:p>
          <w:p>
            <w:pPr>
              <w:pStyle w:val="TableParagraph"/>
              <w:spacing w:line="327" w:lineRule="exact"/>
              <w:ind w:left="103"/>
              <w:rPr>
                <w:sz w:val="20"/>
              </w:rPr>
            </w:pPr>
            <w:r>
              <w:rPr>
                <w:sz w:val="20"/>
              </w:rPr>
              <w:t>重。</w:t>
            </w:r>
          </w:p>
        </w:tc>
        <w:tc>
          <w:tcPr>
            <w:tcW w:w="21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428" w:lineRule="exact"/>
        <w:ind w:left="118"/>
      </w:pPr>
      <w:r>
        <w:rPr/>
        <w:t>匯出到試算表</w:t>
      </w:r>
    </w:p>
    <w:p>
      <w:pPr>
        <w:pStyle w:val="BodyText"/>
        <w:spacing w:before="15"/>
        <w:rPr>
          <w:sz w:val="5"/>
        </w:rPr>
      </w:pPr>
      <w:r>
        <w:rPr/>
        <w:pict>
          <v:group style="position:absolute;margin-left:70.900002pt;margin-top:7.324519pt;width:453.65pt;height:1.55pt;mso-position-horizontal-relative:page;mso-position-vertical-relative:paragraph;z-index:-976;mso-wrap-distance-left:0;mso-wrap-distance-right:0" coordorigin="1418,146" coordsize="9073,31">
            <v:line style="position:absolute" from="1418,161" to="10490,161" stroked="true" strokeweight="1.5pt" strokecolor="#9f9f9f">
              <v:stroke dashstyle="solid"/>
            </v:line>
            <v:rect style="position:absolute;left:1418;top:146;width:5;height:5" filled="true" fillcolor="#9f9f9f" stroked="false">
              <v:fill type="solid"/>
            </v:rect>
            <v:rect style="position:absolute;left:1418;top:146;width:5;height:5" filled="true" fillcolor="#9f9f9f" stroked="false">
              <v:fill type="solid"/>
            </v:rect>
            <v:line style="position:absolute" from="1423,149" to="10486,149" stroked="true" strokeweight=".239pt" strokecolor="#9f9f9f">
              <v:stroke dashstyle="solid"/>
            </v:line>
            <v:rect style="position:absolute;left:10485;top:146;width:5;height:5" filled="true" fillcolor="#e2e2e2" stroked="false">
              <v:fill type="solid"/>
            </v:rect>
            <v:rect style="position:absolute;left:10485;top:146;width:5;height:5" filled="true" fillcolor="#9f9f9f" stroked="false">
              <v:fill type="solid"/>
            </v:rect>
            <v:rect style="position:absolute;left:1418;top:151;width:5;height:21" filled="true" fillcolor="#9f9f9f" stroked="false">
              <v:fill type="solid"/>
            </v:rect>
            <v:rect style="position:absolute;left:10485;top:151;width:5;height:21" filled="true" fillcolor="#e2e2e2" stroked="false">
              <v:fill type="solid"/>
            </v:rect>
            <v:rect style="position:absolute;left:1418;top:171;width:5;height:5" filled="true" fillcolor="#9f9f9f" stroked="false">
              <v:fill type="solid"/>
            </v:rect>
            <v:rect style="position:absolute;left:1418;top:171;width:5;height:5" filled="true" fillcolor="#e2e2e2" stroked="false">
              <v:fill type="solid"/>
            </v:rect>
            <v:line style="position:absolute" from="1423,174" to="10486,174" stroked="true" strokeweight=".239pt" strokecolor="#e2e2e2">
              <v:stroke dashstyle="solid"/>
            </v:line>
            <v:rect style="position:absolute;left:10485;top:171;width:5;height:5" filled="true" fillcolor="#e2e2e2" stroked="false">
              <v:fill type="solid"/>
            </v:rect>
            <v:rect style="position:absolute;left:10485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 Tree)</w:t>
      </w:r>
    </w:p>
    <w:p>
      <w:pPr>
        <w:pStyle w:val="BodyText"/>
        <w:spacing w:line="428" w:lineRule="exact"/>
        <w:ind w:left="118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278"/>
        <w:rPr>
          <w:sz w:val="20"/>
        </w:rPr>
      </w:pPr>
      <w:r>
        <w:rPr>
          <w:sz w:val="20"/>
        </w:rPr>
        <w:drawing>
          <wp:inline distT="0" distB="0" distL="0" distR="0">
            <wp:extent cx="4650787" cy="5869305"/>
            <wp:effectExtent l="0" t="0" r="0" b="0"/>
            <wp:docPr id="3" name="image2.png" descr="一張含有 文字, 螢幕擷取畫面, 圖表, 方案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787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3"/>
        </w:rPr>
      </w:pPr>
      <w:r>
        <w:rPr/>
        <w:pict>
          <v:group style="position:absolute;margin-left:70.900002pt;margin-top:23.15pt;width:453.65pt;height:1.5pt;mso-position-horizontal-relative:page;mso-position-vertical-relative:paragraph;z-index:-952;mso-wrap-distance-left:0;mso-wrap-distance-right:0" coordorigin="1418,463" coordsize="9073,30">
            <v:line style="position:absolute" from="1418,478" to="10490,478" stroked="true" strokeweight="1.5pt" strokecolor="#9f9f9f">
              <v:stroke dashstyle="solid"/>
            </v:line>
            <v:rect style="position:absolute;left:1418;top:463;width:5;height:5" filled="true" fillcolor="#9f9f9f" stroked="false">
              <v:fill type="solid"/>
            </v:rect>
            <v:rect style="position:absolute;left:1418;top:463;width:5;height:5" filled="true" fillcolor="#9f9f9f" stroked="false">
              <v:fill type="solid"/>
            </v:rect>
            <v:line style="position:absolute" from="1423,465" to="10486,465" stroked="true" strokeweight=".24pt" strokecolor="#9f9f9f">
              <v:stroke dashstyle="solid"/>
            </v:line>
            <v:rect style="position:absolute;left:10485;top:463;width:5;height:5" filled="true" fillcolor="#e2e2e2" stroked="false">
              <v:fill type="solid"/>
            </v:rect>
            <v:rect style="position:absolute;left:10485;top:463;width:5;height:5" filled="true" fillcolor="#9f9f9f" stroked="false">
              <v:fill type="solid"/>
            </v:rect>
            <v:rect style="position:absolute;left:1418;top:467;width:5;height:21" filled="true" fillcolor="#9f9f9f" stroked="false">
              <v:fill type="solid"/>
            </v:rect>
            <v:rect style="position:absolute;left:10485;top:467;width:5;height:21" filled="true" fillcolor="#e2e2e2" stroked="false">
              <v:fill type="solid"/>
            </v:rect>
            <v:rect style="position:absolute;left:1418;top:488;width:5;height:5" filled="true" fillcolor="#9f9f9f" stroked="false">
              <v:fill type="solid"/>
            </v:rect>
            <v:rect style="position:absolute;left:1418;top:488;width:5;height:5" filled="true" fillcolor="#e2e2e2" stroked="false">
              <v:fill type="solid"/>
            </v:rect>
            <v:line style="position:absolute" from="1423,491" to="10486,491" stroked="true" strokeweight=".24pt" strokecolor="#e2e2e2">
              <v:stroke dashstyle="solid"/>
            </v:line>
            <v:rect style="position:absolute;left:10485;top:488;width:5;height:5" filled="true" fillcolor="#e2e2e2" stroked="false">
              <v:fill type="solid"/>
            </v:rect>
            <v:rect style="position:absolute;left:10485;top:48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118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4"/>
          <w:sz w:val="24"/>
        </w:rPr>
        <w:t>危害： </w:t>
      </w:r>
      <w:r>
        <w:rPr>
          <w:sz w:val="24"/>
        </w:rPr>
        <w:t>帶電的輸配電線路 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電壓 </w:t>
      </w:r>
      <w:r>
        <w:rPr>
          <w:rFonts w:ascii="Calibri" w:hAnsi="Calibri" w:eastAsia="Calibri"/>
          <w:sz w:val="24"/>
        </w:rPr>
        <w:t>220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伏特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28" w:lineRule="exact" w:before="0" w:after="0"/>
        <w:ind w:left="838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罹災者黃員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715"/>
        <w:gridCol w:w="901"/>
        <w:gridCol w:w="2480"/>
        <w:gridCol w:w="2970"/>
      </w:tblGrid>
      <w:tr>
        <w:trPr>
          <w:trHeight w:val="1384" w:hRule="atLeast"/>
        </w:trPr>
        <w:tc>
          <w:tcPr>
            <w:tcW w:w="996" w:type="dxa"/>
          </w:tcPr>
          <w:p>
            <w:pPr>
              <w:pStyle w:val="TableParagraph"/>
              <w:spacing w:line="225" w:lineRule="auto"/>
              <w:ind w:right="276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715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01" w:type="dxa"/>
          </w:tcPr>
          <w:p>
            <w:pPr>
              <w:pStyle w:val="TableParagraph"/>
              <w:spacing w:line="225" w:lineRule="auto"/>
              <w:ind w:right="180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480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970" w:type="dxa"/>
          </w:tcPr>
          <w:p>
            <w:pPr>
              <w:pStyle w:val="TableParagraph"/>
              <w:spacing w:line="225" w:lineRule="auto"/>
              <w:ind w:right="291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</w:tbl>
    <w:p>
      <w:pPr>
        <w:spacing w:after="0" w:line="225" w:lineRule="auto"/>
        <w:rPr>
          <w:rFonts w:ascii="Segoe UI" w:eastAsia="Segoe UI"/>
          <w:sz w:val="20"/>
        </w:rPr>
        <w:sectPr>
          <w:pgSz w:w="11910" w:h="16840"/>
          <w:pgMar w:top="1580" w:bottom="280" w:left="1300" w:right="130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715"/>
        <w:gridCol w:w="901"/>
        <w:gridCol w:w="2480"/>
        <w:gridCol w:w="2970"/>
      </w:tblGrid>
      <w:tr>
        <w:trPr>
          <w:trHeight w:val="1383" w:hRule="atLeast"/>
        </w:trPr>
        <w:tc>
          <w:tcPr>
            <w:tcW w:w="996" w:type="dxa"/>
          </w:tcPr>
          <w:p>
            <w:pPr>
              <w:pStyle w:val="TableParagraph"/>
              <w:spacing w:line="225" w:lineRule="auto" w:before="4"/>
              <w:ind w:right="18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16"/>
                <w:sz w:val="20"/>
              </w:rPr>
              <w:t>程</w:t>
            </w:r>
            <w:r>
              <w:rPr>
                <w:b/>
                <w:sz w:val="20"/>
              </w:rPr>
              <w:t>序性</w:t>
            </w:r>
          </w:p>
        </w:tc>
        <w:tc>
          <w:tcPr>
            <w:tcW w:w="1715" w:type="dxa"/>
          </w:tcPr>
          <w:p>
            <w:pPr>
              <w:pStyle w:val="TableParagraph"/>
              <w:spacing w:line="225" w:lineRule="auto" w:before="4"/>
              <w:ind w:right="125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停電、上鎖、掛牌</w:t>
            </w:r>
            <w:r>
              <w:rPr>
                <w:rFonts w:ascii="Segoe UI" w:eastAsia="Segoe UI"/>
                <w:b/>
                <w:sz w:val="20"/>
              </w:rPr>
              <w:t>(LOTO)</w:t>
            </w:r>
            <w:r>
              <w:rPr>
                <w:b/>
                <w:sz w:val="20"/>
              </w:rPr>
              <w:t>程序</w:t>
            </w:r>
          </w:p>
          <w:p>
            <w:pPr>
              <w:pStyle w:val="TableParagraph"/>
              <w:spacing w:line="353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最關鍵屏障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901" w:type="dxa"/>
          </w:tcPr>
          <w:p>
            <w:pPr>
              <w:pStyle w:val="TableParagraph"/>
              <w:spacing w:line="225" w:lineRule="auto" w:before="4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</w:tc>
        <w:tc>
          <w:tcPr>
            <w:tcW w:w="2480" w:type="dxa"/>
          </w:tcPr>
          <w:p>
            <w:pPr>
              <w:pStyle w:val="TableParagraph"/>
              <w:spacing w:line="225" w:lineRule="auto" w:before="4"/>
              <w:ind w:right="159"/>
              <w:jc w:val="both"/>
              <w:rPr>
                <w:sz w:val="20"/>
              </w:rPr>
            </w:pPr>
            <w:r>
              <w:rPr>
                <w:sz w:val="20"/>
              </w:rPr>
              <w:t>未建立任何「電氣作業前應停電」的強制規定，也未執行。</w:t>
            </w:r>
          </w:p>
        </w:tc>
        <w:tc>
          <w:tcPr>
            <w:tcW w:w="2970" w:type="dxa"/>
          </w:tcPr>
          <w:p>
            <w:pPr>
              <w:pStyle w:val="TableParagraph"/>
              <w:spacing w:line="225" w:lineRule="auto" w:before="4"/>
              <w:ind w:left="106" w:right="250"/>
              <w:jc w:val="both"/>
              <w:rPr>
                <w:sz w:val="20"/>
              </w:rPr>
            </w:pPr>
            <w:r>
              <w:rPr>
                <w:sz w:val="20"/>
              </w:rPr>
              <w:t>最致命的屏障失效。它允許了作業人員在完全無防護的狀態下，直接接近並處理帶電導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體，是事故發生的根本前提。</w:t>
            </w:r>
          </w:p>
        </w:tc>
      </w:tr>
      <w:tr>
        <w:trPr>
          <w:trHeight w:val="1384" w:hRule="atLeast"/>
        </w:trPr>
        <w:tc>
          <w:tcPr>
            <w:tcW w:w="996" w:type="dxa"/>
          </w:tcPr>
          <w:p>
            <w:pPr>
              <w:pStyle w:val="TableParagraph"/>
              <w:spacing w:line="228" w:lineRule="auto" w:before="2"/>
              <w:ind w:right="276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個人防護具</w:t>
            </w:r>
            <w:r>
              <w:rPr>
                <w:rFonts w:ascii="Segoe UI" w:eastAsia="Segoe UI"/>
                <w:b/>
                <w:sz w:val="20"/>
              </w:rPr>
              <w:t>(PPE)</w:t>
            </w:r>
          </w:p>
        </w:tc>
        <w:tc>
          <w:tcPr>
            <w:tcW w:w="1715" w:type="dxa"/>
          </w:tcPr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絕緣防護具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如絕緣手套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901" w:type="dxa"/>
          </w:tcPr>
          <w:p>
            <w:pPr>
              <w:pStyle w:val="TableParagraph"/>
              <w:spacing w:line="225" w:lineRule="auto" w:before="5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</w:tc>
        <w:tc>
          <w:tcPr>
            <w:tcW w:w="2480" w:type="dxa"/>
          </w:tcPr>
          <w:p>
            <w:pPr>
              <w:pStyle w:val="TableParagraph"/>
              <w:spacing w:line="225" w:lineRule="auto" w:before="5"/>
              <w:ind w:right="159"/>
              <w:rPr>
                <w:sz w:val="20"/>
              </w:rPr>
            </w:pPr>
            <w:r>
              <w:rPr>
                <w:sz w:val="20"/>
              </w:rPr>
              <w:t>罹災者未穿戴任何絕緣防護具。</w:t>
            </w:r>
          </w:p>
        </w:tc>
        <w:tc>
          <w:tcPr>
            <w:tcW w:w="2970" w:type="dxa"/>
          </w:tcPr>
          <w:p>
            <w:pPr>
              <w:pStyle w:val="TableParagraph"/>
              <w:spacing w:line="225" w:lineRule="auto" w:before="5"/>
              <w:ind w:left="106" w:right="250"/>
              <w:rPr>
                <w:sz w:val="20"/>
              </w:rPr>
            </w:pPr>
            <w:r>
              <w:rPr>
                <w:spacing w:val="-2"/>
                <w:sz w:val="20"/>
              </w:rPr>
              <w:t>移除了保護人員的最後一道防</w:t>
            </w:r>
            <w:r>
              <w:rPr>
                <w:sz w:val="20"/>
              </w:rPr>
              <w:t>線。若有穿戴合格的絕緣手 </w:t>
            </w:r>
            <w:r>
              <w:rPr>
                <w:spacing w:val="-2"/>
                <w:sz w:val="20"/>
              </w:rPr>
              <w:t>套，即使碰觸帶電體，也不會</w:t>
            </w:r>
          </w:p>
          <w:p>
            <w:pPr>
              <w:pStyle w:val="TableParagraph"/>
              <w:spacing w:line="322" w:lineRule="exact"/>
              <w:ind w:left="106"/>
              <w:rPr>
                <w:sz w:val="20"/>
              </w:rPr>
            </w:pPr>
            <w:r>
              <w:rPr>
                <w:sz w:val="20"/>
              </w:rPr>
              <w:t>構成感電迴路。</w:t>
            </w:r>
          </w:p>
        </w:tc>
      </w:tr>
      <w:tr>
        <w:trPr>
          <w:trHeight w:val="1383" w:hRule="atLeast"/>
        </w:trPr>
        <w:tc>
          <w:tcPr>
            <w:tcW w:w="996" w:type="dxa"/>
          </w:tcPr>
          <w:p>
            <w:pPr>
              <w:pStyle w:val="TableParagraph"/>
              <w:spacing w:line="225" w:lineRule="auto" w:before="4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715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現場作業監督</w:t>
            </w:r>
          </w:p>
        </w:tc>
        <w:tc>
          <w:tcPr>
            <w:tcW w:w="901" w:type="dxa"/>
          </w:tcPr>
          <w:p>
            <w:pPr>
              <w:pStyle w:val="TableParagraph"/>
              <w:spacing w:line="225" w:lineRule="auto" w:before="4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</w:tc>
        <w:tc>
          <w:tcPr>
            <w:tcW w:w="2480" w:type="dxa"/>
          </w:tcPr>
          <w:p>
            <w:pPr>
              <w:pStyle w:val="TableParagraph"/>
              <w:spacing w:line="225" w:lineRule="auto" w:before="4"/>
              <w:ind w:right="159"/>
              <w:jc w:val="both"/>
              <w:rPr>
                <w:sz w:val="20"/>
              </w:rPr>
            </w:pPr>
            <w:r>
              <w:rPr>
                <w:sz w:val="20"/>
              </w:rPr>
              <w:t>同事離開後，無人監督罹災者之高風險作業，形成獨自作業狀態。</w:t>
            </w:r>
          </w:p>
        </w:tc>
        <w:tc>
          <w:tcPr>
            <w:tcW w:w="2970" w:type="dxa"/>
          </w:tcPr>
          <w:p>
            <w:pPr>
              <w:pStyle w:val="TableParagraph"/>
              <w:spacing w:line="225" w:lineRule="auto" w:before="4"/>
              <w:ind w:right="189" w:hanging="1"/>
              <w:jc w:val="both"/>
              <w:rPr>
                <w:sz w:val="20"/>
              </w:rPr>
            </w:pPr>
            <w:r>
              <w:rPr>
                <w:sz w:val="20"/>
              </w:rPr>
              <w:t>監督的失效，讓不安全行為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活線作業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得以持續，且事故發生後可能延誤發現與搶救的時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機。</w:t>
            </w:r>
          </w:p>
        </w:tc>
      </w:tr>
      <w:tr>
        <w:trPr>
          <w:trHeight w:val="1383" w:hRule="atLeast"/>
        </w:trPr>
        <w:tc>
          <w:tcPr>
            <w:tcW w:w="996" w:type="dxa"/>
          </w:tcPr>
          <w:p>
            <w:pPr>
              <w:pStyle w:val="TableParagraph"/>
              <w:spacing w:line="225" w:lineRule="auto" w:before="4"/>
              <w:ind w:right="18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16"/>
                <w:sz w:val="20"/>
              </w:rPr>
              <w:t>程</w:t>
            </w:r>
            <w:r>
              <w:rPr>
                <w:b/>
                <w:sz w:val="20"/>
              </w:rPr>
              <w:t>序性</w:t>
            </w:r>
          </w:p>
        </w:tc>
        <w:tc>
          <w:tcPr>
            <w:tcW w:w="1715" w:type="dxa"/>
          </w:tcPr>
          <w:p>
            <w:pPr>
              <w:pStyle w:val="TableParagraph"/>
              <w:spacing w:line="35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安全作業程序</w:t>
            </w:r>
          </w:p>
        </w:tc>
        <w:tc>
          <w:tcPr>
            <w:tcW w:w="901" w:type="dxa"/>
          </w:tcPr>
          <w:p>
            <w:pPr>
              <w:pStyle w:val="TableParagraph"/>
              <w:spacing w:line="34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不存在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假設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480" w:type="dxa"/>
          </w:tcPr>
          <w:p>
            <w:pPr>
              <w:pStyle w:val="TableParagraph"/>
              <w:spacing w:line="225" w:lineRule="auto" w:before="4"/>
              <w:ind w:right="159"/>
              <w:jc w:val="both"/>
              <w:rPr>
                <w:sz w:val="20"/>
              </w:rPr>
            </w:pPr>
            <w:r>
              <w:rPr>
                <w:sz w:val="20"/>
              </w:rPr>
              <w:t>未針對「廠房內電氣線路佈設」此類作業，制定標準化的安全作業程序。</w:t>
            </w:r>
          </w:p>
        </w:tc>
        <w:tc>
          <w:tcPr>
            <w:tcW w:w="2970" w:type="dxa"/>
          </w:tcPr>
          <w:p>
            <w:pPr>
              <w:pStyle w:val="TableParagraph"/>
              <w:spacing w:line="225" w:lineRule="auto" w:before="4"/>
              <w:ind w:left="106" w:right="250"/>
              <w:jc w:val="both"/>
              <w:rPr>
                <w:sz w:val="20"/>
              </w:rPr>
            </w:pPr>
            <w:r>
              <w:rPr>
                <w:sz w:val="20"/>
              </w:rPr>
              <w:t>缺乏明確的作業指南，導致勞工只能依賴個人判斷，而其判斷可能因危害認知不足而產生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致命錯誤。</w:t>
            </w:r>
          </w:p>
        </w:tc>
      </w:tr>
      <w:tr>
        <w:trPr>
          <w:trHeight w:val="1384" w:hRule="atLeast"/>
        </w:trPr>
        <w:tc>
          <w:tcPr>
            <w:tcW w:w="996" w:type="dxa"/>
          </w:tcPr>
          <w:p>
            <w:pPr>
              <w:pStyle w:val="TableParagraph"/>
              <w:spacing w:line="225" w:lineRule="auto" w:before="5"/>
              <w:ind w:right="18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 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pacing w:val="-16"/>
                <w:sz w:val="20"/>
              </w:rPr>
              <w:t>設</w:t>
            </w:r>
            <w:r>
              <w:rPr>
                <w:b/>
                <w:sz w:val="20"/>
              </w:rPr>
              <w:t>備</w:t>
            </w:r>
          </w:p>
        </w:tc>
        <w:tc>
          <w:tcPr>
            <w:tcW w:w="1715" w:type="dxa"/>
          </w:tcPr>
          <w:p>
            <w:pPr>
              <w:pStyle w:val="TableParagraph"/>
              <w:spacing w:line="225" w:lineRule="auto" w:before="5"/>
              <w:ind w:right="125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5. </w:t>
            </w:r>
            <w:r>
              <w:rPr>
                <w:b/>
                <w:sz w:val="20"/>
              </w:rPr>
              <w:t>穩定的絕緣工作台</w:t>
            </w:r>
          </w:p>
        </w:tc>
        <w:tc>
          <w:tcPr>
            <w:tcW w:w="901" w:type="dxa"/>
          </w:tcPr>
          <w:p>
            <w:pPr>
              <w:pStyle w:val="TableParagraph"/>
              <w:spacing w:line="35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不存在</w:t>
            </w:r>
          </w:p>
        </w:tc>
        <w:tc>
          <w:tcPr>
            <w:tcW w:w="2480" w:type="dxa"/>
          </w:tcPr>
          <w:p>
            <w:pPr>
              <w:pStyle w:val="TableParagraph"/>
              <w:spacing w:line="225" w:lineRule="auto" w:before="5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使用導電的金屬移動梯， 而非使用更穩定且具絕緣性質的工作台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如高空作業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車、絕緣合梯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970" w:type="dxa"/>
          </w:tcPr>
          <w:p>
            <w:pPr>
              <w:pStyle w:val="TableParagraph"/>
              <w:spacing w:line="225" w:lineRule="auto" w:before="5"/>
              <w:ind w:left="106" w:right="250"/>
              <w:jc w:val="both"/>
              <w:rPr>
                <w:sz w:val="20"/>
              </w:rPr>
            </w:pPr>
            <w:r>
              <w:rPr>
                <w:sz w:val="20"/>
              </w:rPr>
              <w:t>移動梯本身不穩，且其金屬材質可能成為接地路徑之一，增加了作業的整體風險。</w:t>
            </w:r>
          </w:p>
        </w:tc>
      </w:tr>
      <w:tr>
        <w:trPr>
          <w:trHeight w:val="1383" w:hRule="atLeast"/>
        </w:trPr>
        <w:tc>
          <w:tcPr>
            <w:tcW w:w="996" w:type="dxa"/>
          </w:tcPr>
          <w:p>
            <w:pPr>
              <w:pStyle w:val="TableParagraph"/>
              <w:spacing w:line="225" w:lineRule="auto" w:before="4"/>
              <w:ind w:right="27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715" w:type="dxa"/>
          </w:tcPr>
          <w:p>
            <w:pPr>
              <w:pStyle w:val="TableParagraph"/>
              <w:spacing w:line="225" w:lineRule="auto" w:before="4"/>
              <w:ind w:right="125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6. </w:t>
            </w:r>
            <w:r>
              <w:rPr>
                <w:b/>
                <w:sz w:val="20"/>
              </w:rPr>
              <w:t>危害辨識與風險評估</w:t>
            </w:r>
          </w:p>
        </w:tc>
        <w:tc>
          <w:tcPr>
            <w:tcW w:w="901" w:type="dxa"/>
          </w:tcPr>
          <w:p>
            <w:pPr>
              <w:pStyle w:val="TableParagraph"/>
              <w:spacing w:line="225" w:lineRule="auto" w:before="4"/>
              <w:ind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嚴重不足 </w:t>
            </w:r>
            <w:r>
              <w:rPr>
                <w:rFonts w:ascii="Segoe UI" w:eastAsia="Segoe UI"/>
                <w:b/>
                <w:sz w:val="20"/>
              </w:rPr>
              <w:t>( </w:t>
            </w:r>
            <w:r>
              <w:rPr>
                <w:b/>
                <w:sz w:val="20"/>
              </w:rPr>
              <w:t>推</w:t>
            </w:r>
          </w:p>
          <w:p>
            <w:pPr>
              <w:pStyle w:val="TableParagraph"/>
              <w:spacing w:line="352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480" w:type="dxa"/>
          </w:tcPr>
          <w:p>
            <w:pPr>
              <w:pStyle w:val="TableParagraph"/>
              <w:spacing w:line="225" w:lineRule="auto" w:before="4"/>
              <w:ind w:right="159"/>
              <w:jc w:val="both"/>
              <w:rPr>
                <w:sz w:val="20"/>
              </w:rPr>
            </w:pPr>
            <w:r>
              <w:rPr>
                <w:sz w:val="20"/>
              </w:rPr>
              <w:t>管理階層與作業人員未能辨識出「在未斷電情況下配置電源線」是致命性危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害。</w:t>
            </w:r>
          </w:p>
        </w:tc>
        <w:tc>
          <w:tcPr>
            <w:tcW w:w="2970" w:type="dxa"/>
          </w:tcPr>
          <w:p>
            <w:pPr>
              <w:pStyle w:val="TableParagraph"/>
              <w:spacing w:line="225" w:lineRule="auto" w:before="4"/>
              <w:ind w:right="129"/>
              <w:jc w:val="both"/>
              <w:rPr>
                <w:sz w:val="20"/>
              </w:rPr>
            </w:pPr>
            <w:r>
              <w:rPr>
                <w:sz w:val="20"/>
              </w:rPr>
              <w:t>因為沒有辨識出風險，所以完全沒有規劃任何對應的控制措施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屏障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，導致作業處於失控狀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態。</w:t>
            </w:r>
          </w:p>
        </w:tc>
      </w:tr>
    </w:tbl>
    <w:p>
      <w:pPr>
        <w:pStyle w:val="BodyText"/>
        <w:spacing w:before="8"/>
        <w:rPr>
          <w:sz w:val="22"/>
        </w:rPr>
      </w:pPr>
      <w:r>
        <w:rPr/>
        <w:pict>
          <v:group style="position:absolute;margin-left:70.900002pt;margin-top:22.620001pt;width:453.65pt;height:1.55pt;mso-position-horizontal-relative:page;mso-position-vertical-relative:paragraph;z-index:-928;mso-wrap-distance-left:0;mso-wrap-distance-right:0" coordorigin="1418,452" coordsize="9073,31">
            <v:line style="position:absolute" from="1418,468" to="10490,468" stroked="true" strokeweight="1.5pt" strokecolor="#9f9f9f">
              <v:stroke dashstyle="solid"/>
            </v:line>
            <v:rect style="position:absolute;left:1418;top:452;width:5;height:5" filled="true" fillcolor="#9f9f9f" stroked="false">
              <v:fill type="solid"/>
            </v:rect>
            <v:rect style="position:absolute;left:1418;top:452;width:5;height:5" filled="true" fillcolor="#9f9f9f" stroked="false">
              <v:fill type="solid"/>
            </v:rect>
            <v:line style="position:absolute" from="1423,455" to="10486,455" stroked="true" strokeweight=".24pt" strokecolor="#9f9f9f">
              <v:stroke dashstyle="solid"/>
            </v:line>
            <v:rect style="position:absolute;left:10485;top:452;width:5;height:5" filled="true" fillcolor="#e2e2e2" stroked="false">
              <v:fill type="solid"/>
            </v:rect>
            <v:rect style="position:absolute;left:10485;top:452;width:5;height:5" filled="true" fillcolor="#9f9f9f" stroked="false">
              <v:fill type="solid"/>
            </v:rect>
            <v:rect style="position:absolute;left:1418;top:457;width:5;height:21" filled="true" fillcolor="#9f9f9f" stroked="false">
              <v:fill type="solid"/>
            </v:rect>
            <v:rect style="position:absolute;left:10485;top:457;width:5;height:21" filled="true" fillcolor="#e2e2e2" stroked="false">
              <v:fill type="solid"/>
            </v:rect>
            <v:rect style="position:absolute;left:1418;top:477;width:5;height:5" filled="true" fillcolor="#9f9f9f" stroked="false">
              <v:fill type="solid"/>
            </v:rect>
            <v:rect style="position:absolute;left:1418;top:477;width:5;height:5" filled="true" fillcolor="#e2e2e2" stroked="false">
              <v:fill type="solid"/>
            </v:rect>
            <v:line style="position:absolute" from="1423,480" to="10486,480" stroked="true" strokeweight=".24pt" strokecolor="#e2e2e2">
              <v:stroke dashstyle="solid"/>
            </v:line>
            <v:rect style="position:absolute;left:10485;top:477;width:5;height:5" filled="true" fillcolor="#e2e2e2" stroked="false">
              <v:fill type="solid"/>
            </v:rect>
            <v:rect style="position:absolute;left:10485;top:477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428" w:lineRule="exact"/>
        <w:ind w:left="118"/>
      </w:pPr>
      <w:r>
        <w:rPr/>
        <w:t>本分析比較「事故狀況」與「理想的無事故狀況」，以識別導致事故的關鍵差異。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4"/>
        <w:gridCol w:w="1770"/>
        <w:gridCol w:w="2058"/>
        <w:gridCol w:w="1712"/>
        <w:gridCol w:w="2808"/>
      </w:tblGrid>
      <w:tr>
        <w:trPr>
          <w:trHeight w:val="692" w:hRule="atLeast"/>
        </w:trPr>
        <w:tc>
          <w:tcPr>
            <w:tcW w:w="714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770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058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先前、理想或未發生</w:t>
            </w:r>
          </w:p>
          <w:p>
            <w:pPr>
              <w:pStyle w:val="TableParagraph"/>
              <w:spacing w:line="338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事故狀況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1712" w:type="dxa"/>
          </w:tcPr>
          <w:p>
            <w:pPr>
              <w:pStyle w:val="TableParagraph"/>
              <w:spacing w:line="345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差異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變更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808" w:type="dxa"/>
          </w:tcPr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效果評估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差異對事故的影</w:t>
            </w:r>
          </w:p>
          <w:p>
            <w:pPr>
              <w:pStyle w:val="TableParagraph"/>
              <w:spacing w:line="338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響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714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什麼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狀</w:t>
            </w:r>
          </w:p>
          <w:p>
            <w:pPr>
              <w:pStyle w:val="TableParagraph"/>
              <w:spacing w:line="338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態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770" w:type="dxa"/>
          </w:tcPr>
          <w:p>
            <w:pPr>
              <w:pStyle w:val="TableParagraph"/>
              <w:spacing w:line="225" w:lineRule="auto"/>
              <w:ind w:right="249"/>
              <w:rPr>
                <w:sz w:val="20"/>
              </w:rPr>
            </w:pPr>
            <w:r>
              <w:rPr>
                <w:sz w:val="20"/>
              </w:rPr>
              <w:t>在「通電中」的線路上作業。</w:t>
            </w:r>
          </w:p>
        </w:tc>
        <w:tc>
          <w:tcPr>
            <w:tcW w:w="2058" w:type="dxa"/>
          </w:tcPr>
          <w:p>
            <w:pPr>
              <w:pStyle w:val="TableParagraph"/>
              <w:spacing w:line="225" w:lineRule="auto"/>
              <w:ind w:right="137"/>
              <w:rPr>
                <w:sz w:val="20"/>
              </w:rPr>
            </w:pPr>
            <w:r>
              <w:rPr>
                <w:sz w:val="20"/>
              </w:rPr>
              <w:t>在「已斷電並上鎖」的線路上作業。</w:t>
            </w:r>
          </w:p>
        </w:tc>
        <w:tc>
          <w:tcPr>
            <w:tcW w:w="1712" w:type="dxa"/>
          </w:tcPr>
          <w:p>
            <w:pPr>
              <w:pStyle w:val="TableParagraph"/>
              <w:spacing w:line="225" w:lineRule="auto"/>
              <w:ind w:right="191"/>
              <w:rPr>
                <w:sz w:val="20"/>
              </w:rPr>
            </w:pPr>
            <w:r>
              <w:rPr>
                <w:sz w:val="20"/>
              </w:rPr>
              <w:t>作業的「前提條件」由安全變為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致命。</w:t>
            </w:r>
          </w:p>
        </w:tc>
        <w:tc>
          <w:tcPr>
            <w:tcW w:w="2808" w:type="dxa"/>
          </w:tcPr>
          <w:p>
            <w:pPr>
              <w:pStyle w:val="TableParagraph"/>
              <w:spacing w:line="225" w:lineRule="auto"/>
              <w:ind w:left="106" w:right="287"/>
              <w:rPr>
                <w:sz w:val="20"/>
              </w:rPr>
            </w:pPr>
            <w:r>
              <w:rPr>
                <w:sz w:val="20"/>
              </w:rPr>
              <w:t>這是造成事故最關鍵的差 </w:t>
            </w:r>
            <w:r>
              <w:rPr>
                <w:spacing w:val="-2"/>
                <w:sz w:val="20"/>
              </w:rPr>
              <w:t>異，使作業人員直接暴露於</w:t>
            </w:r>
          </w:p>
          <w:p>
            <w:pPr>
              <w:pStyle w:val="TableParagraph"/>
              <w:spacing w:line="334" w:lineRule="exact"/>
              <w:ind w:left="106"/>
              <w:rPr>
                <w:sz w:val="20"/>
              </w:rPr>
            </w:pPr>
            <w:r>
              <w:rPr>
                <w:sz w:val="20"/>
              </w:rPr>
              <w:t>感電危害之下。</w:t>
            </w:r>
          </w:p>
        </w:tc>
      </w:tr>
      <w:tr>
        <w:trPr>
          <w:trHeight w:val="1383" w:hRule="atLeast"/>
        </w:trPr>
        <w:tc>
          <w:tcPr>
            <w:tcW w:w="714" w:type="dxa"/>
          </w:tcPr>
          <w:p>
            <w:pPr>
              <w:pStyle w:val="TableParagraph"/>
              <w:spacing w:line="33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如何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方</w:t>
            </w:r>
          </w:p>
          <w:p>
            <w:pPr>
              <w:pStyle w:val="TableParagraph"/>
              <w:spacing w:line="357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法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770" w:type="dxa"/>
          </w:tcPr>
          <w:p>
            <w:pPr>
              <w:pStyle w:val="TableParagraph"/>
              <w:spacing w:line="225" w:lineRule="auto"/>
              <w:ind w:right="249"/>
              <w:jc w:val="both"/>
              <w:rPr>
                <w:sz w:val="20"/>
              </w:rPr>
            </w:pPr>
            <w:r>
              <w:rPr>
                <w:sz w:val="20"/>
              </w:rPr>
              <w:t>「未使用」任何絕緣防護具，且在移動梯上作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z w:val="20"/>
              </w:rPr>
              <w:t>業。</w:t>
            </w:r>
          </w:p>
        </w:tc>
        <w:tc>
          <w:tcPr>
            <w:tcW w:w="2058" w:type="dxa"/>
          </w:tcPr>
          <w:p>
            <w:pPr>
              <w:pStyle w:val="TableParagraph"/>
              <w:spacing w:line="225" w:lineRule="auto"/>
              <w:ind w:right="137"/>
              <w:jc w:val="both"/>
              <w:rPr>
                <w:sz w:val="20"/>
              </w:rPr>
            </w:pPr>
            <w:r>
              <w:rPr>
                <w:sz w:val="20"/>
              </w:rPr>
              <w:t>「有使用」絕緣手套等防護具，並在穩定的絕緣平台上作業。</w:t>
            </w:r>
          </w:p>
        </w:tc>
        <w:tc>
          <w:tcPr>
            <w:tcW w:w="1712" w:type="dxa"/>
          </w:tcPr>
          <w:p>
            <w:pPr>
              <w:pStyle w:val="TableParagraph"/>
              <w:spacing w:line="225" w:lineRule="auto"/>
              <w:ind w:right="191"/>
              <w:jc w:val="both"/>
              <w:rPr>
                <w:sz w:val="20"/>
              </w:rPr>
            </w:pPr>
            <w:r>
              <w:rPr>
                <w:sz w:val="20"/>
              </w:rPr>
              <w:t>作業的「保護措施」與「使用設備」皆不安全。</w:t>
            </w:r>
          </w:p>
        </w:tc>
        <w:tc>
          <w:tcPr>
            <w:tcW w:w="2808" w:type="dxa"/>
          </w:tcPr>
          <w:p>
            <w:pPr>
              <w:pStyle w:val="TableParagraph"/>
              <w:spacing w:line="225" w:lineRule="auto"/>
              <w:ind w:left="106" w:right="287"/>
              <w:rPr>
                <w:sz w:val="20"/>
              </w:rPr>
            </w:pPr>
            <w:r>
              <w:rPr>
                <w:spacing w:val="-2"/>
                <w:sz w:val="20"/>
              </w:rPr>
              <w:t>省略了所有保護措施，使得</w:t>
            </w:r>
            <w:r>
              <w:rPr>
                <w:sz w:val="20"/>
              </w:rPr>
              <w:t>任何微小失誤都將導致感 </w:t>
            </w:r>
            <w:r>
              <w:rPr>
                <w:spacing w:val="-2"/>
                <w:sz w:val="20"/>
              </w:rPr>
              <w:t>電；不穩定的作業平台增加</w:t>
            </w:r>
          </w:p>
          <w:p>
            <w:pPr>
              <w:pStyle w:val="TableParagraph"/>
              <w:spacing w:line="334" w:lineRule="exact"/>
              <w:ind w:left="106"/>
              <w:rPr>
                <w:sz w:val="20"/>
              </w:rPr>
            </w:pPr>
            <w:r>
              <w:rPr>
                <w:sz w:val="20"/>
              </w:rPr>
              <w:t>失誤機率。</w:t>
            </w:r>
          </w:p>
        </w:tc>
      </w:tr>
      <w:tr>
        <w:trPr>
          <w:trHeight w:val="1038" w:hRule="atLeast"/>
        </w:trPr>
        <w:tc>
          <w:tcPr>
            <w:tcW w:w="714" w:type="dxa"/>
          </w:tcPr>
          <w:p>
            <w:pPr>
              <w:pStyle w:val="TableParagraph"/>
              <w:spacing w:line="3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何人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監</w:t>
            </w:r>
          </w:p>
          <w:p>
            <w:pPr>
              <w:pStyle w:val="TableParagraph"/>
              <w:spacing w:line="339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督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770" w:type="dxa"/>
          </w:tcPr>
          <w:p>
            <w:pPr>
              <w:pStyle w:val="TableParagraph"/>
              <w:spacing w:line="225" w:lineRule="auto"/>
              <w:ind w:right="249"/>
              <w:rPr>
                <w:sz w:val="20"/>
              </w:rPr>
            </w:pPr>
            <w:r>
              <w:rPr>
                <w:sz w:val="20"/>
              </w:rPr>
              <w:t>「獨自一人」進行高風險作業。</w:t>
            </w:r>
          </w:p>
        </w:tc>
        <w:tc>
          <w:tcPr>
            <w:tcW w:w="2058" w:type="dxa"/>
          </w:tcPr>
          <w:p>
            <w:pPr>
              <w:pStyle w:val="TableParagraph"/>
              <w:spacing w:line="225" w:lineRule="auto"/>
              <w:ind w:right="337"/>
              <w:rPr>
                <w:sz w:val="20"/>
              </w:rPr>
            </w:pPr>
            <w:r>
              <w:rPr>
                <w:sz w:val="20"/>
              </w:rPr>
              <w:t>在「有合格人員監督」下進行作業。</w:t>
            </w:r>
          </w:p>
        </w:tc>
        <w:tc>
          <w:tcPr>
            <w:tcW w:w="1712" w:type="dxa"/>
          </w:tcPr>
          <w:p>
            <w:pPr>
              <w:pStyle w:val="TableParagraph"/>
              <w:spacing w:line="225" w:lineRule="auto"/>
              <w:ind w:right="191"/>
              <w:rPr>
                <w:sz w:val="20"/>
              </w:rPr>
            </w:pPr>
            <w:r>
              <w:rPr>
                <w:sz w:val="20"/>
              </w:rPr>
              <w:t>作業的「監督狀態」由有監督變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sz w:val="20"/>
              </w:rPr>
              <w:t>為無人監督。</w:t>
            </w:r>
          </w:p>
        </w:tc>
        <w:tc>
          <w:tcPr>
            <w:tcW w:w="2808" w:type="dxa"/>
          </w:tcPr>
          <w:p>
            <w:pPr>
              <w:pStyle w:val="TableParagraph"/>
              <w:spacing w:line="225" w:lineRule="auto"/>
              <w:ind w:left="106" w:right="287"/>
              <w:rPr>
                <w:sz w:val="20"/>
              </w:rPr>
            </w:pPr>
            <w:r>
              <w:rPr>
                <w:sz w:val="20"/>
              </w:rPr>
              <w:t>缺乏監督導致不安全行為未能被及時發現與制止。</w:t>
            </w:r>
          </w:p>
        </w:tc>
      </w:tr>
    </w:tbl>
    <w:p>
      <w:pPr>
        <w:spacing w:after="0" w:line="225" w:lineRule="auto"/>
        <w:rPr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spacing w:before="17"/>
        <w:rPr>
          <w:sz w:val="15"/>
        </w:rPr>
      </w:pPr>
    </w:p>
    <w:p>
      <w:pPr>
        <w:pStyle w:val="BodyText"/>
        <w:spacing w:line="31" w:lineRule="exact"/>
        <w:ind w:left="103"/>
        <w:rPr>
          <w:sz w:val="3"/>
        </w:rPr>
      </w:pPr>
      <w:r>
        <w:rPr>
          <w:position w:val="0"/>
          <w:sz w:val="3"/>
        </w:rPr>
        <w:pict>
          <v:group style="width:453.65pt;height:1.55pt;mso-position-horizontal-relative:char;mso-position-vertical-relative:line" coordorigin="0,0" coordsize="9073,31">
            <v:line style="position:absolute" from="0,15" to="9072,15" stroked="true" strokeweight="1.5pt" strokecolor="#9f9f9f">
              <v:stroke dashstyle="solid"/>
            </v:line>
            <v:rect style="position:absolute;left:0;top:0;width:5;height:5" filled="true" fillcolor="#9f9f9f" stroked="false">
              <v:fill type="solid"/>
            </v:rect>
            <v:rect style="position:absolute;left:0;top:0;width:5;height:5" filled="true" fillcolor="#9f9f9f" stroked="false">
              <v:fill type="solid"/>
            </v:rect>
            <v:line style="position:absolute" from="5,3" to="9068,3" stroked="true" strokeweight=".239pt" strokecolor="#9f9f9f">
              <v:stroke dashstyle="solid"/>
            </v:line>
            <v:rect style="position:absolute;left:9067;top:0;width:5;height:5" filled="true" fillcolor="#e2e2e2" stroked="false">
              <v:fill type="solid"/>
            </v:rect>
            <v:rect style="position:absolute;left:9067;top:0;width:5;height:5" filled="true" fillcolor="#9f9f9f" stroked="false">
              <v:fill type="solid"/>
            </v:rect>
            <v:rect style="position:absolute;left:0;top:5;width:5;height:21" filled="true" fillcolor="#9f9f9f" stroked="false">
              <v:fill type="solid"/>
            </v:rect>
            <v:rect style="position:absolute;left:9067;top:5;width:5;height:21" filled="true" fillcolor="#e2e2e2" stroked="false">
              <v:fill type="solid"/>
            </v:rect>
            <v:rect style="position:absolute;left:0;top:25;width:5;height:5" filled="true" fillcolor="#9f9f9f" stroked="false">
              <v:fill type="solid"/>
            </v:rect>
            <v:rect style="position:absolute;left:0;top:25;width:5;height:5" filled="true" fillcolor="#e2e2e2" stroked="false">
              <v:fill type="solid"/>
            </v:rect>
            <v:line style="position:absolute" from="5,28" to="9068,28" stroked="true" strokeweight=".239pt" strokecolor="#e2e2e2">
              <v:stroke dashstyle="solid"/>
            </v:line>
            <v:rect style="position:absolute;left:9067;top:25;width:5;height:5" filled="true" fillcolor="#e2e2e2" stroked="false">
              <v:fill type="solid"/>
            </v:rect>
            <v:rect style="position:absolute;left:9067;top:25;width:5;height:5" filled="true" fillcolor="#e2e2e2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Heading1"/>
        <w:spacing w:before="36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118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3657"/>
        <w:gridCol w:w="4329"/>
      </w:tblGrid>
      <w:tr>
        <w:trPr>
          <w:trHeight w:val="346" w:hRule="atLeast"/>
        </w:trPr>
        <w:tc>
          <w:tcPr>
            <w:tcW w:w="1075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3657" w:type="dxa"/>
          </w:tcPr>
          <w:p>
            <w:pPr>
              <w:pStyle w:val="TableParagraph"/>
              <w:spacing w:line="326" w:lineRule="exact"/>
              <w:ind w:left="108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329" w:type="dxa"/>
          </w:tcPr>
          <w:p>
            <w:pPr>
              <w:pStyle w:val="TableParagraph"/>
              <w:spacing w:line="326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421" w:hRule="atLeast"/>
        </w:trPr>
        <w:tc>
          <w:tcPr>
            <w:tcW w:w="1075" w:type="dxa"/>
          </w:tcPr>
          <w:p>
            <w:pPr>
              <w:pStyle w:val="TableParagraph"/>
              <w:spacing w:line="225" w:lineRule="auto"/>
              <w:ind w:right="15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 </w:t>
            </w:r>
            <w:r>
              <w:rPr>
                <w:sz w:val="20"/>
              </w:rPr>
              <w:t>或 </w:t>
            </w:r>
            <w:r>
              <w:rPr>
                <w:b/>
                <w:sz w:val="20"/>
              </w:rPr>
              <w:t>常規性違規</w:t>
            </w:r>
          </w:p>
        </w:tc>
        <w:tc>
          <w:tcPr>
            <w:tcW w:w="3657" w:type="dxa"/>
          </w:tcPr>
          <w:p>
            <w:pPr>
              <w:pStyle w:val="TableParagraph"/>
              <w:spacing w:line="225" w:lineRule="auto"/>
              <w:ind w:left="108" w:right="136" w:hanging="1"/>
              <w:rPr>
                <w:sz w:val="20"/>
              </w:rPr>
            </w:pPr>
            <w:r>
              <w:rPr>
                <w:b/>
                <w:sz w:val="20"/>
              </w:rPr>
              <w:t>罹災者： </w:t>
            </w:r>
            <w:r>
              <w:rPr>
                <w:sz w:val="20"/>
              </w:rPr>
              <w:t>在未斷電且未穿戴絕緣防護具的情況下，於狹窄的線槽內配置電源線。</w:t>
            </w:r>
          </w:p>
          <w:p>
            <w:pPr>
              <w:pStyle w:val="TableParagraph"/>
              <w:spacing w:line="225" w:lineRule="auto"/>
              <w:ind w:left="108" w:right="136"/>
              <w:rPr>
                <w:sz w:val="20"/>
              </w:rPr>
            </w:pPr>
            <w:r>
              <w:rPr>
                <w:sz w:val="20"/>
              </w:rPr>
              <w:t>此行為若出於不了解其致命性，為「知識性錯誤」。若出於習慣或為求方便</w:t>
            </w:r>
          </w:p>
          <w:p>
            <w:pPr>
              <w:pStyle w:val="TableParagraph"/>
              <w:spacing w:line="341" w:lineRule="exact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認為只是拉線不會有事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，則為「常規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性違規」。</w:t>
            </w:r>
          </w:p>
        </w:tc>
        <w:tc>
          <w:tcPr>
            <w:tcW w:w="432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93" w:val="left" w:leader="none"/>
              </w:tabs>
              <w:spacing w:line="225" w:lineRule="auto" w:before="0" w:after="0"/>
              <w:ind w:left="108" w:right="123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危害辨識與作業程序闕如： </w:t>
            </w:r>
            <w:r>
              <w:rPr>
                <w:sz w:val="20"/>
              </w:rPr>
              <w:t>公司未建立電氣作業的風險評估機制與安全作業程序，勞工無標準可循，只能憑藉個人不完整的經驗判斷。</w:t>
            </w:r>
          </w:p>
          <w:p>
            <w:pPr>
              <w:pStyle w:val="TableParagraph"/>
              <w:spacing w:line="342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2" w:val="left" w:leader="none"/>
              </w:tabs>
              <w:spacing w:line="225" w:lineRule="auto" w:before="0" w:after="0"/>
              <w:ind w:left="108" w:right="123" w:firstLine="0"/>
              <w:jc w:val="both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教育訓練的徹底失敗： </w:t>
            </w:r>
            <w:r>
              <w:rPr>
                <w:spacing w:val="-2"/>
                <w:sz w:val="20"/>
              </w:rPr>
              <w:t>安全訓練未能有效傳</w:t>
            </w:r>
            <w:r>
              <w:rPr>
                <w:sz w:val="20"/>
              </w:rPr>
              <w:t>達低壓電的致命性，以及活線作業的絕對禁止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原則，導致勞工嚴重低估作業風險。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假設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074" w:hRule="atLeast"/>
        </w:trPr>
        <w:tc>
          <w:tcPr>
            <w:tcW w:w="1075" w:type="dxa"/>
          </w:tcPr>
          <w:p>
            <w:pPr>
              <w:pStyle w:val="TableParagraph"/>
              <w:spacing w:line="225" w:lineRule="auto"/>
              <w:ind w:right="153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</w:tc>
        <w:tc>
          <w:tcPr>
            <w:tcW w:w="3657" w:type="dxa"/>
          </w:tcPr>
          <w:p>
            <w:pPr>
              <w:pStyle w:val="TableParagraph"/>
              <w:spacing w:line="225" w:lineRule="auto"/>
              <w:ind w:left="108" w:right="147" w:hanging="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雇主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公司： </w:t>
            </w:r>
            <w:r>
              <w:rPr>
                <w:sz w:val="20"/>
              </w:rPr>
              <w:t>未能建立一套安全的電氣作業系統。</w:t>
            </w:r>
          </w:p>
          <w:p>
            <w:pPr>
              <w:pStyle w:val="TableParagraph"/>
              <w:spacing w:line="225" w:lineRule="auto"/>
              <w:ind w:left="108" w:right="136"/>
              <w:jc w:val="both"/>
              <w:rPr>
                <w:sz w:val="20"/>
              </w:rPr>
            </w:pPr>
            <w:r>
              <w:rPr>
                <w:sz w:val="20"/>
              </w:rPr>
              <w:t>包含未規劃停電作業流程、未提供或要求使用防護具、未安排有效監督。顯示管理者對其應負的安全管理責任認知不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足。</w:t>
            </w:r>
          </w:p>
        </w:tc>
        <w:tc>
          <w:tcPr>
            <w:tcW w:w="4329" w:type="dxa"/>
          </w:tcPr>
          <w:p>
            <w:pPr>
              <w:pStyle w:val="TableParagraph"/>
              <w:spacing w:line="225" w:lineRule="auto"/>
              <w:ind w:left="108" w:right="123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管理系統的根本缺陷： </w:t>
            </w:r>
            <w:r>
              <w:rPr>
                <w:sz w:val="20"/>
              </w:rPr>
              <w:t>公司完全沒有建立最基本的電氣安全管理制度，特別是「停電、上鎖、掛牌」此一核心安全程序。這是安全管理系統的完全真空。</w:t>
            </w:r>
          </w:p>
        </w:tc>
      </w:tr>
      <w:tr>
        <w:trPr>
          <w:trHeight w:val="1384" w:hRule="atLeast"/>
        </w:trPr>
        <w:tc>
          <w:tcPr>
            <w:tcW w:w="1075" w:type="dxa"/>
          </w:tcPr>
          <w:p>
            <w:pPr>
              <w:pStyle w:val="TableParagraph"/>
              <w:spacing w:line="225" w:lineRule="auto"/>
              <w:ind w:right="107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技術性失誤 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疏忽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657" w:type="dxa"/>
          </w:tcPr>
          <w:p>
            <w:pPr>
              <w:pStyle w:val="TableParagraph"/>
              <w:spacing w:line="225" w:lineRule="auto"/>
              <w:ind w:left="108" w:right="235" w:hanging="1"/>
              <w:rPr>
                <w:rFonts w:ascii="Segoe UI" w:eastAsia="Segoe UI"/>
                <w:sz w:val="20"/>
              </w:rPr>
            </w:pPr>
            <w:r>
              <w:rPr>
                <w:b/>
                <w:sz w:val="20"/>
              </w:rPr>
              <w:t>罹災者： </w:t>
            </w:r>
            <w:r>
              <w:rPr>
                <w:sz w:val="20"/>
              </w:rPr>
              <w:t>在拉線過程中，手指不慎碰觸到電線裸露的導體。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4329" w:type="dxa"/>
          </w:tcPr>
          <w:p>
            <w:pPr>
              <w:pStyle w:val="TableParagraph"/>
              <w:spacing w:line="225" w:lineRule="auto"/>
              <w:ind w:left="108" w:right="123" w:hanging="1"/>
              <w:jc w:val="both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作業條件不良： </w:t>
            </w:r>
            <w:r>
              <w:rPr>
                <w:sz w:val="20"/>
              </w:rPr>
              <w:t>於不穩定的移動梯上作業， 且作業空間可能受限，增加了操作失誤的可能性。但此「疏忽」是在前述多項系統性失效的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基礎上才變得致命。</w:t>
            </w:r>
          </w:p>
        </w:tc>
      </w:tr>
    </w:tbl>
    <w:p>
      <w:pPr>
        <w:pStyle w:val="BodyText"/>
        <w:spacing w:before="14"/>
        <w:rPr>
          <w:sz w:val="21"/>
        </w:rPr>
      </w:pPr>
      <w:r>
        <w:rPr/>
        <w:pict>
          <v:group style="position:absolute;margin-left:70.900002pt;margin-top:22.014084pt;width:453.65pt;height:1.55pt;mso-position-horizontal-relative:page;mso-position-vertical-relative:paragraph;z-index:-880;mso-wrap-distance-left:0;mso-wrap-distance-right:0" coordorigin="1418,440" coordsize="9073,31">
            <v:line style="position:absolute" from="1418,456" to="10490,456" stroked="true" strokeweight="1.5pt" strokecolor="#9f9f9f">
              <v:stroke dashstyle="solid"/>
            </v:line>
            <v:rect style="position:absolute;left:1418;top:440;width:5;height:5" filled="true" fillcolor="#9f9f9f" stroked="false">
              <v:fill type="solid"/>
            </v:rect>
            <v:rect style="position:absolute;left:1418;top:440;width:5;height:5" filled="true" fillcolor="#9f9f9f" stroked="false">
              <v:fill type="solid"/>
            </v:rect>
            <v:line style="position:absolute" from="1423,443" to="10486,443" stroked="true" strokeweight=".239pt" strokecolor="#9f9f9f">
              <v:stroke dashstyle="solid"/>
            </v:line>
            <v:rect style="position:absolute;left:10485;top:440;width:5;height:5" filled="true" fillcolor="#e2e2e2" stroked="false">
              <v:fill type="solid"/>
            </v:rect>
            <v:rect style="position:absolute;left:10485;top:440;width:5;height:5" filled="true" fillcolor="#9f9f9f" stroked="false">
              <v:fill type="solid"/>
            </v:rect>
            <v:rect style="position:absolute;left:1418;top:445;width:5;height:21" filled="true" fillcolor="#9f9f9f" stroked="false">
              <v:fill type="solid"/>
            </v:rect>
            <v:rect style="position:absolute;left:10485;top:445;width:5;height:21" filled="true" fillcolor="#e2e2e2" stroked="false">
              <v:fill type="solid"/>
            </v:rect>
            <v:rect style="position:absolute;left:1418;top:465;width:5;height:5" filled="true" fillcolor="#9f9f9f" stroked="false">
              <v:fill type="solid"/>
            </v:rect>
            <v:rect style="position:absolute;left:1418;top:465;width:5;height:5" filled="true" fillcolor="#e2e2e2" stroked="false">
              <v:fill type="solid"/>
            </v:rect>
            <v:line style="position:absolute" from="1423,468" to="10486,468" stroked="true" strokeweight=".239pt" strokecolor="#e2e2e2">
              <v:stroke dashstyle="solid"/>
            </v:line>
            <v:rect style="position:absolute;left:10485;top:465;width:5;height:5" filled="true" fillcolor="#e2e2e2" stroked="false">
              <v:fill type="solid"/>
            </v:rect>
            <v:rect style="position:absolute;left:10485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spacing w:line="415" w:lineRule="exact" w:before="0"/>
        <w:ind w:left="118" w:right="0" w:firstLine="0"/>
        <w:jc w:val="left"/>
        <w:rPr>
          <w:b/>
          <w:sz w:val="24"/>
        </w:rPr>
      </w:pP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一</w:t>
      </w:r>
      <w:r>
        <w:rPr>
          <w:rFonts w:ascii="Calibri" w:eastAsia="Calibri"/>
          <w:b/>
          <w:sz w:val="24"/>
        </w:rPr>
        <w:t>) </w:t>
      </w:r>
      <w:r>
        <w:rPr>
          <w:b/>
          <w:sz w:val="24"/>
        </w:rPr>
        <w:t>立即原因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b/>
          <w:sz w:val="24"/>
        </w:rPr>
      </w:pPr>
      <w:r>
        <w:rPr>
          <w:b/>
          <w:sz w:val="24"/>
        </w:rPr>
        <w:t>不安全的狀況：</w:t>
      </w:r>
    </w:p>
    <w:p>
      <w:pPr>
        <w:pStyle w:val="ListParagraph"/>
        <w:numPr>
          <w:ilvl w:val="1"/>
          <w:numId w:val="1"/>
        </w:numPr>
        <w:tabs>
          <w:tab w:pos="1559" w:val="left" w:leader="none"/>
        </w:tabs>
        <w:spacing w:line="415" w:lineRule="exact" w:before="0" w:after="0"/>
        <w:ind w:left="1558" w:right="0" w:hanging="360"/>
        <w:jc w:val="left"/>
        <w:rPr>
          <w:sz w:val="24"/>
        </w:rPr>
      </w:pPr>
      <w:r>
        <w:rPr>
          <w:sz w:val="24"/>
        </w:rPr>
        <w:t>電源線路在作業期間處於通電狀態。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</w:pPr>
      <w:r>
        <w:rPr/>
        <w:t>不安全的行為：</w:t>
      </w:r>
    </w:p>
    <w:p>
      <w:pPr>
        <w:pStyle w:val="BodyText"/>
        <w:spacing w:line="415" w:lineRule="exact"/>
        <w:ind w:left="1198"/>
      </w:pPr>
      <w:r>
        <w:rPr>
          <w:rFonts w:ascii="Calibri" w:eastAsia="Calibri"/>
        </w:rPr>
        <w:t>1. </w:t>
      </w:r>
      <w:r>
        <w:rPr/>
        <w:t>勞工於接近帶電導體時，未穿戴絕緣用防護具。</w:t>
      </w:r>
    </w:p>
    <w:p>
      <w:pPr>
        <w:pStyle w:val="Heading1"/>
        <w:spacing w:line="415" w:lineRule="exact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  <w:spacing w:val="3"/>
        </w:rPr>
        <w:t>)  </w:t>
      </w:r>
      <w:r>
        <w:rPr/>
        <w:t>根本原因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25" w:lineRule="auto" w:before="6" w:after="0"/>
        <w:ind w:left="838" w:right="208" w:hanging="360"/>
        <w:jc w:val="left"/>
        <w:rPr>
          <w:sz w:val="24"/>
        </w:rPr>
      </w:pPr>
      <w:r>
        <w:rPr>
          <w:b/>
          <w:sz w:val="24"/>
        </w:rPr>
        <w:t>致命性的管理系統缺陷</w:t>
      </w:r>
      <w:r>
        <w:rPr>
          <w:rFonts w:ascii="Calibri" w:hAnsi="Calibri" w:eastAsia="Calibri"/>
          <w:b/>
          <w:sz w:val="24"/>
        </w:rPr>
        <w:t>—</w:t>
      </w:r>
      <w:r>
        <w:rPr>
          <w:b/>
          <w:spacing w:val="4"/>
          <w:sz w:val="24"/>
        </w:rPr>
        <w:t>完全沒有電氣作業安全程序： </w:t>
      </w:r>
      <w:r>
        <w:rPr>
          <w:spacing w:val="-2"/>
          <w:sz w:val="24"/>
        </w:rPr>
        <w:t>最核心的根本原因是， </w:t>
      </w:r>
      <w:r>
        <w:rPr>
          <w:sz w:val="24"/>
        </w:rPr>
        <w:t>該公司完全沒有建立「作業前應停電、上鎖、掛牌</w:t>
      </w:r>
      <w:r>
        <w:rPr>
          <w:rFonts w:ascii="Calibri" w:hAnsi="Calibri" w:eastAsia="Calibri"/>
          <w:sz w:val="24"/>
        </w:rPr>
        <w:t>(LOTO)</w:t>
      </w:r>
      <w:r>
        <w:rPr>
          <w:sz w:val="24"/>
        </w:rPr>
        <w:t>」的管理程序。允許勞工在未斷電的情況下從事佈線作業，是直接導致此次事故的管理系統性崩</w:t>
      </w:r>
    </w:p>
    <w:p>
      <w:pPr>
        <w:pStyle w:val="BodyText"/>
        <w:spacing w:line="423" w:lineRule="exact"/>
        <w:ind w:left="838"/>
      </w:pPr>
      <w:r>
        <w:rPr/>
        <w:t>潰。</w:t>
      </w:r>
    </w:p>
    <w:p>
      <w:pPr>
        <w:spacing w:after="0" w:line="423" w:lineRule="exact"/>
        <w:sectPr>
          <w:pgSz w:w="11910" w:h="16840"/>
          <w:pgMar w:top="1580" w:bottom="2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25" w:lineRule="auto" w:before="47" w:after="0"/>
        <w:ind w:left="838" w:right="187" w:hanging="360"/>
        <w:jc w:val="left"/>
        <w:rPr>
          <w:rFonts w:ascii="Calibri" w:eastAsia="Calibri"/>
          <w:sz w:val="24"/>
        </w:rPr>
      </w:pPr>
      <w:r>
        <w:rPr>
          <w:b/>
          <w:sz w:val="24"/>
        </w:rPr>
        <w:t>危害辨識與風險評估的完全失效： </w:t>
      </w:r>
      <w:r>
        <w:rPr>
          <w:spacing w:val="-1"/>
          <w:sz w:val="24"/>
        </w:rPr>
        <w:t>雇主未能辨識出在廠房內進行「永久配線」</w:t>
      </w:r>
      <w:r>
        <w:rPr>
          <w:sz w:val="24"/>
        </w:rPr>
        <w:t>是一項高風險的電氣作業，也未評估感電的致命風險，因此未能規劃與執行任何有效的控制措施。</w:t>
      </w:r>
      <w:r>
        <w:rPr>
          <w:rFonts w:ascii="Calibri" w:eastAsia="Calibri"/>
          <w:sz w:val="24"/>
        </w:rPr>
        <w:t>(</w:t>
      </w:r>
      <w:r>
        <w:rPr>
          <w:sz w:val="24"/>
        </w:rPr>
        <w:t>推斷</w:t>
      </w:r>
      <w:r>
        <w:rPr>
          <w:rFonts w:ascii="Calibri" w:eastAsia="Calibri"/>
          <w:sz w:val="24"/>
        </w:rPr>
        <w:t>)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25" w:lineRule="auto" w:before="1" w:after="0"/>
        <w:ind w:left="838" w:right="187" w:hanging="360"/>
        <w:jc w:val="left"/>
        <w:rPr>
          <w:sz w:val="24"/>
        </w:rPr>
      </w:pPr>
      <w:r>
        <w:rPr>
          <w:b/>
          <w:sz w:val="24"/>
        </w:rPr>
        <w:t>現場監督機制的完全失效： </w:t>
      </w:r>
      <w:r>
        <w:rPr>
          <w:spacing w:val="-1"/>
          <w:sz w:val="24"/>
        </w:rPr>
        <w:t>未指派專人進行作業監督，甚至讓勞工在高風險的</w:t>
      </w:r>
      <w:r>
        <w:rPr>
          <w:sz w:val="24"/>
        </w:rPr>
        <w:t>活線作業環境中獨自工作，顯示監督系統名存實亡。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25" w:lineRule="auto" w:before="0" w:after="0"/>
        <w:ind w:left="838" w:right="259" w:hanging="360"/>
        <w:jc w:val="left"/>
        <w:rPr>
          <w:rFonts w:ascii="Calibri" w:eastAsia="Calibri"/>
          <w:sz w:val="24"/>
        </w:rPr>
      </w:pPr>
      <w:r>
        <w:rPr>
          <w:b/>
          <w:spacing w:val="3"/>
          <w:sz w:val="24"/>
        </w:rPr>
        <w:t>安全認知與教育訓練的徹底失敗： </w:t>
      </w:r>
      <w:r>
        <w:rPr>
          <w:sz w:val="24"/>
        </w:rPr>
        <w:t>從雇主到勞工，均嚴重缺乏對低壓</w:t>
      </w:r>
      <w:r>
        <w:rPr>
          <w:rFonts w:ascii="Calibri" w:eastAsia="Calibri"/>
          <w:sz w:val="24"/>
        </w:rPr>
        <w:t>(220V)</w:t>
      </w:r>
      <w:r>
        <w:rPr>
          <w:spacing w:val="-14"/>
          <w:sz w:val="24"/>
        </w:rPr>
        <w:t>感</w:t>
      </w:r>
      <w:r>
        <w:rPr>
          <w:sz w:val="24"/>
        </w:rPr>
        <w:t>電危害的認知，也未接受正確、有效的電氣安全作業訓練。</w:t>
      </w:r>
      <w:r>
        <w:rPr>
          <w:rFonts w:ascii="Calibri" w:eastAsia="Calibri"/>
          <w:sz w:val="24"/>
        </w:rPr>
        <w:t>(</w:t>
      </w:r>
      <w:r>
        <w:rPr>
          <w:sz w:val="24"/>
        </w:rPr>
        <w:t>推斷</w:t>
      </w:r>
      <w:r>
        <w:rPr>
          <w:rFonts w:ascii="Calibri" w:eastAsia="Calibri"/>
          <w:sz w:val="24"/>
        </w:rPr>
        <w:t>)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ListParagraph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5" w:lineRule="exact" w:before="0" w:after="0"/>
        <w:ind w:left="838" w:right="0" w:hanging="360"/>
        <w:jc w:val="left"/>
        <w:rPr>
          <w:b/>
          <w:sz w:val="24"/>
        </w:rPr>
      </w:pPr>
      <w:r>
        <w:rPr>
          <w:b/>
          <w:spacing w:val="11"/>
          <w:sz w:val="24"/>
        </w:rPr>
        <w:t>制度層面 </w:t>
      </w:r>
      <w:r>
        <w:rPr>
          <w:rFonts w:ascii="Calibri" w:hAnsi="Calibri" w:eastAsia="Calibri"/>
          <w:b/>
          <w:sz w:val="24"/>
        </w:rPr>
        <w:t>(</w:t>
      </w:r>
      <w:r>
        <w:rPr>
          <w:b/>
          <w:sz w:val="24"/>
        </w:rPr>
        <w:t>最優先</w:t>
      </w:r>
      <w:r>
        <w:rPr>
          <w:rFonts w:ascii="Calibri" w:hAnsi="Calibri" w:eastAsia="Calibri"/>
          <w:b/>
          <w:sz w:val="24"/>
        </w:rPr>
        <w:t>)</w:t>
      </w:r>
      <w:r>
        <w:rPr>
          <w:b/>
          <w:sz w:val="24"/>
        </w:rPr>
        <w:t>：</w:t>
      </w:r>
    </w:p>
    <w:p>
      <w:pPr>
        <w:pStyle w:val="ListParagraph"/>
        <w:numPr>
          <w:ilvl w:val="1"/>
          <w:numId w:val="3"/>
        </w:numPr>
        <w:tabs>
          <w:tab w:pos="1559" w:val="left" w:leader="none"/>
        </w:tabs>
        <w:spacing w:line="225" w:lineRule="auto" w:before="6" w:after="0"/>
        <w:ind w:left="1558" w:right="186" w:hanging="360"/>
        <w:jc w:val="left"/>
        <w:rPr>
          <w:sz w:val="24"/>
        </w:rPr>
      </w:pPr>
      <w:r>
        <w:rPr>
          <w:b/>
          <w:spacing w:val="3"/>
          <w:sz w:val="24"/>
        </w:rPr>
        <w:t>立即建立並嚴格執行「停電、上鎖、掛牌 </w:t>
      </w:r>
      <w:r>
        <w:rPr>
          <w:rFonts w:ascii="Calibri" w:eastAsia="Calibri"/>
          <w:b/>
          <w:sz w:val="24"/>
        </w:rPr>
        <w:t>(LOTO)</w:t>
      </w:r>
      <w:r>
        <w:rPr>
          <w:b/>
          <w:spacing w:val="6"/>
          <w:sz w:val="24"/>
        </w:rPr>
        <w:t>」作業管制程序： </w:t>
      </w:r>
      <w:r>
        <w:rPr>
          <w:sz w:val="24"/>
        </w:rPr>
        <w:t>這是防止再發的最高原則。必須明文規定：</w:t>
      </w:r>
      <w:r>
        <w:rPr>
          <w:b/>
          <w:sz w:val="24"/>
        </w:rPr>
        <w:t>所有 </w:t>
      </w:r>
      <w:r>
        <w:rPr>
          <w:spacing w:val="-2"/>
          <w:sz w:val="24"/>
        </w:rPr>
        <w:t>電氣線路的安裝、維修作</w:t>
      </w:r>
      <w:r>
        <w:rPr>
          <w:sz w:val="24"/>
        </w:rPr>
        <w:t>業，</w:t>
      </w:r>
      <w:r>
        <w:rPr>
          <w:b/>
          <w:sz w:val="24"/>
        </w:rPr>
        <w:t>一律必須  </w:t>
      </w:r>
      <w:r>
        <w:rPr>
          <w:sz w:val="24"/>
        </w:rPr>
        <w:t>先斷電、上鎖、掛牌，並由作業人員親自驗電確認無電後，方可施工。</w:t>
      </w:r>
    </w:p>
    <w:p>
      <w:pPr>
        <w:pStyle w:val="ListParagraph"/>
        <w:numPr>
          <w:ilvl w:val="1"/>
          <w:numId w:val="3"/>
        </w:numPr>
        <w:tabs>
          <w:tab w:pos="1559" w:val="left" w:leader="none"/>
        </w:tabs>
        <w:spacing w:line="225" w:lineRule="auto" w:before="1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建立「電氣作業風險評估與許可」制度： </w:t>
      </w:r>
      <w:r>
        <w:rPr>
          <w:spacing w:val="-2"/>
          <w:sz w:val="24"/>
        </w:rPr>
        <w:t>對於所有電氣相關作業，應由</w:t>
      </w:r>
      <w:r>
        <w:rPr>
          <w:sz w:val="24"/>
        </w:rPr>
        <w:t>合格人員進行風險評估。如因特殊狀況無法停電，必須填寫「活線作業許可單」，詳列必要之控制措施並經負責人批准後，才可在嚴格監督下進行。</w:t>
      </w:r>
    </w:p>
    <w:p>
      <w:pPr>
        <w:pStyle w:val="ListParagraph"/>
        <w:numPr>
          <w:ilvl w:val="1"/>
          <w:numId w:val="3"/>
        </w:numPr>
        <w:tabs>
          <w:tab w:pos="1559" w:val="left" w:leader="none"/>
        </w:tabs>
        <w:spacing w:line="225" w:lineRule="auto" w:before="0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強化作業監督與人員管制： </w:t>
      </w:r>
      <w:r>
        <w:rPr>
          <w:spacing w:val="-1"/>
          <w:sz w:val="24"/>
        </w:rPr>
        <w:t>嚴禁勞工獨自從事高風險之電氣作業，必須</w:t>
      </w:r>
      <w:r>
        <w:rPr>
          <w:sz w:val="24"/>
        </w:rPr>
        <w:t>指派現場作業監督人員，確保所有安全程序被確實遵守。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10" w:lineRule="exact" w:before="0" w:after="0"/>
        <w:ind w:left="838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4"/>
        </w:numPr>
        <w:tabs>
          <w:tab w:pos="1559" w:val="left" w:leader="none"/>
        </w:tabs>
        <w:spacing w:line="225" w:lineRule="auto" w:before="7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實施專項電氣安全教育訓練： </w:t>
      </w:r>
      <w:r>
        <w:rPr>
          <w:spacing w:val="-1"/>
          <w:sz w:val="24"/>
        </w:rPr>
        <w:t>立即將本次事故作為案例，對全體員工進</w:t>
      </w:r>
      <w:r>
        <w:rPr>
          <w:sz w:val="24"/>
        </w:rPr>
        <w:t>行專項安全訓練，強力宣導「低壓電的致命性」、「</w:t>
      </w:r>
      <w:r>
        <w:rPr>
          <w:rFonts w:ascii="Calibri" w:eastAsia="Calibri"/>
          <w:sz w:val="24"/>
        </w:rPr>
        <w:t>LOTO</w:t>
      </w:r>
      <w:r>
        <w:rPr>
          <w:rFonts w:ascii="Calibri" w:eastAsia="Calibri"/>
          <w:spacing w:val="3"/>
          <w:sz w:val="24"/>
        </w:rPr>
        <w:t> </w:t>
      </w:r>
      <w:r>
        <w:rPr>
          <w:spacing w:val="-2"/>
          <w:sz w:val="24"/>
        </w:rPr>
        <w:t>的重要性」及</w:t>
      </w:r>
    </w:p>
    <w:p>
      <w:pPr>
        <w:pStyle w:val="BodyText"/>
        <w:spacing w:line="410" w:lineRule="exact"/>
        <w:ind w:left="1558"/>
      </w:pPr>
      <w:r>
        <w:rPr/>
        <w:t>「感電急救措施」。</w:t>
      </w:r>
    </w:p>
    <w:p>
      <w:pPr>
        <w:pStyle w:val="ListParagraph"/>
        <w:numPr>
          <w:ilvl w:val="0"/>
          <w:numId w:val="4"/>
        </w:numPr>
        <w:tabs>
          <w:tab w:pos="1559" w:val="left" w:leader="none"/>
        </w:tabs>
        <w:spacing w:line="225" w:lineRule="auto" w:before="6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落實資格查核： </w:t>
      </w:r>
      <w:r>
        <w:rPr>
          <w:spacing w:val="-1"/>
          <w:sz w:val="24"/>
        </w:rPr>
        <w:t>從事電氣作業人員應具備法定資格，並應定期進行能力</w:t>
      </w:r>
      <w:r>
        <w:rPr>
          <w:sz w:val="24"/>
        </w:rPr>
        <w:t>評估與再訓練。</w:t>
      </w:r>
    </w:p>
    <w:p>
      <w:pPr>
        <w:pStyle w:val="Heading1"/>
        <w:numPr>
          <w:ilvl w:val="0"/>
          <w:numId w:val="1"/>
        </w:numPr>
        <w:tabs>
          <w:tab w:pos="838" w:val="left" w:leader="none"/>
          <w:tab w:pos="839" w:val="left" w:leader="none"/>
        </w:tabs>
        <w:spacing w:line="409" w:lineRule="exact" w:before="0" w:after="0"/>
        <w:ind w:left="838" w:right="0" w:hanging="360"/>
        <w:jc w:val="left"/>
      </w:pPr>
      <w:r>
        <w:rPr/>
        <w:t>工程控制</w:t>
      </w:r>
      <w:r>
        <w:rPr>
          <w:rFonts w:ascii="Calibri" w:hAnsi="Calibri" w:eastAsia="Calibri"/>
        </w:rPr>
        <w:t>/</w:t>
      </w:r>
      <w:r>
        <w:rPr/>
        <w:t>設備層面：</w:t>
      </w:r>
    </w:p>
    <w:p>
      <w:pPr>
        <w:pStyle w:val="ListParagraph"/>
        <w:numPr>
          <w:ilvl w:val="0"/>
          <w:numId w:val="5"/>
        </w:numPr>
        <w:tabs>
          <w:tab w:pos="1559" w:val="left" w:leader="none"/>
        </w:tabs>
        <w:spacing w:line="225" w:lineRule="auto" w:before="6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提供安全的工作平台： </w:t>
      </w:r>
      <w:r>
        <w:rPr>
          <w:spacing w:val="-1"/>
          <w:sz w:val="24"/>
        </w:rPr>
        <w:t>對於高處作業，應優先提供絕緣性良好且穩定的</w:t>
      </w:r>
      <w:r>
        <w:rPr>
          <w:sz w:val="24"/>
        </w:rPr>
        <w:t>工作平台（如高空作業車、符合規定的合梯），取代金屬移動梯。</w:t>
      </w:r>
    </w:p>
    <w:p>
      <w:pPr>
        <w:pStyle w:val="ListParagraph"/>
        <w:numPr>
          <w:ilvl w:val="0"/>
          <w:numId w:val="5"/>
        </w:numPr>
        <w:tabs>
          <w:tab w:pos="1559" w:val="left" w:leader="none"/>
        </w:tabs>
        <w:spacing w:line="225" w:lineRule="auto" w:before="0" w:after="0"/>
        <w:ind w:left="1558" w:right="187" w:hanging="360"/>
        <w:jc w:val="left"/>
        <w:rPr>
          <w:sz w:val="24"/>
        </w:rPr>
      </w:pPr>
      <w:r>
        <w:rPr>
          <w:b/>
          <w:sz w:val="24"/>
        </w:rPr>
        <w:t>採購並強制使用合格的防護具與工具： </w:t>
      </w:r>
      <w:r>
        <w:rPr>
          <w:spacing w:val="-2"/>
          <w:sz w:val="24"/>
        </w:rPr>
        <w:t>應提供並強制要求人員使用經檢</w:t>
      </w:r>
      <w:r>
        <w:rPr>
          <w:sz w:val="24"/>
        </w:rPr>
        <w:t>驗合格的絕緣手套、絕緣鞋、以及絕緣手工具。</w:t>
      </w:r>
    </w:p>
    <w:sectPr>
      <w:pgSz w:w="1191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微軟正黑體">
    <w:altName w:val="微軟正黑體"/>
    <w:charset w:val="88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3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3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7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hint="default" w:ascii="Calibri" w:hAnsi="Calibri" w:eastAsia="Calibri" w:cs="Calibri"/>
        <w:spacing w:val="-15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108" w:hanging="184"/>
      </w:pPr>
      <w:rPr>
        <w:rFonts w:hint="default" w:ascii="Segoe UI" w:hAnsi="Segoe UI" w:eastAsia="Segoe UI" w:cs="Segoe UI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21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43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65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87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09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31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53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75" w:hanging="18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8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4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18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2025-07-25T00:48:14Z</dcterms:created>
  <dcterms:modified xsi:type="dcterms:W3CDTF">2025-07-25T00:48:14Z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