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2"/>
        <w:ind w:left="3054"/>
      </w:pPr>
      <w:r>
        <w:rPr/>
        <w:pict>
          <v:group style="position:absolute;margin-left:56.700001pt;margin-top:753.599976pt;width:489.1pt;height:.8pt;mso-position-horizontal-relative:page;mso-position-vertical-relative:page;z-index:1072" coordorigin="1134,15072" coordsize="9782,16">
            <v:line style="position:absolute" from="1134,15080" to="10915,15080" stroked="true" strokeweight=".8pt" strokecolor="#9f9f9f">
              <v:stroke dashstyle="solid"/>
            </v:line>
            <v:rect style="position:absolute;left:1134;top:15072;width:5;height:5" filled="true" fillcolor="#9f9f9f" stroked="false">
              <v:fill type="solid"/>
            </v:rect>
            <v:line style="position:absolute" from="1139,15074" to="10910,15074" stroked="true" strokeweight=".239pt" strokecolor="#9f9f9f">
              <v:stroke dashstyle="solid"/>
            </v:line>
            <v:rect style="position:absolute;left:10910;top:15072;width:5;height:5" filled="true" fillcolor="#e2e2e2" stroked="false">
              <v:fill type="solid"/>
            </v:rect>
            <v:shape style="position:absolute;left:1134;top:15072;width:9782;height:11" coordorigin="1134,15072" coordsize="9782,11" path="m1139,15077l1134,15077,1134,15083,1139,15083,1139,15077m10915,15072l10910,15072,10910,15077,10915,15077,10915,15072e" filled="true" fillcolor="#9f9f9f" stroked="false">
              <v:path arrowok="t"/>
              <v:fill type="solid"/>
            </v:shape>
            <v:rect style="position:absolute;left:10910;top:15076;width:5;height:7" filled="true" fillcolor="#e2e2e2" stroked="false">
              <v:fill type="solid"/>
            </v:rect>
            <v:rect style="position:absolute;left:1134;top:15082;width:5;height:5" filled="true" fillcolor="#9f9f9f" stroked="false">
              <v:fill type="solid"/>
            </v:rect>
            <v:rect style="position:absolute;left:1134;top:15082;width:5;height:5" filled="true" fillcolor="#e2e2e2" stroked="false">
              <v:fill type="solid"/>
            </v:rect>
            <v:line style="position:absolute" from="1139,15085" to="10910,15085" stroked="true" strokeweight=".239pt" strokecolor="#e2e2e2">
              <v:stroke dashstyle="solid"/>
            </v:line>
            <v:rect style="position:absolute;left:10910;top:15082;width:5;height:5" filled="true" fillcolor="#e2e2e2" stroked="false">
              <v:fill type="solid"/>
            </v:rect>
            <w10:wrap type="none"/>
          </v:group>
        </w:pict>
      </w:r>
      <w:r>
        <w:rPr>
          <w:shd w:fill="D9D9D9" w:color="auto" w:val="clear"/>
        </w:rPr>
        <w:t>「墜落案 </w:t>
      </w:r>
      <w:r>
        <w:rPr>
          <w:rFonts w:ascii="Calibri" w:eastAsia="Calibri"/>
          <w:shd w:fill="D9D9D9" w:color="auto" w:val="clear"/>
        </w:rPr>
        <w:t>1_</w:t>
      </w:r>
      <w:r>
        <w:rPr>
          <w:shd w:fill="D9D9D9" w:color="auto" w:val="clear"/>
        </w:rPr>
        <w:t>演練」職災調查分析參考</w:t>
      </w:r>
    </w:p>
    <w:p>
      <w:pPr>
        <w:pStyle w:val="BodyText"/>
        <w:spacing w:line="225" w:lineRule="auto" w:before="286"/>
        <w:ind w:left="113" w:right="106"/>
      </w:pPr>
      <w:r>
        <w:rPr/>
        <w:t>分析方法包含 </w:t>
      </w:r>
      <w:r>
        <w:rPr>
          <w:rFonts w:ascii="Calibri" w:eastAsia="Calibri"/>
        </w:rPr>
        <w:t>ECFC</w:t>
      </w:r>
      <w:r>
        <w:rPr/>
        <w:t>、時間序列表、為何樹分析、屏障分析、變更分析、人為失效分析、及根本原因探討。</w:t>
      </w:r>
    </w:p>
    <w:p>
      <w:pPr>
        <w:pStyle w:val="BodyText"/>
        <w:spacing w:before="14"/>
        <w:rPr>
          <w:sz w:val="12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40" w:after="0"/>
        <w:ind w:left="418" w:right="0" w:hanging="304"/>
        <w:jc w:val="left"/>
      </w:pPr>
      <w:r>
        <w:rPr>
          <w:shd w:fill="D9D9D9" w:color="auto" w:val="clear"/>
        </w:rPr>
        <w:t>事件成因分析（</w:t>
      </w:r>
      <w:r>
        <w:rPr>
          <w:rFonts w:ascii="Calibri" w:eastAsia="Calibri"/>
          <w:shd w:fill="D9D9D9" w:color="auto" w:val="clear"/>
        </w:rPr>
        <w:t>ECFA</w:t>
      </w:r>
      <w:r>
        <w:rPr>
          <w:shd w:fill="D9D9D9" w:color="auto" w:val="clear"/>
        </w:rPr>
        <w:t>）與事件成因圖（</w:t>
      </w:r>
      <w:r>
        <w:rPr>
          <w:rFonts w:ascii="Calibri" w:eastAsia="Calibri"/>
          <w:shd w:fill="D9D9D9" w:color="auto" w:val="clear"/>
        </w:rPr>
        <w:t>ECFC</w:t>
      </w:r>
      <w:r>
        <w:rPr>
          <w:shd w:fill="D9D9D9" w:color="auto" w:val="clear"/>
        </w:rPr>
        <w:t>）</w:t>
      </w:r>
    </w:p>
    <w:p>
      <w:pPr>
        <w:pStyle w:val="BodyText"/>
        <w:spacing w:before="7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720090</wp:posOffset>
            </wp:positionH>
            <wp:positionV relativeFrom="paragraph">
              <wp:posOffset>216435</wp:posOffset>
            </wp:positionV>
            <wp:extent cx="5973118" cy="1923669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3118" cy="192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3"/>
        <w:rPr>
          <w:b/>
          <w:sz w:val="15"/>
        </w:rPr>
      </w:pPr>
    </w:p>
    <w:p>
      <w:pPr>
        <w:pStyle w:val="BodyText"/>
        <w:spacing w:line="428" w:lineRule="exact" w:before="1"/>
        <w:ind w:left="113"/>
      </w:pPr>
      <w:r>
        <w:rPr/>
        <w:t>圖例說明：</w:t>
      </w:r>
    </w:p>
    <w:p>
      <w:pPr>
        <w:pStyle w:val="ListParagraph"/>
        <w:numPr>
          <w:ilvl w:val="1"/>
          <w:numId w:val="1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b/>
          <w:sz w:val="24"/>
        </w:rPr>
        <w:t>事件（黃色方框）</w:t>
      </w:r>
      <w:r>
        <w:rPr>
          <w:sz w:val="24"/>
        </w:rPr>
        <w:t>：按時間軸明確標示關鍵動作（如舉升、結構斷裂、墜落）。</w:t>
      </w:r>
    </w:p>
    <w:p>
      <w:pPr>
        <w:pStyle w:val="Heading1"/>
        <w:numPr>
          <w:ilvl w:val="1"/>
          <w:numId w:val="1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b w:val="0"/>
        </w:rPr>
      </w:pPr>
      <w:r>
        <w:rPr/>
        <w:t>條件（粉紅色橢圓形）</w:t>
      </w:r>
      <w:r>
        <w:rPr>
          <w:b w:val="0"/>
        </w:rPr>
        <w:t>：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實線：確認條件（如超載、無防墜裝置）。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虛線藍框：假設條件（如材質強度不足），需後續驗證。</w:t>
      </w:r>
    </w:p>
    <w:p>
      <w:pPr>
        <w:pStyle w:val="Heading1"/>
        <w:numPr>
          <w:ilvl w:val="1"/>
          <w:numId w:val="1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b w:val="0"/>
        </w:rPr>
      </w:pPr>
      <w:r>
        <w:rPr/>
        <w:t>推測事件（藍色虛線方框）</w:t>
      </w:r>
      <w:r>
        <w:rPr>
          <w:b w:val="0"/>
        </w:rPr>
        <w:t>：</w:t>
      </w:r>
    </w:p>
    <w:p>
      <w:pPr>
        <w:pStyle w:val="ListParagraph"/>
        <w:numPr>
          <w:ilvl w:val="2"/>
          <w:numId w:val="1"/>
        </w:numPr>
        <w:tabs>
          <w:tab w:pos="1553" w:val="left" w:leader="none"/>
          <w:tab w:pos="1554" w:val="left" w:leader="none"/>
        </w:tabs>
        <w:spacing w:line="225" w:lineRule="auto" w:before="6" w:after="0"/>
        <w:ind w:left="114" w:right="1850" w:firstLine="1080"/>
        <w:jc w:val="left"/>
        <w:rPr>
          <w:sz w:val="24"/>
        </w:rPr>
      </w:pPr>
      <w:r>
        <w:rPr>
          <w:sz w:val="24"/>
        </w:rPr>
        <w:t>補充可能未被直接記錄但影響事故的物理因素（如離心力）</w:t>
      </w:r>
      <w:r>
        <w:rPr>
          <w:spacing w:val="-17"/>
          <w:sz w:val="24"/>
        </w:rPr>
        <w:t>。</w:t>
      </w:r>
      <w:r>
        <w:rPr>
          <w:sz w:val="24"/>
        </w:rPr>
        <w:t>假設標註：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410" w:lineRule="exact" w:before="0" w:after="0"/>
        <w:ind w:left="834" w:right="0" w:hanging="360"/>
        <w:jc w:val="left"/>
        <w:rPr>
          <w:sz w:val="24"/>
        </w:rPr>
      </w:pPr>
      <w:r>
        <w:rPr>
          <w:b/>
          <w:sz w:val="24"/>
        </w:rPr>
        <w:t>連結桿材質強度不足</w:t>
      </w:r>
      <w:r>
        <w:rPr>
          <w:sz w:val="24"/>
        </w:rPr>
        <w:t>（</w:t>
      </w:r>
      <w:r>
        <w:rPr>
          <w:spacing w:val="-1"/>
          <w:sz w:val="24"/>
        </w:rPr>
        <w:t>條件 </w:t>
      </w:r>
      <w:r>
        <w:rPr>
          <w:rFonts w:ascii="Calibri" w:hAnsi="Calibri" w:eastAsia="Calibri"/>
          <w:sz w:val="24"/>
        </w:rPr>
        <w:t>2</w:t>
      </w:r>
      <w:r>
        <w:rPr>
          <w:sz w:val="24"/>
        </w:rPr>
        <w:t>）為推測，需進一步檢查設備設計文件或檢測報告。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428" w:lineRule="exact" w:before="0" w:after="0"/>
        <w:ind w:left="834" w:right="0" w:hanging="360"/>
        <w:jc w:val="left"/>
        <w:rPr>
          <w:sz w:val="24"/>
        </w:rPr>
      </w:pPr>
      <w:r>
        <w:rPr/>
        <w:pict>
          <v:group style="position:absolute;margin-left:56.700001pt;margin-top:44.098736pt;width:489.1pt;height:.8pt;mso-position-horizontal-relative:page;mso-position-vertical-relative:paragraph;z-index:1048" coordorigin="1134,882" coordsize="9782,16">
            <v:line style="position:absolute" from="1134,890" to="10915,890" stroked="true" strokeweight=".799pt" strokecolor="#9f9f9f">
              <v:stroke dashstyle="solid"/>
            </v:line>
            <v:rect style="position:absolute;left:1134;top:882;width:5;height:5" filled="true" fillcolor="#9f9f9f" stroked="false">
              <v:fill type="solid"/>
            </v:rect>
            <v:line style="position:absolute" from="1139,885" to="10910,885" stroked="true" strokeweight=".239pt" strokecolor="#9f9f9f">
              <v:stroke dashstyle="solid"/>
            </v:line>
            <v:rect style="position:absolute;left:10910;top:882;width:5;height:5" filled="true" fillcolor="#e2e2e2" stroked="false">
              <v:fill type="solid"/>
            </v:rect>
            <v:shape style="position:absolute;left:1134;top:882;width:9782;height:11" coordorigin="1134,882" coordsize="9782,11" path="m1139,887l1134,887,1134,893,1139,893,1139,887m10915,882l10910,882,10910,887,10915,887,10915,882e" filled="true" fillcolor="#9f9f9f" stroked="false">
              <v:path arrowok="t"/>
              <v:fill type="solid"/>
            </v:shape>
            <v:rect style="position:absolute;left:10910;top:886;width:5;height:7" filled="true" fillcolor="#e2e2e2" stroked="false">
              <v:fill type="solid"/>
            </v:rect>
            <v:rect style="position:absolute;left:1134;top:892;width:5;height:5" filled="true" fillcolor="#9f9f9f" stroked="false">
              <v:fill type="solid"/>
            </v:rect>
            <v:rect style="position:absolute;left:1134;top:892;width:5;height:5" filled="true" fillcolor="#e2e2e2" stroked="false">
              <v:fill type="solid"/>
            </v:rect>
            <v:line style="position:absolute" from="1139,895" to="10910,895" stroked="true" strokeweight=".239pt" strokecolor="#e2e2e2">
              <v:stroke dashstyle="solid"/>
            </v:line>
            <v:rect style="position:absolute;left:10910;top:892;width:5;height:5" filled="true" fillcolor="#e2e2e2" stroked="false">
              <v:fill type="solid"/>
            </v:rect>
            <w10:wrap type="none"/>
          </v:group>
        </w:pict>
      </w:r>
      <w:r>
        <w:rPr/>
        <w:pict>
          <v:shape style="position:absolute;margin-left:56.700001pt;margin-top:62.047737pt;width:75.3pt;height:20.8pt;mso-position-horizontal-relative:page;mso-position-vertical-relative:paragraph;z-index:1096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rFonts w:ascii="Calibri" w:eastAsia="Calibri"/>
                      <w:b/>
                      <w:sz w:val="24"/>
                    </w:rPr>
                    <w:t>2</w:t>
                  </w:r>
                  <w:r>
                    <w:rPr>
                      <w:rFonts w:ascii="Calibri" w:eastAsia="Calibri"/>
                      <w:b/>
                      <w:spacing w:val="5"/>
                      <w:sz w:val="24"/>
                    </w:rPr>
                    <w:t>. </w:t>
                  </w:r>
                  <w:r>
                    <w:rPr>
                      <w:b/>
                      <w:sz w:val="24"/>
                    </w:rPr>
                    <w:t>時間序列表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24"/>
        </w:rPr>
        <w:t>離心力影響</w:t>
      </w:r>
      <w:r>
        <w:rPr>
          <w:sz w:val="24"/>
        </w:rPr>
        <w:t>（推測事件）需結合機械操作參數驗證。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4"/>
        <w:rPr>
          <w:sz w:val="26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6"/>
        <w:gridCol w:w="2216"/>
        <w:gridCol w:w="3015"/>
        <w:gridCol w:w="2415"/>
      </w:tblGrid>
      <w:tr>
        <w:trPr>
          <w:trHeight w:val="345" w:hRule="atLeast"/>
        </w:trPr>
        <w:tc>
          <w:tcPr>
            <w:tcW w:w="10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22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3015" w:type="dxa"/>
          </w:tcPr>
          <w:p>
            <w:pPr>
              <w:pStyle w:val="TableParagraph"/>
              <w:spacing w:line="325" w:lineRule="exact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</w:t>
            </w:r>
          </w:p>
        </w:tc>
        <w:tc>
          <w:tcPr>
            <w:tcW w:w="2415" w:type="dxa"/>
          </w:tcPr>
          <w:p>
            <w:pPr>
              <w:pStyle w:val="TableParagraph"/>
              <w:spacing w:line="325" w:lineRule="exact"/>
              <w:ind w:left="109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</w:t>
            </w:r>
          </w:p>
        </w:tc>
      </w:tr>
      <w:tr>
        <w:trPr>
          <w:trHeight w:val="612" w:hRule="atLeast"/>
        </w:trPr>
        <w:tc>
          <w:tcPr>
            <w:tcW w:w="1016" w:type="dxa"/>
          </w:tcPr>
          <w:p>
            <w:pPr>
              <w:pStyle w:val="TableParagraph"/>
              <w:spacing w:line="352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9 </w:t>
            </w:r>
            <w:r>
              <w:rPr>
                <w:sz w:val="20"/>
              </w:rPr>
              <w:t>月 </w:t>
            </w:r>
            <w:r>
              <w:rPr>
                <w:rFonts w:ascii="Segoe UI" w:eastAsia="Segoe UI"/>
                <w:sz w:val="20"/>
              </w:rPr>
              <w:t>4 </w:t>
            </w:r>
            <w:r>
              <w:rPr>
                <w:sz w:val="20"/>
              </w:rPr>
              <w:t>日</w:t>
            </w:r>
          </w:p>
          <w:p>
            <w:pPr>
              <w:pStyle w:val="TableParagraph"/>
              <w:spacing w:line="241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13:46</w:t>
            </w:r>
          </w:p>
        </w:tc>
        <w:tc>
          <w:tcPr>
            <w:tcW w:w="2216" w:type="dxa"/>
          </w:tcPr>
          <w:p>
            <w:pPr>
              <w:pStyle w:val="TableParagraph"/>
              <w:spacing w:line="357" w:lineRule="exact"/>
              <w:ind w:left="108"/>
              <w:rPr>
                <w:sz w:val="20"/>
              </w:rPr>
            </w:pPr>
            <w:r>
              <w:rPr>
                <w:sz w:val="20"/>
              </w:rPr>
              <w:t>勞工搭乘移動式起重機</w:t>
            </w:r>
          </w:p>
        </w:tc>
        <w:tc>
          <w:tcPr>
            <w:tcW w:w="3015" w:type="dxa"/>
          </w:tcPr>
          <w:p>
            <w:pPr>
              <w:pStyle w:val="TableParagraph"/>
              <w:spacing w:line="357" w:lineRule="exact"/>
              <w:rPr>
                <w:sz w:val="20"/>
              </w:rPr>
            </w:pPr>
            <w:r>
              <w:rPr>
                <w:sz w:val="20"/>
              </w:rPr>
              <w:t>未檢查連結桿狀態（假設）</w:t>
            </w:r>
          </w:p>
        </w:tc>
        <w:tc>
          <w:tcPr>
            <w:tcW w:w="2415" w:type="dxa"/>
          </w:tcPr>
          <w:p>
            <w:pPr>
              <w:pStyle w:val="TableParagraph"/>
              <w:spacing w:line="357" w:lineRule="exact"/>
              <w:ind w:left="109"/>
              <w:rPr>
                <w:sz w:val="20"/>
              </w:rPr>
            </w:pPr>
            <w:r>
              <w:rPr>
                <w:sz w:val="20"/>
              </w:rPr>
              <w:t>缺乏定期檢查制度</w:t>
            </w:r>
          </w:p>
        </w:tc>
      </w:tr>
      <w:tr>
        <w:trPr>
          <w:trHeight w:val="345" w:hRule="atLeast"/>
        </w:trPr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13:46</w:t>
            </w:r>
          </w:p>
        </w:tc>
        <w:tc>
          <w:tcPr>
            <w:tcW w:w="22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舉升至 </w:t>
            </w:r>
            <w:r>
              <w:rPr>
                <w:rFonts w:ascii="Segoe UI" w:eastAsia="Segoe UI"/>
                <w:sz w:val="20"/>
              </w:rPr>
              <w:t>6.6 </w:t>
            </w:r>
            <w:r>
              <w:rPr>
                <w:sz w:val="20"/>
              </w:rPr>
              <w:t>公尺</w:t>
            </w:r>
          </w:p>
        </w:tc>
        <w:tc>
          <w:tcPr>
            <w:tcW w:w="3015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超載使用（假設）</w:t>
            </w:r>
          </w:p>
        </w:tc>
        <w:tc>
          <w:tcPr>
            <w:tcW w:w="2415" w:type="dxa"/>
          </w:tcPr>
          <w:p>
            <w:pPr>
              <w:pStyle w:val="TableParagraph"/>
              <w:spacing w:line="325" w:lineRule="exact"/>
              <w:ind w:left="109"/>
              <w:rPr>
                <w:sz w:val="20"/>
              </w:rPr>
            </w:pPr>
            <w:r>
              <w:rPr>
                <w:sz w:val="20"/>
              </w:rPr>
              <w:t>未制定負荷限制標準</w:t>
            </w:r>
          </w:p>
        </w:tc>
      </w:tr>
      <w:tr>
        <w:trPr>
          <w:trHeight w:val="346" w:hRule="atLeast"/>
        </w:trPr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13:46</w:t>
            </w:r>
          </w:p>
        </w:tc>
        <w:tc>
          <w:tcPr>
            <w:tcW w:w="22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旋轉時連結桿斷裂</w:t>
            </w:r>
          </w:p>
        </w:tc>
        <w:tc>
          <w:tcPr>
            <w:tcW w:w="30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連結桿材質或設計缺陷（假設）</w:t>
            </w:r>
          </w:p>
        </w:tc>
        <w:tc>
          <w:tcPr>
            <w:tcW w:w="241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設備採購未符合安全規範</w:t>
            </w:r>
          </w:p>
        </w:tc>
      </w:tr>
      <w:tr>
        <w:trPr>
          <w:trHeight w:val="345" w:hRule="atLeast"/>
        </w:trPr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13:46</w:t>
            </w:r>
          </w:p>
        </w:tc>
        <w:tc>
          <w:tcPr>
            <w:tcW w:w="22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搭乘設備墜落</w:t>
            </w:r>
          </w:p>
        </w:tc>
        <w:tc>
          <w:tcPr>
            <w:tcW w:w="3015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未安裝防墜裝置（假設）</w:t>
            </w:r>
          </w:p>
        </w:tc>
        <w:tc>
          <w:tcPr>
            <w:tcW w:w="2415" w:type="dxa"/>
          </w:tcPr>
          <w:p>
            <w:pPr>
              <w:pStyle w:val="TableParagraph"/>
              <w:spacing w:line="325" w:lineRule="exact"/>
              <w:ind w:left="109"/>
              <w:rPr>
                <w:sz w:val="20"/>
              </w:rPr>
            </w:pPr>
            <w:r>
              <w:rPr>
                <w:sz w:val="20"/>
              </w:rPr>
              <w:t>未要求高空作業防護措施</w:t>
            </w:r>
          </w:p>
        </w:tc>
      </w:tr>
      <w:tr>
        <w:trPr>
          <w:trHeight w:val="346" w:hRule="atLeast"/>
        </w:trPr>
        <w:tc>
          <w:tcPr>
            <w:tcW w:w="1016" w:type="dxa"/>
          </w:tcPr>
          <w:p>
            <w:pPr>
              <w:pStyle w:val="TableParagraph"/>
              <w:spacing w:line="240" w:lineRule="auto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13:46</w:t>
            </w:r>
          </w:p>
        </w:tc>
        <w:tc>
          <w:tcPr>
            <w:tcW w:w="22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3 </w:t>
            </w:r>
            <w:r>
              <w:rPr>
                <w:sz w:val="20"/>
              </w:rPr>
              <w:t>死 </w:t>
            </w:r>
            <w:r>
              <w:rPr>
                <w:rFonts w:ascii="Segoe UI" w:eastAsia="Segoe UI"/>
                <w:sz w:val="20"/>
              </w:rPr>
              <w:t>1 </w:t>
            </w:r>
            <w:r>
              <w:rPr>
                <w:sz w:val="20"/>
              </w:rPr>
              <w:t>重傷</w:t>
            </w:r>
          </w:p>
        </w:tc>
        <w:tc>
          <w:tcPr>
            <w:tcW w:w="30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未即時救援（假設）</w:t>
            </w:r>
          </w:p>
        </w:tc>
        <w:tc>
          <w:tcPr>
            <w:tcW w:w="2415" w:type="dxa"/>
          </w:tcPr>
          <w:p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缺乏緊急應變程式</w:t>
            </w: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11910" w:h="16840"/>
          <w:pgMar w:footer="866" w:top="1080" w:bottom="1060" w:left="1020" w:right="1000"/>
          <w:pgNumType w:start="1"/>
        </w:sectPr>
      </w:pPr>
    </w:p>
    <w:p>
      <w:pPr>
        <w:pStyle w:val="Heading1"/>
        <w:numPr>
          <w:ilvl w:val="0"/>
          <w:numId w:val="3"/>
        </w:numPr>
        <w:tabs>
          <w:tab w:pos="419" w:val="left" w:leader="none"/>
        </w:tabs>
        <w:spacing w:line="240" w:lineRule="auto" w:before="22" w:after="0"/>
        <w:ind w:left="418" w:right="0" w:hanging="304"/>
        <w:jc w:val="left"/>
      </w:pPr>
      <w:r>
        <w:rPr>
          <w:shd w:fill="D9D9D9" w:color="auto" w:val="clear"/>
        </w:rPr>
        <w:t>為何樹分析（</w:t>
      </w:r>
      <w:r>
        <w:rPr>
          <w:rFonts w:ascii="Calibri" w:eastAsia="Calibri"/>
          <w:shd w:fill="D9D9D9" w:color="auto" w:val="clear"/>
        </w:rPr>
        <w:t>Why</w:t>
      </w:r>
      <w:r>
        <w:rPr>
          <w:rFonts w:ascii="Calibri" w:eastAsia="Calibri"/>
          <w:spacing w:val="-1"/>
          <w:shd w:fill="D9D9D9" w:color="auto" w:val="clear"/>
        </w:rPr>
        <w:t> </w:t>
      </w:r>
      <w:r>
        <w:rPr>
          <w:rFonts w:ascii="Calibri" w:eastAsia="Calibri"/>
          <w:shd w:fill="D9D9D9" w:color="auto" w:val="clear"/>
        </w:rPr>
        <w:t>Tree</w:t>
      </w:r>
      <w:r>
        <w:rPr>
          <w:shd w:fill="D9D9D9" w:color="auto" w:val="clear"/>
        </w:rPr>
        <w:t>）</w:t>
      </w:r>
    </w:p>
    <w:p>
      <w:pPr>
        <w:pStyle w:val="BodyText"/>
        <w:spacing w:before="18"/>
        <w:rPr>
          <w:b/>
          <w:sz w:val="13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720090</wp:posOffset>
            </wp:positionH>
            <wp:positionV relativeFrom="paragraph">
              <wp:posOffset>188183</wp:posOffset>
            </wp:positionV>
            <wp:extent cx="5933818" cy="5706046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3818" cy="5706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28" w:lineRule="exact" w:before="264"/>
        <w:ind w:left="113"/>
      </w:pPr>
      <w:r>
        <w:rPr/>
        <w:t>假設說明：</w:t>
      </w:r>
    </w:p>
    <w:p>
      <w:pPr>
        <w:pStyle w:val="ListParagraph"/>
        <w:numPr>
          <w:ilvl w:val="1"/>
          <w:numId w:val="3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b/>
          <w:sz w:val="24"/>
        </w:rPr>
        <w:t>同時搭乘 </w:t>
      </w:r>
      <w:r>
        <w:rPr>
          <w:rFonts w:ascii="Calibri" w:eastAsia="Calibri"/>
          <w:b/>
          <w:sz w:val="24"/>
        </w:rPr>
        <w:t>4</w:t>
      </w:r>
      <w:r>
        <w:rPr>
          <w:rFonts w:ascii="Calibri" w:eastAsia="Calibri"/>
          <w:b/>
          <w:spacing w:val="5"/>
          <w:sz w:val="24"/>
        </w:rPr>
        <w:t> </w:t>
      </w:r>
      <w:r>
        <w:rPr>
          <w:b/>
          <w:sz w:val="24"/>
        </w:rPr>
        <w:t>人超載</w:t>
      </w:r>
      <w:r>
        <w:rPr>
          <w:sz w:val="24"/>
        </w:rPr>
        <w:t>：根據事故描述推測可能超過設備承載限制</w:t>
      </w:r>
    </w:p>
    <w:p>
      <w:pPr>
        <w:pStyle w:val="ListParagraph"/>
        <w:numPr>
          <w:ilvl w:val="1"/>
          <w:numId w:val="3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b/>
          <w:sz w:val="24"/>
        </w:rPr>
        <w:t>安全裝置失效</w:t>
      </w:r>
      <w:r>
        <w:rPr>
          <w:sz w:val="24"/>
        </w:rPr>
        <w:t>：從墜落結果反推缺乏二次防護系統</w:t>
      </w:r>
    </w:p>
    <w:p>
      <w:pPr>
        <w:pStyle w:val="Heading1"/>
        <w:numPr>
          <w:ilvl w:val="1"/>
          <w:numId w:val="3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</w:pPr>
      <w:r>
        <w:rPr/>
        <w:t>材料強度不足</w:t>
      </w:r>
    </w:p>
    <w:p>
      <w:pPr>
        <w:pStyle w:val="BodyText"/>
        <w:spacing w:line="225" w:lineRule="auto" w:before="6"/>
        <w:ind w:left="113" w:right="2090"/>
      </w:pPr>
      <w:r>
        <w:rPr/>
        <w:t>根本原因鏈：違規搭乘→設備缺陷→管理失控→監督缺位→安全文化崩壞改善建議：</w:t>
      </w:r>
    </w:p>
    <w:p>
      <w:pPr>
        <w:pStyle w:val="ListParagraph"/>
        <w:numPr>
          <w:ilvl w:val="0"/>
          <w:numId w:val="4"/>
        </w:numPr>
        <w:tabs>
          <w:tab w:pos="834" w:val="left" w:leader="none"/>
        </w:tabs>
        <w:spacing w:line="410" w:lineRule="exact" w:before="0" w:after="0"/>
        <w:ind w:left="834" w:right="0" w:hanging="360"/>
        <w:jc w:val="left"/>
        <w:rPr>
          <w:sz w:val="24"/>
        </w:rPr>
      </w:pPr>
      <w:r>
        <w:rPr>
          <w:sz w:val="24"/>
        </w:rPr>
        <w:t>立即禁止人員搭乘非專用起重設備</w:t>
      </w:r>
    </w:p>
    <w:p>
      <w:pPr>
        <w:pStyle w:val="ListParagraph"/>
        <w:numPr>
          <w:ilvl w:val="0"/>
          <w:numId w:val="4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sz w:val="24"/>
        </w:rPr>
        <w:t>建立高空作業許可制度</w:t>
      </w:r>
    </w:p>
    <w:p>
      <w:pPr>
        <w:pStyle w:val="ListParagraph"/>
        <w:numPr>
          <w:ilvl w:val="0"/>
          <w:numId w:val="4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sz w:val="24"/>
        </w:rPr>
        <w:t>導入防墜落整體解決方案（如：安全母索系統）</w:t>
      </w:r>
    </w:p>
    <w:p>
      <w:pPr>
        <w:pStyle w:val="ListParagraph"/>
        <w:numPr>
          <w:ilvl w:val="0"/>
          <w:numId w:val="4"/>
        </w:numPr>
        <w:tabs>
          <w:tab w:pos="834" w:val="left" w:leader="none"/>
        </w:tabs>
        <w:spacing w:line="428" w:lineRule="exact" w:before="0" w:after="0"/>
        <w:ind w:left="834" w:right="0" w:hanging="360"/>
        <w:jc w:val="left"/>
        <w:rPr>
          <w:sz w:val="24"/>
        </w:rPr>
      </w:pPr>
      <w:r>
        <w:rPr>
          <w:sz w:val="24"/>
        </w:rPr>
        <w:t>強化設備維護與使用前檢查程式</w:t>
      </w:r>
    </w:p>
    <w:p>
      <w:pPr>
        <w:spacing w:after="0" w:line="428" w:lineRule="exact"/>
        <w:jc w:val="left"/>
        <w:rPr>
          <w:sz w:val="24"/>
        </w:rPr>
        <w:sectPr>
          <w:pgSz w:w="11910" w:h="16840"/>
          <w:pgMar w:header="0" w:footer="866" w:top="1080" w:bottom="1060" w:left="1020" w:right="100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56.700001pt;margin-top:80.040985pt;width:489.1pt;height:.8pt;mso-position-horizontal-relative:page;mso-position-vertical-relative:page;z-index:1144" coordorigin="1134,1601" coordsize="9782,16">
            <v:line style="position:absolute" from="1134,1608" to="10915,1608" stroked="true" strokeweight=".75pt" strokecolor="#9f9f9f">
              <v:stroke dashstyle="solid"/>
            </v:line>
            <v:rect style="position:absolute;left:1134;top:1600;width:5;height:5" filled="true" fillcolor="#9f9f9f" stroked="false">
              <v:fill type="solid"/>
            </v:rect>
            <v:line style="position:absolute" from="1139,1603" to="10910,1603" stroked="true" strokeweight=".239pt" strokecolor="#9f9f9f">
              <v:stroke dashstyle="solid"/>
            </v:line>
            <v:rect style="position:absolute;left:10910;top:1600;width:5;height:5" filled="true" fillcolor="#e2e2e2" stroked="false">
              <v:fill type="solid"/>
            </v:rect>
            <v:shape style="position:absolute;left:1134;top:1600;width:9782;height:11" coordorigin="1134,1601" coordsize="9782,11" path="m1139,1606l1134,1606,1134,1612,1139,1612,1139,1606m10915,1601l10910,1601,10910,1606,10915,1606,10915,1601e" filled="true" fillcolor="#9f9f9f" stroked="false">
              <v:path arrowok="t"/>
              <v:fill type="solid"/>
            </v:shape>
            <v:rect style="position:absolute;left:10910;top:1605;width:5;height:7" filled="true" fillcolor="#e2e2e2" stroked="false">
              <v:fill type="solid"/>
            </v:rect>
            <v:rect style="position:absolute;left:1134;top:1611;width:5;height:5" filled="true" fillcolor="#9f9f9f" stroked="false">
              <v:fill type="solid"/>
            </v:rect>
            <v:rect style="position:absolute;left:1134;top:1611;width:5;height:5" filled="true" fillcolor="#e2e2e2" stroked="false">
              <v:fill type="solid"/>
            </v:rect>
            <v:line style="position:absolute" from="1139,1614" to="10910,1614" stroked="true" strokeweight=".239pt" strokecolor="#e2e2e2">
              <v:stroke dashstyle="solid"/>
            </v:line>
            <v:rect style="position:absolute;left:10910;top:1611;width:5;height:5" filled="true" fillcolor="#e2e2e2" stroked="false">
              <v:fill type="solid"/>
            </v:rect>
            <w10:wrap type="none"/>
          </v:group>
        </w:pict>
      </w:r>
      <w:r>
        <w:rPr/>
        <w:pict>
          <v:group style="position:absolute;margin-left:56.700001pt;margin-top:234.699982pt;width:489.1pt;height:.8pt;mso-position-horizontal-relative:page;mso-position-vertical-relative:page;z-index:1168" coordorigin="1134,4694" coordsize="9782,16">
            <v:line style="position:absolute" from="1134,4702" to="10915,4702" stroked="true" strokeweight=".8pt" strokecolor="#9f9f9f">
              <v:stroke dashstyle="solid"/>
            </v:line>
            <v:rect style="position:absolute;left:1134;top:4694;width:5;height:5" filled="true" fillcolor="#9f9f9f" stroked="false">
              <v:fill type="solid"/>
            </v:rect>
            <v:line style="position:absolute" from="1139,4697" to="10910,4697" stroked="true" strokeweight=".24pt" strokecolor="#9f9f9f">
              <v:stroke dashstyle="solid"/>
            </v:line>
            <v:rect style="position:absolute;left:10910;top:4694;width:5;height:5" filled="true" fillcolor="#e2e2e2" stroked="false">
              <v:fill type="solid"/>
            </v:rect>
            <v:shape style="position:absolute;left:1134;top:4694;width:9782;height:11" coordorigin="1134,4694" coordsize="9782,11" path="m1139,4699l1134,4699,1134,4705,1139,4705,1139,4699m10915,4694l10910,4694,10910,4699,10915,4699,10915,4694e" filled="true" fillcolor="#9f9f9f" stroked="false">
              <v:path arrowok="t"/>
              <v:fill type="solid"/>
            </v:shape>
            <v:rect style="position:absolute;left:10910;top:4699;width:5;height:6" filled="true" fillcolor="#e2e2e2" stroked="false">
              <v:fill type="solid"/>
            </v:rect>
            <v:rect style="position:absolute;left:1134;top:4705;width:5;height:5" filled="true" fillcolor="#9f9f9f" stroked="false">
              <v:fill type="solid"/>
            </v:rect>
            <v:rect style="position:absolute;left:1134;top:4705;width:5;height:5" filled="true" fillcolor="#e2e2e2" stroked="false">
              <v:fill type="solid"/>
            </v:rect>
            <v:line style="position:absolute" from="1139,4708" to="10910,4708" stroked="true" strokeweight=".24pt" strokecolor="#e2e2e2">
              <v:stroke dashstyle="solid"/>
            </v:line>
            <v:rect style="position:absolute;left:10910;top:4705;width:5;height:5" filled="true" fillcolor="#e2e2e2" stroked="false">
              <v:fill type="solid"/>
            </v:rect>
            <w10:wrap type="none"/>
          </v:group>
        </w:pict>
      </w:r>
      <w:r>
        <w:rPr/>
        <w:pict>
          <v:group style="position:absolute;margin-left:56.700001pt;margin-top:371.579987pt;width:489.1pt;height:.8pt;mso-position-horizontal-relative:page;mso-position-vertical-relative:page;z-index:1192" coordorigin="1134,7432" coordsize="9782,16">
            <v:line style="position:absolute" from="1134,7439" to="10915,7439" stroked="true" strokeweight=".751pt" strokecolor="#9f9f9f">
              <v:stroke dashstyle="solid"/>
            </v:line>
            <v:rect style="position:absolute;left:1134;top:7431;width:5;height:5" filled="true" fillcolor="#9f9f9f" stroked="false">
              <v:fill type="solid"/>
            </v:rect>
            <v:line style="position:absolute" from="1139,7434" to="10910,7434" stroked="true" strokeweight=".24pt" strokecolor="#9f9f9f">
              <v:stroke dashstyle="solid"/>
            </v:line>
            <v:rect style="position:absolute;left:10910;top:7431;width:5;height:5" filled="true" fillcolor="#e2e2e2" stroked="false">
              <v:fill type="solid"/>
            </v:rect>
            <v:shape style="position:absolute;left:1134;top:7431;width:9782;height:11" coordorigin="1134,7432" coordsize="9782,11" path="m1139,7436l1134,7436,1134,7442,1139,7442,1139,7436m10915,7432l10910,7432,10910,7436,10915,7436,10915,7432e" filled="true" fillcolor="#9f9f9f" stroked="false">
              <v:path arrowok="t"/>
              <v:fill type="solid"/>
            </v:shape>
            <v:rect style="position:absolute;left:10910;top:7436;width:5;height:6" filled="true" fillcolor="#e2e2e2" stroked="false">
              <v:fill type="solid"/>
            </v:rect>
            <v:rect style="position:absolute;left:1134;top:7442;width:5;height:5" filled="true" fillcolor="#9f9f9f" stroked="false">
              <v:fill type="solid"/>
            </v:rect>
            <v:rect style="position:absolute;left:1134;top:7442;width:5;height:5" filled="true" fillcolor="#e2e2e2" stroked="false">
              <v:fill type="solid"/>
            </v:rect>
            <v:line style="position:absolute" from="1139,7445" to="10910,7445" stroked="true" strokeweight=".24pt" strokecolor="#e2e2e2">
              <v:stroke dashstyle="solid"/>
            </v:line>
            <v:rect style="position:absolute;left:10910;top:7442;width:5;height:5" filled="true" fillcolor="#e2e2e2" stroked="false">
              <v:fill type="solid"/>
            </v:rect>
            <w10:wrap type="none"/>
          </v:group>
        </w:pict>
      </w:r>
      <w:r>
        <w:rPr/>
        <w:pict>
          <v:shape style="position:absolute;margin-left:56.700001pt;margin-top:252.659988pt;width:63.3pt;height:20.8pt;mso-position-horizontal-relative:page;mso-position-vertical-relative:page;z-index:1264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rFonts w:ascii="Calibri" w:eastAsia="Calibri"/>
                      <w:b/>
                      <w:sz w:val="24"/>
                    </w:rPr>
                    <w:t>5</w:t>
                  </w:r>
                  <w:r>
                    <w:rPr>
                      <w:rFonts w:ascii="Calibri" w:eastAsia="Calibri"/>
                      <w:b/>
                      <w:spacing w:val="5"/>
                      <w:sz w:val="24"/>
                    </w:rPr>
                    <w:t>. </w:t>
                  </w:r>
                  <w:r>
                    <w:rPr>
                      <w:b/>
                      <w:sz w:val="24"/>
                    </w:rPr>
                    <w:t>變更分析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6.700001pt;margin-top:97.97998pt;width:63.3pt;height:20.8pt;mso-position-horizontal-relative:page;mso-position-vertical-relative:page;z-index:1288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rFonts w:ascii="Calibri" w:eastAsia="Calibri"/>
                      <w:b/>
                      <w:sz w:val="24"/>
                    </w:rPr>
                    <w:t>4</w:t>
                  </w:r>
                  <w:r>
                    <w:rPr>
                      <w:rFonts w:ascii="Calibri" w:eastAsia="Calibri"/>
                      <w:b/>
                      <w:spacing w:val="5"/>
                      <w:sz w:val="24"/>
                    </w:rPr>
                    <w:t>. </w:t>
                  </w:r>
                  <w:r>
                    <w:rPr>
                      <w:b/>
                      <w:sz w:val="24"/>
                    </w:rPr>
                    <w:t>屏障分析</w:t>
                  </w:r>
                </w:p>
              </w:txbxContent>
            </v:textbox>
            <v:fill type="solid"/>
            <w10:wrap type="none"/>
          </v:shape>
        </w:pict>
      </w:r>
    </w:p>
    <w:p>
      <w:pPr>
        <w:pStyle w:val="BodyText"/>
        <w:spacing w:before="4"/>
        <w:rPr>
          <w:sz w:val="22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1016"/>
        <w:gridCol w:w="2616"/>
        <w:gridCol w:w="2016"/>
      </w:tblGrid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屏障類別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屏障表現</w:t>
            </w:r>
          </w:p>
        </w:tc>
        <w:tc>
          <w:tcPr>
            <w:tcW w:w="26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20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影響事故的方式</w:t>
            </w:r>
          </w:p>
        </w:tc>
      </w:tr>
      <w:tr>
        <w:trPr>
          <w:trHeight w:val="345" w:hRule="atLeast"/>
        </w:trPr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設備強度檢查</w:t>
            </w:r>
          </w:p>
        </w:tc>
        <w:tc>
          <w:tcPr>
            <w:tcW w:w="10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未執行</w:t>
            </w:r>
          </w:p>
        </w:tc>
        <w:tc>
          <w:tcPr>
            <w:tcW w:w="26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缺乏定期檢查制度</w:t>
            </w:r>
          </w:p>
        </w:tc>
        <w:tc>
          <w:tcPr>
            <w:tcW w:w="20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未能發現連結桿缺陷</w:t>
            </w:r>
          </w:p>
        </w:tc>
      </w:tr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負荷限制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超載使用</w:t>
            </w:r>
          </w:p>
        </w:tc>
        <w:tc>
          <w:tcPr>
            <w:tcW w:w="26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未制定明確負荷標準</w:t>
            </w:r>
          </w:p>
        </w:tc>
        <w:tc>
          <w:tcPr>
            <w:tcW w:w="20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導致連結桿過載斷裂</w:t>
            </w:r>
          </w:p>
        </w:tc>
      </w:tr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防墜裝置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未安裝</w:t>
            </w:r>
          </w:p>
        </w:tc>
        <w:tc>
          <w:tcPr>
            <w:tcW w:w="26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未要求或提供防墜設備</w:t>
            </w:r>
          </w:p>
        </w:tc>
        <w:tc>
          <w:tcPr>
            <w:tcW w:w="20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無法阻止墜落</w:t>
            </w:r>
          </w:p>
        </w:tc>
      </w:tr>
      <w:tr>
        <w:trPr>
          <w:trHeight w:val="345" w:hRule="atLeast"/>
        </w:trPr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作業許可</w:t>
            </w:r>
          </w:p>
        </w:tc>
        <w:tc>
          <w:tcPr>
            <w:tcW w:w="10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未實施</w:t>
            </w:r>
          </w:p>
        </w:tc>
        <w:tc>
          <w:tcPr>
            <w:tcW w:w="26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未建立高風險作業許可制度</w:t>
            </w:r>
          </w:p>
        </w:tc>
        <w:tc>
          <w:tcPr>
            <w:tcW w:w="20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未評估作業風險</w:t>
            </w:r>
          </w:p>
        </w:tc>
      </w:tr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緊急救援</w:t>
            </w:r>
          </w:p>
        </w:tc>
        <w:tc>
          <w:tcPr>
            <w:tcW w:w="10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延遲</w:t>
            </w:r>
          </w:p>
        </w:tc>
        <w:tc>
          <w:tcPr>
            <w:tcW w:w="26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缺乏應急預案</w:t>
            </w:r>
          </w:p>
        </w:tc>
        <w:tc>
          <w:tcPr>
            <w:tcW w:w="20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延誤救治時間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35"/>
        <w:gridCol w:w="1616"/>
        <w:gridCol w:w="2016"/>
        <w:gridCol w:w="1494"/>
        <w:gridCol w:w="2215"/>
      </w:tblGrid>
      <w:tr>
        <w:trPr>
          <w:trHeight w:val="346" w:hRule="atLeast"/>
        </w:trPr>
        <w:tc>
          <w:tcPr>
            <w:tcW w:w="83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1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20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理想狀況（假設）</w:t>
            </w:r>
          </w:p>
        </w:tc>
        <w:tc>
          <w:tcPr>
            <w:tcW w:w="149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差異（變更）</w:t>
            </w:r>
          </w:p>
        </w:tc>
        <w:tc>
          <w:tcPr>
            <w:tcW w:w="221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效果評估</w:t>
            </w:r>
          </w:p>
        </w:tc>
      </w:tr>
      <w:tr>
        <w:trPr>
          <w:trHeight w:val="345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WHAT</w:t>
            </w:r>
          </w:p>
        </w:tc>
        <w:tc>
          <w:tcPr>
            <w:tcW w:w="16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連結桿斷裂</w:t>
            </w:r>
          </w:p>
        </w:tc>
        <w:tc>
          <w:tcPr>
            <w:tcW w:w="20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使用合格材質與設計</w:t>
            </w:r>
          </w:p>
        </w:tc>
        <w:tc>
          <w:tcPr>
            <w:tcW w:w="1494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材質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設計缺陷</w:t>
            </w:r>
          </w:p>
        </w:tc>
        <w:tc>
          <w:tcPr>
            <w:tcW w:w="2215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直接導致墜落風險</w:t>
            </w:r>
          </w:p>
        </w:tc>
      </w:tr>
      <w:tr>
        <w:trPr>
          <w:trHeight w:val="346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HOW</w:t>
            </w:r>
          </w:p>
        </w:tc>
        <w:tc>
          <w:tcPr>
            <w:tcW w:w="1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超載旋轉</w:t>
            </w:r>
          </w:p>
        </w:tc>
        <w:tc>
          <w:tcPr>
            <w:tcW w:w="20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嚴格遵守負荷限制</w:t>
            </w:r>
          </w:p>
        </w:tc>
        <w:tc>
          <w:tcPr>
            <w:tcW w:w="149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超載操作</w:t>
            </w:r>
          </w:p>
        </w:tc>
        <w:tc>
          <w:tcPr>
            <w:tcW w:w="221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加速連結桿失效</w:t>
            </w:r>
          </w:p>
        </w:tc>
      </w:tr>
      <w:tr>
        <w:trPr>
          <w:trHeight w:val="345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WHO</w:t>
            </w:r>
          </w:p>
        </w:tc>
        <w:tc>
          <w:tcPr>
            <w:tcW w:w="16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未監督作業</w:t>
            </w:r>
          </w:p>
        </w:tc>
        <w:tc>
          <w:tcPr>
            <w:tcW w:w="20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專人監督高風險作業</w:t>
            </w:r>
          </w:p>
        </w:tc>
        <w:tc>
          <w:tcPr>
            <w:tcW w:w="1494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監督缺失</w:t>
            </w:r>
          </w:p>
        </w:tc>
        <w:tc>
          <w:tcPr>
            <w:tcW w:w="2215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未能及時制止違規操作</w:t>
            </w:r>
          </w:p>
        </w:tc>
      </w:tr>
      <w:tr>
        <w:trPr>
          <w:trHeight w:val="346" w:hRule="atLeast"/>
        </w:trPr>
        <w:tc>
          <w:tcPr>
            <w:tcW w:w="835" w:type="dxa"/>
          </w:tcPr>
          <w:p>
            <w:pPr>
              <w:pStyle w:val="TableParagraph"/>
              <w:spacing w:line="240" w:lineRule="auto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OTHER</w:t>
            </w:r>
          </w:p>
        </w:tc>
        <w:tc>
          <w:tcPr>
            <w:tcW w:w="1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臨時性高空作業</w:t>
            </w:r>
          </w:p>
        </w:tc>
        <w:tc>
          <w:tcPr>
            <w:tcW w:w="20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預先規劃防護措施</w:t>
            </w:r>
          </w:p>
        </w:tc>
        <w:tc>
          <w:tcPr>
            <w:tcW w:w="149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未經風險評估</w:t>
            </w:r>
          </w:p>
        </w:tc>
        <w:tc>
          <w:tcPr>
            <w:tcW w:w="2215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未識別潛在危害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1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7"/>
        <w:gridCol w:w="3036"/>
        <w:gridCol w:w="2416"/>
      </w:tblGrid>
      <w:tr>
        <w:trPr>
          <w:trHeight w:val="346" w:hRule="atLeast"/>
        </w:trPr>
        <w:tc>
          <w:tcPr>
            <w:tcW w:w="12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失效類型</w:t>
            </w:r>
          </w:p>
        </w:tc>
        <w:tc>
          <w:tcPr>
            <w:tcW w:w="303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可能原因（直接）</w:t>
            </w:r>
          </w:p>
        </w:tc>
        <w:tc>
          <w:tcPr>
            <w:tcW w:w="24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根本原因（管理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系統）</w:t>
            </w:r>
          </w:p>
        </w:tc>
      </w:tr>
      <w:tr>
        <w:trPr>
          <w:trHeight w:val="345" w:hRule="atLeast"/>
        </w:trPr>
        <w:tc>
          <w:tcPr>
            <w:tcW w:w="1217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規則性錯誤</w:t>
            </w:r>
          </w:p>
        </w:tc>
        <w:tc>
          <w:tcPr>
            <w:tcW w:w="3036" w:type="dxa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未遵守負荷限制（假設無 </w:t>
            </w:r>
            <w:r>
              <w:rPr>
                <w:rFonts w:ascii="Segoe UI" w:eastAsia="Segoe UI"/>
                <w:sz w:val="20"/>
              </w:rPr>
              <w:t>SOP</w:t>
            </w:r>
            <w:r>
              <w:rPr>
                <w:sz w:val="20"/>
              </w:rPr>
              <w:t>）</w:t>
            </w:r>
          </w:p>
        </w:tc>
        <w:tc>
          <w:tcPr>
            <w:tcW w:w="2416" w:type="dxa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缺乏作業程式與培訓</w:t>
            </w:r>
          </w:p>
        </w:tc>
      </w:tr>
      <w:tr>
        <w:trPr>
          <w:trHeight w:val="346" w:hRule="atLeast"/>
        </w:trPr>
        <w:tc>
          <w:tcPr>
            <w:tcW w:w="12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知識性錯誤</w:t>
            </w:r>
          </w:p>
        </w:tc>
        <w:tc>
          <w:tcPr>
            <w:tcW w:w="303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未識別連結桿風險</w:t>
            </w:r>
          </w:p>
        </w:tc>
        <w:tc>
          <w:tcPr>
            <w:tcW w:w="24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未提供設備安全訓練</w:t>
            </w:r>
          </w:p>
        </w:tc>
      </w:tr>
      <w:tr>
        <w:trPr>
          <w:trHeight w:val="346" w:hRule="atLeast"/>
        </w:trPr>
        <w:tc>
          <w:tcPr>
            <w:tcW w:w="12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違規行為</w:t>
            </w:r>
          </w:p>
        </w:tc>
        <w:tc>
          <w:tcPr>
            <w:tcW w:w="303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超載操作</w:t>
            </w:r>
          </w:p>
        </w:tc>
        <w:tc>
          <w:tcPr>
            <w:tcW w:w="2416" w:type="dxa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安全文化薄弱，默許違規</w:t>
            </w:r>
          </w:p>
        </w:tc>
      </w:tr>
    </w:tbl>
    <w:p>
      <w:pPr>
        <w:pStyle w:val="BodyText"/>
        <w:spacing w:before="2"/>
        <w:rPr>
          <w:sz w:val="26"/>
        </w:rPr>
      </w:pPr>
    </w:p>
    <w:p>
      <w:pPr>
        <w:pStyle w:val="Heading1"/>
        <w:numPr>
          <w:ilvl w:val="0"/>
          <w:numId w:val="5"/>
        </w:numPr>
        <w:tabs>
          <w:tab w:pos="419" w:val="left" w:leader="none"/>
        </w:tabs>
        <w:spacing w:line="225" w:lineRule="auto" w:before="58" w:after="0"/>
        <w:ind w:left="114" w:right="8024" w:firstLine="0"/>
        <w:jc w:val="left"/>
        <w:rPr>
          <w:b w:val="0"/>
        </w:rPr>
      </w:pPr>
      <w:r>
        <w:rPr/>
        <w:pict>
          <v:group style="position:absolute;margin-left:56.700001pt;margin-top:-15.336719pt;width:489.1pt;height:.8pt;mso-position-horizontal-relative:page;mso-position-vertical-relative:paragraph;z-index:1216" coordorigin="1134,-307" coordsize="9782,16">
            <v:line style="position:absolute" from="1134,-299" to="10915,-299" stroked="true" strokeweight=".75pt" strokecolor="#9f9f9f">
              <v:stroke dashstyle="solid"/>
            </v:line>
            <v:rect style="position:absolute;left:1134;top:-307;width:5;height:5" filled="true" fillcolor="#9f9f9f" stroked="false">
              <v:fill type="solid"/>
            </v:rect>
            <v:line style="position:absolute" from="1139,-304" to="10910,-304" stroked="true" strokeweight=".24pt" strokecolor="#9f9f9f">
              <v:stroke dashstyle="solid"/>
            </v:line>
            <v:rect style="position:absolute;left:10910;top:-307;width:5;height:5" filled="true" fillcolor="#e2e2e2" stroked="false">
              <v:fill type="solid"/>
            </v:rect>
            <v:shape style="position:absolute;left:1134;top:-307;width:9782;height:11" coordorigin="1134,-307" coordsize="9782,11" path="m1139,-302l1134,-302,1134,-296,1139,-296,1139,-302m10915,-307l10910,-307,10910,-302,10915,-302,10915,-307e" filled="true" fillcolor="#9f9f9f" stroked="false">
              <v:path arrowok="t"/>
              <v:fill type="solid"/>
            </v:shape>
            <v:rect style="position:absolute;left:10910;top:-302;width:5;height:6" filled="true" fillcolor="#e2e2e2" stroked="false">
              <v:fill type="solid"/>
            </v:rect>
            <v:rect style="position:absolute;left:1134;top:-296;width:5;height:5" filled="true" fillcolor="#9f9f9f" stroked="false">
              <v:fill type="solid"/>
            </v:rect>
            <v:rect style="position:absolute;left:1134;top:-296;width:5;height:5" filled="true" fillcolor="#e2e2e2" stroked="false">
              <v:fill type="solid"/>
            </v:rect>
            <v:line style="position:absolute" from="1139,-294" to="10910,-294" stroked="true" strokeweight=".24pt" strokecolor="#e2e2e2">
              <v:stroke dashstyle="solid"/>
            </v:line>
            <v:rect style="position:absolute;left:10910;top:-296;width:5;height:5" filled="true" fillcolor="#e2e2e2" stroked="false">
              <v:fill type="solid"/>
            </v:rect>
            <w10:wrap type="none"/>
          </v:group>
        </w:pict>
      </w:r>
      <w:r>
        <w:rPr/>
        <w:pict>
          <v:shape style="position:absolute;margin-left:56.700001pt;margin-top:-116.496719pt;width:87.3pt;height:20.8pt;mso-position-horizontal-relative:page;mso-position-vertical-relative:paragraph;z-index:1240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rFonts w:ascii="Calibri" w:eastAsia="Calibri"/>
                      <w:b/>
                      <w:sz w:val="24"/>
                    </w:rPr>
                    <w:t>6</w:t>
                  </w:r>
                  <w:r>
                    <w:rPr>
                      <w:rFonts w:ascii="Calibri" w:eastAsia="Calibri"/>
                      <w:b/>
                      <w:spacing w:val="5"/>
                      <w:sz w:val="24"/>
                    </w:rPr>
                    <w:t>. </w:t>
                  </w:r>
                  <w:r>
                    <w:rPr>
                      <w:b/>
                      <w:sz w:val="24"/>
                    </w:rPr>
                    <w:t>人為失效分析</w:t>
                  </w:r>
                </w:p>
              </w:txbxContent>
            </v:textbox>
            <v:fill type="solid"/>
            <w10:wrap type="none"/>
          </v:shape>
        </w:pict>
      </w:r>
      <w:r>
        <w:rPr>
          <w:spacing w:val="-3"/>
          <w:shd w:fill="D9D9D9" w:color="auto" w:val="clear"/>
        </w:rPr>
        <w:t>根本原因探討</w:t>
      </w:r>
      <w:r>
        <w:rPr/>
        <w:t>管理系統缺失</w:t>
      </w:r>
      <w:r>
        <w:rPr>
          <w:b w:val="0"/>
        </w:rPr>
        <w:t>：</w:t>
      </w:r>
    </w:p>
    <w:p>
      <w:pPr>
        <w:pStyle w:val="ListParagraph"/>
        <w:numPr>
          <w:ilvl w:val="1"/>
          <w:numId w:val="5"/>
        </w:numPr>
        <w:tabs>
          <w:tab w:pos="1532" w:val="left" w:leader="none"/>
          <w:tab w:pos="1533" w:val="left" w:leader="none"/>
        </w:tabs>
        <w:spacing w:line="410" w:lineRule="exact" w:before="0" w:after="0"/>
        <w:ind w:left="1532" w:right="0" w:hanging="568"/>
        <w:jc w:val="left"/>
        <w:rPr>
          <w:b/>
          <w:sz w:val="24"/>
        </w:rPr>
      </w:pPr>
      <w:bookmarkStart w:name="1. 未建立設備採購驗收標準與定期檢查制度。" w:id="1"/>
      <w:bookmarkEnd w:id="1"/>
      <w:r>
        <w:rPr/>
      </w:r>
      <w:bookmarkStart w:name="1. 未建立設備採購驗收標準與定期檢查制度。" w:id="2"/>
      <w:bookmarkEnd w:id="2"/>
      <w:r>
        <w:rPr>
          <w:b/>
          <w:sz w:val="24"/>
        </w:rPr>
        <w:t>未建立設備採購驗收標準與定期檢查制度。</w:t>
      </w:r>
    </w:p>
    <w:p>
      <w:pPr>
        <w:pStyle w:val="ListParagraph"/>
        <w:numPr>
          <w:ilvl w:val="1"/>
          <w:numId w:val="5"/>
        </w:numPr>
        <w:tabs>
          <w:tab w:pos="1532" w:val="left" w:leader="none"/>
          <w:tab w:pos="1533" w:val="left" w:leader="none"/>
        </w:tabs>
        <w:spacing w:line="225" w:lineRule="auto" w:before="6" w:after="0"/>
        <w:ind w:left="114" w:right="3793" w:firstLine="850"/>
        <w:jc w:val="left"/>
        <w:rPr>
          <w:sz w:val="24"/>
        </w:rPr>
      </w:pPr>
      <w:bookmarkStart w:name="2. 未制定高空作業防護規範與負荷限制標準。" w:id="3"/>
      <w:bookmarkEnd w:id="3"/>
      <w:r>
        <w:rPr/>
      </w:r>
      <w:bookmarkStart w:name="2. 未制定高空作業防護規範與負荷限制標準。" w:id="4"/>
      <w:bookmarkEnd w:id="4"/>
      <w:r>
        <w:rPr>
          <w:b/>
          <w:spacing w:val="-1"/>
          <w:sz w:val="24"/>
        </w:rPr>
        <w:t>未制定高空作業防護規範與負荷限制標準。</w:t>
      </w:r>
      <w:r>
        <w:rPr>
          <w:b/>
          <w:sz w:val="24"/>
        </w:rPr>
        <w:t>監督與文化問題</w:t>
      </w:r>
      <w:r>
        <w:rPr>
          <w:sz w:val="24"/>
        </w:rPr>
        <w:t>：</w:t>
      </w:r>
    </w:p>
    <w:p>
      <w:pPr>
        <w:pStyle w:val="ListParagraph"/>
        <w:numPr>
          <w:ilvl w:val="0"/>
          <w:numId w:val="6"/>
        </w:numPr>
        <w:tabs>
          <w:tab w:pos="1532" w:val="left" w:leader="none"/>
          <w:tab w:pos="1533" w:val="left" w:leader="none"/>
        </w:tabs>
        <w:spacing w:line="409" w:lineRule="exact" w:before="0" w:after="0"/>
        <w:ind w:left="1532" w:right="0" w:hanging="568"/>
        <w:jc w:val="left"/>
        <w:rPr>
          <w:b/>
          <w:sz w:val="24"/>
        </w:rPr>
      </w:pPr>
      <w:bookmarkStart w:name="1. 未實施高風險作業許可與現場監督。" w:id="5"/>
      <w:bookmarkEnd w:id="5"/>
      <w:r>
        <w:rPr/>
      </w:r>
      <w:bookmarkStart w:name="1. 未實施高風險作業許可與現場監督。" w:id="6"/>
      <w:bookmarkEnd w:id="6"/>
      <w:r>
        <w:rPr>
          <w:b/>
          <w:sz w:val="24"/>
        </w:rPr>
        <w:t>未實施高風險作業許可與現場監督。</w:t>
      </w:r>
    </w:p>
    <w:p>
      <w:pPr>
        <w:pStyle w:val="ListParagraph"/>
        <w:numPr>
          <w:ilvl w:val="0"/>
          <w:numId w:val="6"/>
        </w:numPr>
        <w:tabs>
          <w:tab w:pos="1532" w:val="left" w:leader="none"/>
          <w:tab w:pos="1533" w:val="left" w:leader="none"/>
        </w:tabs>
        <w:spacing w:line="225" w:lineRule="auto" w:before="6" w:after="0"/>
        <w:ind w:left="114" w:right="4513" w:firstLine="850"/>
        <w:jc w:val="left"/>
        <w:rPr>
          <w:sz w:val="24"/>
        </w:rPr>
      </w:pPr>
      <w:bookmarkStart w:name="2. 安全文化薄弱，忽視違規操作風險。" w:id="7"/>
      <w:bookmarkEnd w:id="7"/>
      <w:r>
        <w:rPr/>
      </w:r>
      <w:bookmarkStart w:name="2. 安全文化薄弱，忽視違規操作風險。" w:id="8"/>
      <w:bookmarkEnd w:id="8"/>
      <w:r>
        <w:rPr>
          <w:b/>
          <w:spacing w:val="-2"/>
          <w:sz w:val="24"/>
        </w:rPr>
        <w:t>安全文化薄弱，忽視違規操作風險。</w:t>
      </w:r>
      <w:r>
        <w:rPr>
          <w:b/>
          <w:sz w:val="24"/>
        </w:rPr>
        <w:t>應急準備不足</w:t>
      </w:r>
      <w:r>
        <w:rPr>
          <w:sz w:val="24"/>
        </w:rPr>
        <w:t>：缺乏墜落事故的緊急救援程式。</w:t>
      </w:r>
      <w:r>
        <w:rPr>
          <w:b/>
          <w:sz w:val="24"/>
        </w:rPr>
        <w:t>改善建議</w:t>
      </w:r>
      <w:r>
        <w:rPr>
          <w:sz w:val="24"/>
        </w:rPr>
        <w:t>：</w:t>
      </w:r>
    </w:p>
    <w:p>
      <w:pPr>
        <w:pStyle w:val="Heading1"/>
        <w:numPr>
          <w:ilvl w:val="0"/>
          <w:numId w:val="7"/>
        </w:numPr>
        <w:tabs>
          <w:tab w:pos="1532" w:val="left" w:leader="none"/>
          <w:tab w:pos="1533" w:val="left" w:leader="none"/>
        </w:tabs>
        <w:spacing w:line="410" w:lineRule="exact" w:before="0" w:after="0"/>
        <w:ind w:left="1532" w:right="0" w:hanging="568"/>
        <w:jc w:val="left"/>
      </w:pPr>
      <w:bookmarkStart w:name="1. 制定設備採購與檢查SOP，確保材質與設計合規。" w:id="9"/>
      <w:bookmarkEnd w:id="9"/>
      <w:r>
        <w:rPr>
          <w:b w:val="0"/>
        </w:rPr>
      </w:r>
      <w:bookmarkStart w:name="1. 制定設備採購與檢查SOP，確保材質與設計合規。" w:id="10"/>
      <w:bookmarkEnd w:id="10"/>
      <w:r>
        <w:rPr>
          <w:spacing w:val="-1"/>
        </w:rPr>
        <w:t>制定設備採購與檢查 </w:t>
      </w:r>
      <w:r>
        <w:rPr>
          <w:rFonts w:ascii="Cambria" w:eastAsia="Cambria"/>
        </w:rPr>
        <w:t>SOP</w:t>
      </w:r>
      <w:r>
        <w:rPr/>
        <w:t>，確保材質與設計合規。</w:t>
      </w:r>
    </w:p>
    <w:p>
      <w:pPr>
        <w:pStyle w:val="ListParagraph"/>
        <w:numPr>
          <w:ilvl w:val="0"/>
          <w:numId w:val="7"/>
        </w:numPr>
        <w:tabs>
          <w:tab w:pos="1532" w:val="left" w:leader="none"/>
          <w:tab w:pos="1533" w:val="left" w:leader="none"/>
        </w:tabs>
        <w:spacing w:line="415" w:lineRule="exact" w:before="0" w:after="0"/>
        <w:ind w:left="1532" w:right="0" w:hanging="568"/>
        <w:jc w:val="left"/>
        <w:rPr>
          <w:b/>
          <w:sz w:val="24"/>
        </w:rPr>
      </w:pPr>
      <w:bookmarkStart w:name="2. 建立負荷標準與防墜措施，強制執行作業許可制度。" w:id="11"/>
      <w:bookmarkEnd w:id="11"/>
      <w:r>
        <w:rPr/>
      </w:r>
      <w:bookmarkStart w:name="2. 建立負荷標準與防墜措施，強制執行作業許可制度。" w:id="12"/>
      <w:bookmarkEnd w:id="12"/>
      <w:r>
        <w:rPr>
          <w:b/>
          <w:sz w:val="24"/>
        </w:rPr>
        <w:t>建立負荷標準與防墜措施，強制執行作業許可制度。</w:t>
      </w:r>
    </w:p>
    <w:p>
      <w:pPr>
        <w:pStyle w:val="ListParagraph"/>
        <w:numPr>
          <w:ilvl w:val="0"/>
          <w:numId w:val="7"/>
        </w:numPr>
        <w:tabs>
          <w:tab w:pos="1532" w:val="left" w:leader="none"/>
          <w:tab w:pos="1533" w:val="left" w:leader="none"/>
        </w:tabs>
        <w:spacing w:line="415" w:lineRule="exact" w:before="0" w:after="0"/>
        <w:ind w:left="1532" w:right="0" w:hanging="568"/>
        <w:jc w:val="left"/>
        <w:rPr>
          <w:b/>
          <w:sz w:val="24"/>
        </w:rPr>
      </w:pPr>
      <w:bookmarkStart w:name="3. 加強安全培訓與文化建設，定期演練應急預案。" w:id="13"/>
      <w:bookmarkEnd w:id="13"/>
      <w:r>
        <w:rPr/>
      </w:r>
      <w:bookmarkStart w:name="3. 加強安全培訓與文化建設，定期演練應急預案。" w:id="14"/>
      <w:bookmarkEnd w:id="14"/>
      <w:r>
        <w:rPr>
          <w:b/>
          <w:sz w:val="24"/>
        </w:rPr>
        <w:t>加強安全培訓與文化建設，定期演練應急預案。</w:t>
      </w:r>
    </w:p>
    <w:p>
      <w:pPr>
        <w:pStyle w:val="BodyText"/>
        <w:spacing w:line="428" w:lineRule="exact"/>
        <w:ind w:left="113"/>
      </w:pPr>
      <w:r>
        <w:rPr/>
        <w:t>本回答由 </w:t>
      </w:r>
      <w:r>
        <w:rPr>
          <w:rFonts w:ascii="Calibri" w:eastAsia="Calibri"/>
        </w:rPr>
        <w:t>AI </w:t>
      </w:r>
      <w:r>
        <w:rPr/>
        <w:t>生成，內容僅供參考，請仔細甄別。</w:t>
      </w:r>
    </w:p>
    <w:sectPr>
      <w:pgSz w:w="11910" w:h="16840"/>
      <w:pgMar w:header="0" w:footer="866" w:top="1580" w:bottom="1060" w:left="10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  <w:font w:name="Cambria">
    <w:altName w:val="Cambr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Symbol">
    <w:altName w:val="Symbol"/>
    <w:charset w:val="2"/>
    <w:family w:val="roman"/>
    <w:pitch w:val="variable"/>
  </w:font>
  <w:font w:name="Segoe UI">
    <w:altName w:val="Segoe U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6.679993pt;margin-top:787.625pt;width:9.1pt;height:12.05pt;mso-position-horizontal-relative:page;mso-position-vertical-relative:page;z-index:-11944" type="#_x0000_t202" filled="false" stroked="false">
          <v:textbox inset="0,0,0,0">
            <w:txbxContent>
              <w:p>
                <w:pPr>
                  <w:spacing w:line="224" w:lineRule="exact" w:before="0"/>
                  <w:ind w:left="4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532" w:hanging="568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74" w:hanging="5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09" w:hanging="5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43" w:hanging="5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8" w:hanging="5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3" w:hanging="5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7" w:hanging="5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82" w:hanging="5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17" w:hanging="568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1532" w:hanging="568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74" w:hanging="5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209" w:hanging="5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043" w:hanging="5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78" w:hanging="5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13" w:hanging="5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547" w:hanging="5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82" w:hanging="5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217" w:hanging="568"/>
      </w:pPr>
      <w:rPr>
        <w:rFonts w:hint="default"/>
      </w:rPr>
    </w:lvl>
  </w:abstractNum>
  <w:abstractNum w:abstractNumId="4">
    <w:multiLevelType w:val="hybridMultilevel"/>
    <w:lvl w:ilvl="0">
      <w:start w:val="7"/>
      <w:numFmt w:val="decimal"/>
      <w:lvlText w:val="%1."/>
      <w:lvlJc w:val="left"/>
      <w:pPr>
        <w:ind w:left="114" w:hanging="305"/>
        <w:jc w:val="left"/>
      </w:pPr>
      <w:rPr>
        <w:rFonts w:hint="default"/>
        <w:spacing w:val="-15"/>
        <w:highlight w:val="lightGray"/>
      </w:rPr>
    </w:lvl>
    <w:lvl w:ilvl="1">
      <w:start w:val="1"/>
      <w:numFmt w:val="decimal"/>
      <w:lvlText w:val="%2."/>
      <w:lvlJc w:val="left"/>
      <w:pPr>
        <w:ind w:left="1532" w:hanging="568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2467" w:hanging="5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94" w:hanging="5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22" w:hanging="5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49" w:hanging="5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6" w:hanging="5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04" w:hanging="5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31" w:hanging="568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77" w:hanging="360"/>
      </w:pPr>
      <w:rPr>
        <w:rFonts w:hint="default"/>
      </w:rPr>
    </w:lvl>
  </w:abstractNum>
  <w:abstractNum w:abstractNumId="2">
    <w:multiLevelType w:val="hybridMultilevel"/>
    <w:lvl w:ilvl="0">
      <w:start w:val="3"/>
      <w:numFmt w:val="decimal"/>
      <w:lvlText w:val="%1."/>
      <w:lvlJc w:val="left"/>
      <w:pPr>
        <w:ind w:left="418" w:hanging="305"/>
        <w:jc w:val="left"/>
      </w:pPr>
      <w:rPr>
        <w:rFonts w:hint="default"/>
        <w:spacing w:val="-1"/>
        <w:highlight w:val="lightGray"/>
      </w:rPr>
    </w:lvl>
    <w:lvl w:ilvl="1">
      <w:start w:val="1"/>
      <w:numFmt w:val="decimal"/>
      <w:lvlText w:val="%2."/>
      <w:lvlJc w:val="left"/>
      <w:pPr>
        <w:ind w:left="834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2">
      <w:start w:val="0"/>
      <w:numFmt w:val="bullet"/>
      <w:lvlText w:val="•"/>
      <w:lvlJc w:val="left"/>
      <w:pPr>
        <w:ind w:left="1845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5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5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6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65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70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4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0"/>
      <w:numFmt w:val="bullet"/>
      <w:lvlText w:val="•"/>
      <w:lvlJc w:val="left"/>
      <w:pPr>
        <w:ind w:left="174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49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53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58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67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77" w:hanging="36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8" w:hanging="305"/>
        <w:jc w:val="left"/>
      </w:pPr>
      <w:rPr>
        <w:rFonts w:hint="default"/>
        <w:spacing w:val="-2"/>
        <w:highlight w:val="lightGray"/>
      </w:rPr>
    </w:lvl>
    <w:lvl w:ilvl="1">
      <w:start w:val="1"/>
      <w:numFmt w:val="decimal"/>
      <w:lvlText w:val="%2."/>
      <w:lvlJc w:val="left"/>
      <w:pPr>
        <w:ind w:left="834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2">
      <w:start w:val="0"/>
      <w:numFmt w:val="bullet"/>
      <w:lvlText w:val="o"/>
      <w:lvlJc w:val="left"/>
      <w:pPr>
        <w:ind w:left="1554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3">
      <w:start w:val="0"/>
      <w:numFmt w:val="bullet"/>
      <w:lvlText w:val="•"/>
      <w:lvlJc w:val="left"/>
      <w:pPr>
        <w:ind w:left="1560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49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8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28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17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7" w:hanging="360"/>
      </w:pPr>
      <w:rPr>
        <w:rFonts w:hint="default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15" w:lineRule="exact"/>
      <w:ind w:left="1532" w:hanging="568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415" w:lineRule="exact"/>
      <w:ind w:left="834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spacing w:line="326" w:lineRule="exact"/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2025-07-25T00:49:17Z</dcterms:created>
  <dcterms:modified xsi:type="dcterms:W3CDTF">2025-07-25T00:49:17Z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