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28"/>
        <w:ind w:left="3804" w:right="3783"/>
        <w:jc w:val="center"/>
      </w:pPr>
      <w:r>
        <w:rPr/>
        <w:t>墜落案 </w:t>
      </w:r>
      <w:r>
        <w:rPr>
          <w:rFonts w:ascii="Calibri" w:eastAsia="Calibri"/>
        </w:rPr>
        <w:t>3_</w:t>
      </w:r>
      <w:r>
        <w:rPr/>
        <w:t>分析參考</w:t>
      </w:r>
    </w:p>
    <w:p>
      <w:pPr>
        <w:spacing w:before="267"/>
        <w:ind w:left="2173" w:right="0" w:firstLine="0"/>
        <w:jc w:val="left"/>
        <w:rPr>
          <w:b/>
          <w:sz w:val="24"/>
        </w:rPr>
      </w:pPr>
      <w:r>
        <w:rPr>
          <w:b/>
          <w:sz w:val="24"/>
        </w:rPr>
        <w:t>從事燈具換裝作業發生墜落致死災害調查分析報告</w:t>
      </w:r>
    </w:p>
    <w:p>
      <w:pPr>
        <w:pStyle w:val="BodyText"/>
        <w:spacing w:line="225" w:lineRule="auto" w:before="286"/>
        <w:ind w:left="135" w:right="170"/>
      </w:pPr>
      <w:r>
        <w:rPr>
          <w:b/>
        </w:rPr>
        <w:t>重要提醒： </w:t>
      </w:r>
      <w:r>
        <w:rPr/>
        <w:t>本分析報告是基於所提供案例的有限資訊，並結合事故調查的專業方法論進行。部分內容為根據邏輯與經驗所做的合理推斷，並會明確標示為 </w:t>
      </w:r>
      <w:r>
        <w:rPr>
          <w:rFonts w:ascii="Calibri" w:eastAsia="Calibri"/>
          <w:b/>
        </w:rPr>
        <w:t>(</w:t>
      </w:r>
      <w:r>
        <w:rPr>
          <w:b/>
        </w:rPr>
        <w:t>推斷</w:t>
      </w:r>
      <w:r>
        <w:rPr>
          <w:rFonts w:ascii="Calibri" w:eastAsia="Calibri"/>
          <w:b/>
        </w:rPr>
        <w:t>) </w:t>
      </w:r>
      <w:r>
        <w:rPr/>
        <w:t>或 </w:t>
      </w:r>
      <w:r>
        <w:rPr>
          <w:rFonts w:ascii="Calibri" w:eastAsia="Calibri"/>
          <w:b/>
        </w:rPr>
        <w:t>(</w:t>
      </w:r>
      <w:r>
        <w:rPr>
          <w:b/>
        </w:rPr>
        <w:t>假設</w:t>
      </w:r>
      <w:r>
        <w:rPr>
          <w:rFonts w:ascii="Calibri" w:eastAsia="Calibri"/>
          <w:b/>
        </w:rPr>
        <w:t>)</w:t>
      </w:r>
      <w:r>
        <w:rPr/>
        <w:t>。一場實際、完整的事故調查，需要更詳盡的現場勘查、人員訪談與物證檢驗來支持所有結論。</w:t>
      </w: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63.779999pt;margin-top:7.7275pt;width:467.85pt;height:1.55pt;mso-position-horizontal-relative:page;mso-position-vertical-relative:paragraph;z-index:-1024;mso-wrap-distance-left:0;mso-wrap-distance-right:0" coordorigin="1276,155" coordsize="9357,31">
            <v:line style="position:absolute" from="1276,170" to="10632,170" stroked="true" strokeweight="1.5pt" strokecolor="#9f9f9f">
              <v:stroke dashstyle="solid"/>
            </v:line>
            <v:rect style="position:absolute;left:1275;top:154;width:5;height:5" filled="true" fillcolor="#9f9f9f" stroked="false">
              <v:fill type="solid"/>
            </v:rect>
            <v:rect style="position:absolute;left:1275;top:154;width:5;height:5" filled="true" fillcolor="#9f9f9f" stroked="false">
              <v:fill type="solid"/>
            </v:rect>
            <v:line style="position:absolute" from="1280,157" to="10627,157" stroked="true" strokeweight=".24pt" strokecolor="#9f9f9f">
              <v:stroke dashstyle="solid"/>
            </v:line>
            <v:rect style="position:absolute;left:10627;top:154;width:5;height:5" filled="true" fillcolor="#e2e2e2" stroked="false">
              <v:fill type="solid"/>
            </v:rect>
            <v:rect style="position:absolute;left:10627;top:154;width:5;height:5" filled="true" fillcolor="#9f9f9f" stroked="false">
              <v:fill type="solid"/>
            </v:rect>
            <v:rect style="position:absolute;left:1275;top:159;width:5;height:21" filled="true" fillcolor="#9f9f9f" stroked="false">
              <v:fill type="solid"/>
            </v:rect>
            <v:rect style="position:absolute;left:10627;top:159;width:5;height:21" filled="true" fillcolor="#e2e2e2" stroked="false">
              <v:fill type="solid"/>
            </v:rect>
            <v:rect style="position:absolute;left:1275;top:180;width:5;height:5" filled="true" fillcolor="#9f9f9f" stroked="false">
              <v:fill type="solid"/>
            </v:rect>
            <v:rect style="position:absolute;left:1275;top:180;width:5;height:5" filled="true" fillcolor="#e2e2e2" stroked="false">
              <v:fill type="solid"/>
            </v:rect>
            <v:line style="position:absolute" from="1280,183" to="10627,183" stroked="true" strokeweight=".24pt" strokecolor="#e2e2e2">
              <v:stroke dashstyle="solid"/>
            </v:line>
            <v:rect style="position:absolute;left:10627;top:180;width:5;height:5" filled="true" fillcolor="#e2e2e2" stroked="false">
              <v:fill type="solid"/>
            </v:rect>
            <v:rect style="position:absolute;left:10627;top:18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事故基本資料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  <w:tab w:pos="856" w:val="left" w:leader="none"/>
        </w:tabs>
        <w:spacing w:line="415" w:lineRule="exact" w:before="0" w:after="0"/>
        <w:ind w:left="855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9"/>
          <w:sz w:val="24"/>
        </w:rPr>
        <w:t>行業分類： </w:t>
      </w:r>
      <w:r>
        <w:rPr>
          <w:sz w:val="24"/>
        </w:rPr>
        <w:t>機電、電信及電路設備安裝業  </w:t>
      </w:r>
      <w:r>
        <w:rPr>
          <w:rFonts w:ascii="Calibri" w:hAnsi="Calibri" w:eastAsia="Calibri"/>
          <w:sz w:val="24"/>
        </w:rPr>
        <w:t>(4331)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  <w:tab w:pos="856" w:val="left" w:leader="none"/>
        </w:tabs>
        <w:spacing w:line="415" w:lineRule="exact" w:before="0" w:after="0"/>
        <w:ind w:left="855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9"/>
          <w:sz w:val="24"/>
        </w:rPr>
        <w:t>災害類型： </w:t>
      </w:r>
      <w:r>
        <w:rPr>
          <w:sz w:val="24"/>
        </w:rPr>
        <w:t>墜落、滾落  </w:t>
      </w:r>
      <w:r>
        <w:rPr>
          <w:rFonts w:ascii="Calibri" w:hAnsi="Calibri" w:eastAsia="Calibri"/>
          <w:sz w:val="24"/>
        </w:rPr>
        <w:t>(01)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  <w:tab w:pos="856" w:val="left" w:leader="none"/>
        </w:tabs>
        <w:spacing w:line="415" w:lineRule="exact" w:before="0" w:after="0"/>
        <w:ind w:left="855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11"/>
          <w:sz w:val="24"/>
        </w:rPr>
        <w:t>媒介物： </w:t>
      </w:r>
      <w:r>
        <w:rPr>
          <w:sz w:val="24"/>
        </w:rPr>
        <w:t>工作臺  </w:t>
      </w:r>
      <w:r>
        <w:rPr>
          <w:rFonts w:ascii="Calibri" w:hAnsi="Calibri" w:eastAsia="Calibri"/>
          <w:sz w:val="24"/>
        </w:rPr>
        <w:t>(416) (</w:t>
      </w:r>
      <w:r>
        <w:rPr>
          <w:sz w:val="24"/>
        </w:rPr>
        <w:t>含施工架與移動梯之不安全組合</w:t>
      </w:r>
      <w:r>
        <w:rPr>
          <w:rFonts w:ascii="Calibri" w:hAnsi="Calibri" w:eastAsia="Calibri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  <w:tab w:pos="856" w:val="left" w:leader="none"/>
        </w:tabs>
        <w:spacing w:line="415" w:lineRule="exact" w:before="0" w:after="0"/>
        <w:ind w:left="855" w:right="0" w:hanging="360"/>
        <w:jc w:val="left"/>
        <w:rPr>
          <w:sz w:val="24"/>
        </w:rPr>
      </w:pPr>
      <w:r>
        <w:rPr>
          <w:b/>
          <w:sz w:val="24"/>
        </w:rPr>
        <w:t>罹災情形： </w:t>
      </w:r>
      <w:r>
        <w:rPr>
          <w:sz w:val="24"/>
        </w:rPr>
        <w:t>死亡 </w:t>
      </w:r>
      <w:r>
        <w:rPr>
          <w:rFonts w:ascii="Calibri" w:hAnsi="Calibri" w:eastAsia="Calibri"/>
          <w:sz w:val="24"/>
        </w:rPr>
        <w:t>1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人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  <w:tab w:pos="856" w:val="left" w:leader="none"/>
        </w:tabs>
        <w:spacing w:line="415" w:lineRule="exact" w:before="0" w:after="0"/>
        <w:ind w:left="855" w:right="0" w:hanging="360"/>
        <w:jc w:val="left"/>
        <w:rPr>
          <w:sz w:val="24"/>
        </w:rPr>
      </w:pPr>
      <w:r>
        <w:rPr>
          <w:b/>
          <w:spacing w:val="9"/>
          <w:sz w:val="24"/>
        </w:rPr>
        <w:t>事故時間： </w:t>
      </w:r>
      <w:r>
        <w:rPr>
          <w:rFonts w:ascii="Calibri" w:hAnsi="Calibri" w:eastAsia="Calibri"/>
          <w:sz w:val="24"/>
        </w:rPr>
        <w:t>113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年 </w:t>
      </w:r>
      <w:r>
        <w:rPr>
          <w:rFonts w:ascii="Calibri" w:hAnsi="Calibri" w:eastAsia="Calibri"/>
          <w:sz w:val="24"/>
        </w:rPr>
        <w:t>9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月 </w:t>
      </w:r>
      <w:r>
        <w:rPr>
          <w:rFonts w:ascii="Calibri" w:hAnsi="Calibri" w:eastAsia="Calibri"/>
          <w:sz w:val="24"/>
        </w:rPr>
        <w:t>20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日，約 </w:t>
      </w:r>
      <w:r>
        <w:rPr>
          <w:rFonts w:ascii="Calibri" w:hAnsi="Calibri" w:eastAsia="Calibri"/>
          <w:sz w:val="24"/>
        </w:rPr>
        <w:t>9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時許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  <w:tab w:pos="856" w:val="left" w:leader="none"/>
        </w:tabs>
        <w:spacing w:line="415" w:lineRule="exact" w:before="0" w:after="0"/>
        <w:ind w:left="855" w:right="0" w:hanging="360"/>
        <w:jc w:val="left"/>
        <w:rPr>
          <w:sz w:val="24"/>
        </w:rPr>
      </w:pPr>
      <w:r>
        <w:rPr>
          <w:b/>
          <w:sz w:val="24"/>
        </w:rPr>
        <w:t>事故地點： </w:t>
      </w:r>
      <w:r>
        <w:rPr>
          <w:rFonts w:ascii="Calibri" w:hAnsi="Calibri" w:eastAsia="Calibri"/>
          <w:sz w:val="24"/>
        </w:rPr>
        <w:t>A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棟 </w:t>
      </w:r>
      <w:r>
        <w:rPr>
          <w:rFonts w:ascii="Calibri" w:hAnsi="Calibri" w:eastAsia="Calibri"/>
          <w:sz w:val="24"/>
        </w:rPr>
        <w:t>5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樓屋突梯間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25" w:lineRule="auto" w:before="6" w:after="0"/>
        <w:ind w:left="855" w:right="195" w:hanging="360"/>
        <w:jc w:val="both"/>
        <w:rPr>
          <w:sz w:val="24"/>
        </w:rPr>
      </w:pPr>
      <w:r>
        <w:rPr>
          <w:b/>
          <w:spacing w:val="9"/>
          <w:sz w:val="24"/>
        </w:rPr>
        <w:t>事故摘要： </w:t>
      </w:r>
      <w:r>
        <w:rPr>
          <w:sz w:val="24"/>
        </w:rPr>
        <w:t>勞工陳</w:t>
      </w:r>
      <w:r>
        <w:rPr>
          <w:rFonts w:ascii="Calibri" w:hAnsi="Calibri" w:eastAsia="Calibri"/>
          <w:sz w:val="24"/>
        </w:rPr>
        <w:t>○○</w:t>
      </w:r>
      <w:r>
        <w:rPr>
          <w:sz w:val="24"/>
        </w:rPr>
        <w:t>為換裝高度 </w:t>
      </w:r>
      <w:r>
        <w:rPr>
          <w:rFonts w:ascii="Calibri" w:hAnsi="Calibri" w:eastAsia="Calibri"/>
          <w:sz w:val="24"/>
        </w:rPr>
        <w:t>5.96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pacing w:val="-1"/>
          <w:sz w:val="24"/>
        </w:rPr>
        <w:t>公尺之天花板燈具，先爬上高度 </w:t>
      </w:r>
      <w:r>
        <w:rPr>
          <w:rFonts w:ascii="Calibri" w:hAnsi="Calibri" w:eastAsia="Calibri"/>
          <w:sz w:val="24"/>
        </w:rPr>
        <w:t>3.4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pacing w:val="-5"/>
          <w:sz w:val="24"/>
        </w:rPr>
        <w:t>公尺的</w:t>
      </w:r>
      <w:r>
        <w:rPr>
          <w:sz w:val="24"/>
        </w:rPr>
        <w:t>施工架，再於施工架上架設移動梯繼續上爬 。其同事李</w:t>
      </w:r>
      <w:r>
        <w:rPr>
          <w:rFonts w:ascii="Calibri" w:hAnsi="Calibri" w:eastAsia="Calibri"/>
          <w:sz w:val="24"/>
        </w:rPr>
        <w:t>○○</w:t>
      </w:r>
      <w:r>
        <w:rPr>
          <w:sz w:val="24"/>
        </w:rPr>
        <w:t>則於下方徒手嘗試穩定施工架 。在上爬過程中，此一不穩定的組合倒塌，導致陳員自高處墜落，頭部撞擊樓梯扶手及平台，送醫後不治死亡 。</w:t>
      </w: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63.779999pt;margin-top:7.767074pt;width:467.85pt;height:1.55pt;mso-position-horizontal-relative:page;mso-position-vertical-relative:paragraph;z-index:-1000;mso-wrap-distance-left:0;mso-wrap-distance-right:0" coordorigin="1276,155" coordsize="9357,31">
            <v:line style="position:absolute" from="1276,170" to="10632,170" stroked="true" strokeweight="1.5pt" strokecolor="#9f9f9f">
              <v:stroke dashstyle="solid"/>
            </v:line>
            <v:rect style="position:absolute;left:1275;top:155;width:5;height:5" filled="true" fillcolor="#9f9f9f" stroked="false">
              <v:fill type="solid"/>
            </v:rect>
            <v:rect style="position:absolute;left:1275;top:155;width:5;height:5" filled="true" fillcolor="#9f9f9f" stroked="false">
              <v:fill type="solid"/>
            </v:rect>
            <v:line style="position:absolute" from="1280,158" to="10627,158" stroked="true" strokeweight=".24pt" strokecolor="#9f9f9f">
              <v:stroke dashstyle="solid"/>
            </v:line>
            <v:rect style="position:absolute;left:10627;top:155;width:5;height:5" filled="true" fillcolor="#e2e2e2" stroked="false">
              <v:fill type="solid"/>
            </v:rect>
            <v:rect style="position:absolute;left:10627;top:155;width:5;height:5" filled="true" fillcolor="#9f9f9f" stroked="false">
              <v:fill type="solid"/>
            </v:rect>
            <v:rect style="position:absolute;left:1275;top:160;width:5;height:21" filled="true" fillcolor="#9f9f9f" stroked="false">
              <v:fill type="solid"/>
            </v:rect>
            <v:rect style="position:absolute;left:10627;top:160;width:5;height:21" filled="true" fillcolor="#e2e2e2" stroked="false">
              <v:fill type="solid"/>
            </v:rect>
            <v:rect style="position:absolute;left:1275;top:180;width:5;height:5" filled="true" fillcolor="#9f9f9f" stroked="false">
              <v:fill type="solid"/>
            </v:rect>
            <v:rect style="position:absolute;left:1275;top:180;width:5;height:5" filled="true" fillcolor="#e2e2e2" stroked="false">
              <v:fill type="solid"/>
            </v:rect>
            <v:line style="position:absolute" from="1280,183" to="10627,183" stroked="true" strokeweight=".24pt" strokecolor="#e2e2e2">
              <v:stroke dashstyle="solid"/>
            </v:line>
            <v:rect style="position:absolute;left:10627;top:180;width:5;height:5" filled="true" fillcolor="#e2e2e2" stroked="false">
              <v:fill type="solid"/>
            </v:rect>
            <v:rect style="position:absolute;left:10627;top:18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6"/>
        <w:rPr>
          <w:rFonts w:ascii="Calibri" w:eastAsia="Calibri"/>
        </w:rPr>
      </w:pPr>
      <w:r>
        <w:rPr/>
        <w:t>一</w:t>
      </w:r>
      <w:r>
        <w:rPr>
          <w:rFonts w:ascii="Calibri" w:eastAsia="Calibri"/>
        </w:rPr>
        <w:t>. </w:t>
      </w:r>
      <w:r>
        <w:rPr/>
        <w:t>事件成因分析圖  </w:t>
      </w:r>
      <w:r>
        <w:rPr>
          <w:rFonts w:ascii="Calibri" w:eastAsia="Calibri"/>
        </w:rPr>
        <w:t>(ECFC)</w:t>
      </w:r>
    </w:p>
    <w:p>
      <w:pPr>
        <w:pStyle w:val="BodyText"/>
        <w:spacing w:line="428" w:lineRule="exact"/>
        <w:ind w:left="135"/>
      </w:pPr>
      <w:r>
        <w:rPr/>
        <w:t>此圖將事故發生的事件及相關條件按時間順序呈現，以視覺化方式釐清因果關係。</w:t>
      </w:r>
    </w:p>
    <w:p>
      <w:pPr>
        <w:spacing w:after="0" w:line="428" w:lineRule="exact"/>
        <w:sectPr>
          <w:type w:val="continuous"/>
          <w:pgSz w:w="11910" w:h="16840"/>
          <w:pgMar w:top="1380" w:bottom="280" w:left="1140" w:right="1160"/>
        </w:sect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ind w:left="1490"/>
        <w:rPr>
          <w:sz w:val="20"/>
        </w:rPr>
      </w:pPr>
      <w:r>
        <w:rPr>
          <w:sz w:val="20"/>
        </w:rPr>
        <w:drawing>
          <wp:inline distT="0" distB="0" distL="0" distR="0">
            <wp:extent cx="4672527" cy="6027324"/>
            <wp:effectExtent l="0" t="0" r="0" b="0"/>
            <wp:docPr id="1" name="image1.png" descr="一張含有 文字, 螢幕擷取畫面, 圖表, 平行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527" cy="60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0"/>
        </w:rPr>
      </w:pPr>
      <w:r>
        <w:rPr/>
        <w:pict>
          <v:group style="position:absolute;margin-left:63.779999pt;margin-top:20.540983pt;width:467.85pt;height:1.55pt;mso-position-horizontal-relative:page;mso-position-vertical-relative:paragraph;z-index:-976;mso-wrap-distance-left:0;mso-wrap-distance-right:0" coordorigin="1276,411" coordsize="9357,31">
            <v:line style="position:absolute" from="1276,426" to="10632,426" stroked="true" strokeweight="1.5pt" strokecolor="#9f9f9f">
              <v:stroke dashstyle="solid"/>
            </v:line>
            <v:rect style="position:absolute;left:1275;top:410;width:5;height:5" filled="true" fillcolor="#9f9f9f" stroked="false">
              <v:fill type="solid"/>
            </v:rect>
            <v:rect style="position:absolute;left:1275;top:410;width:5;height:5" filled="true" fillcolor="#9f9f9f" stroked="false">
              <v:fill type="solid"/>
            </v:rect>
            <v:line style="position:absolute" from="1280,413" to="10627,413" stroked="true" strokeweight=".239pt" strokecolor="#9f9f9f">
              <v:stroke dashstyle="solid"/>
            </v:line>
            <v:rect style="position:absolute;left:10627;top:410;width:5;height:5" filled="true" fillcolor="#e2e2e2" stroked="false">
              <v:fill type="solid"/>
            </v:rect>
            <v:rect style="position:absolute;left:10627;top:410;width:5;height:5" filled="true" fillcolor="#9f9f9f" stroked="false">
              <v:fill type="solid"/>
            </v:rect>
            <v:rect style="position:absolute;left:1275;top:415;width:5;height:21" filled="true" fillcolor="#9f9f9f" stroked="false">
              <v:fill type="solid"/>
            </v:rect>
            <v:rect style="position:absolute;left:10627;top:415;width:5;height:21" filled="true" fillcolor="#e2e2e2" stroked="false">
              <v:fill type="solid"/>
            </v:rect>
            <v:rect style="position:absolute;left:1275;top:436;width:5;height:5" filled="true" fillcolor="#9f9f9f" stroked="false">
              <v:fill type="solid"/>
            </v:rect>
            <v:rect style="position:absolute;left:1275;top:436;width:5;height:5" filled="true" fillcolor="#e2e2e2" stroked="false">
              <v:fill type="solid"/>
            </v:rect>
            <v:line style="position:absolute" from="1280,438" to="10627,438" stroked="true" strokeweight=".239pt" strokecolor="#e2e2e2">
              <v:stroke dashstyle="solid"/>
            </v:line>
            <v:rect style="position:absolute;left:10627;top:436;width:5;height:5" filled="true" fillcolor="#e2e2e2" stroked="false">
              <v:fill type="solid"/>
            </v:rect>
            <v:rect style="position:absolute;left:10627;top:436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二</w:t>
      </w:r>
      <w:r>
        <w:rPr>
          <w:rFonts w:ascii="Calibri" w:eastAsia="Calibri"/>
        </w:rPr>
        <w:t>. </w:t>
      </w:r>
      <w:r>
        <w:rPr/>
        <w:t>時間序列表</w:t>
      </w:r>
    </w:p>
    <w:p>
      <w:pPr>
        <w:pStyle w:val="BodyText"/>
        <w:spacing w:line="428" w:lineRule="exact"/>
        <w:ind w:left="135"/>
      </w:pPr>
      <w:r>
        <w:rPr/>
        <w:t>此表以表格形式記錄事故發生的先後順序和相關條件，為後續分析奠定基礎。</w:t>
      </w: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8"/>
        <w:gridCol w:w="2291"/>
        <w:gridCol w:w="675"/>
        <w:gridCol w:w="994"/>
        <w:gridCol w:w="2277"/>
        <w:gridCol w:w="2065"/>
      </w:tblGrid>
      <w:tr>
        <w:trPr>
          <w:trHeight w:val="1037" w:hRule="atLeast"/>
        </w:trPr>
        <w:tc>
          <w:tcPr>
            <w:tcW w:w="1048" w:type="dxa"/>
          </w:tcPr>
          <w:p>
            <w:pPr>
              <w:pStyle w:val="TableParagraph"/>
              <w:spacing w:line="225" w:lineRule="auto"/>
              <w:ind w:right="250" w:hanging="1"/>
              <w:rPr>
                <w:sz w:val="20"/>
              </w:rPr>
            </w:pPr>
            <w:r>
              <w:rPr>
                <w:sz w:val="20"/>
              </w:rPr>
              <w:t>日期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時間</w:t>
            </w:r>
          </w:p>
        </w:tc>
        <w:tc>
          <w:tcPr>
            <w:tcW w:w="2291" w:type="dxa"/>
          </w:tcPr>
          <w:p>
            <w:pPr>
              <w:pStyle w:val="TableParagraph"/>
              <w:spacing w:line="344" w:lineRule="exact"/>
              <w:rPr>
                <w:sz w:val="20"/>
              </w:rPr>
            </w:pPr>
            <w:r>
              <w:rPr>
                <w:sz w:val="20"/>
              </w:rPr>
              <w:t>事件描述</w:t>
            </w:r>
          </w:p>
        </w:tc>
        <w:tc>
          <w:tcPr>
            <w:tcW w:w="675" w:type="dxa"/>
          </w:tcPr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推</w:t>
            </w:r>
          </w:p>
          <w:p>
            <w:pPr>
              <w:pStyle w:val="TableParagraph"/>
              <w:spacing w:line="339" w:lineRule="exact"/>
              <w:rPr>
                <w:sz w:val="20"/>
              </w:rPr>
            </w:pPr>
            <w:r>
              <w:rPr>
                <w:w w:val="100"/>
                <w:sz w:val="20"/>
              </w:rPr>
              <w:t>斷</w:t>
            </w:r>
          </w:p>
        </w:tc>
        <w:tc>
          <w:tcPr>
            <w:tcW w:w="994" w:type="dxa"/>
          </w:tcPr>
          <w:p>
            <w:pPr>
              <w:pStyle w:val="TableParagraph"/>
              <w:spacing w:line="333" w:lineRule="exact"/>
              <w:ind w:left="106"/>
              <w:rPr>
                <w:sz w:val="20"/>
              </w:rPr>
            </w:pPr>
            <w:r>
              <w:rPr>
                <w:sz w:val="20"/>
              </w:rPr>
              <w:t>主</w:t>
            </w:r>
            <w:r>
              <w:rPr>
                <w:rFonts w:ascii="Segoe UI" w:eastAsia="Segoe UI"/>
                <w:sz w:val="20"/>
              </w:rPr>
              <w:t>(P)/</w:t>
            </w:r>
            <w:r>
              <w:rPr>
                <w:sz w:val="20"/>
              </w:rPr>
              <w:t>次</w:t>
            </w:r>
          </w:p>
          <w:p>
            <w:pPr>
              <w:pStyle w:val="TableParagraph"/>
              <w:spacing w:line="346" w:lineRule="exact"/>
              <w:ind w:left="106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(S)</w:t>
            </w:r>
            <w:r>
              <w:rPr>
                <w:sz w:val="20"/>
              </w:rPr>
              <w:t>事件</w:t>
            </w:r>
          </w:p>
          <w:p>
            <w:pPr>
              <w:pStyle w:val="TableParagraph"/>
              <w:spacing w:line="339" w:lineRule="exact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軸</w:t>
            </w:r>
          </w:p>
        </w:tc>
        <w:tc>
          <w:tcPr>
            <w:tcW w:w="2277" w:type="dxa"/>
          </w:tcPr>
          <w:p>
            <w:pPr>
              <w:pStyle w:val="TableParagraph"/>
              <w:spacing w:line="344" w:lineRule="exact"/>
              <w:ind w:left="106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1 (</w:t>
            </w:r>
            <w:r>
              <w:rPr>
                <w:sz w:val="20"/>
              </w:rPr>
              <w:t>直接條件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065" w:type="dxa"/>
          </w:tcPr>
          <w:p>
            <w:pPr>
              <w:pStyle w:val="TableParagraph"/>
              <w:spacing w:line="333" w:lineRule="exact"/>
              <w:ind w:left="106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2 (</w:t>
            </w:r>
            <w:r>
              <w:rPr>
                <w:sz w:val="20"/>
              </w:rPr>
              <w:t>條件 </w:t>
            </w:r>
            <w:r>
              <w:rPr>
                <w:rFonts w:ascii="Segoe UI" w:eastAsia="Segoe UI"/>
                <w:sz w:val="20"/>
              </w:rPr>
              <w:t>1</w:t>
            </w:r>
          </w:p>
          <w:p>
            <w:pPr>
              <w:pStyle w:val="TableParagraph"/>
              <w:spacing w:line="357" w:lineRule="exact"/>
              <w:ind w:left="106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的背景或前提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037" w:hRule="atLeast"/>
        </w:trPr>
        <w:tc>
          <w:tcPr>
            <w:tcW w:w="1048" w:type="dxa"/>
          </w:tcPr>
          <w:p>
            <w:pPr>
              <w:pStyle w:val="TableParagraph"/>
              <w:spacing w:line="248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113/9/20</w:t>
            </w:r>
          </w:p>
          <w:p>
            <w:pPr>
              <w:pStyle w:val="TableParagraph"/>
              <w:spacing w:line="362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9:00 </w:t>
            </w:r>
            <w:r>
              <w:rPr>
                <w:sz w:val="20"/>
              </w:rPr>
              <w:t>許</w:t>
            </w:r>
          </w:p>
        </w:tc>
        <w:tc>
          <w:tcPr>
            <w:tcW w:w="2291" w:type="dxa"/>
          </w:tcPr>
          <w:p>
            <w:pPr>
              <w:pStyle w:val="TableParagraph"/>
              <w:spacing w:line="225" w:lineRule="auto"/>
              <w:ind w:right="62"/>
              <w:rPr>
                <w:sz w:val="20"/>
              </w:rPr>
            </w:pPr>
            <w:r>
              <w:rPr>
                <w:sz w:val="20"/>
              </w:rPr>
              <w:t>罹災者陳員與同事李員準備於 </w:t>
            </w:r>
            <w:r>
              <w:rPr>
                <w:rFonts w:ascii="Segoe UI" w:eastAsia="Segoe UI"/>
                <w:sz w:val="20"/>
              </w:rPr>
              <w:t>5.96 </w:t>
            </w:r>
            <w:r>
              <w:rPr>
                <w:sz w:val="20"/>
              </w:rPr>
              <w:t>米高處換裝</w:t>
            </w:r>
          </w:p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z w:val="20"/>
              </w:rPr>
              <w:t>燈具。</w:t>
            </w:r>
          </w:p>
        </w:tc>
        <w:tc>
          <w:tcPr>
            <w:tcW w:w="675" w:type="dxa"/>
          </w:tcPr>
          <w:p>
            <w:pPr>
              <w:pStyle w:val="TableParagraph"/>
              <w:spacing w:line="344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94" w:type="dxa"/>
          </w:tcPr>
          <w:p>
            <w:pPr>
              <w:pStyle w:val="TableParagraph"/>
              <w:spacing w:line="254" w:lineRule="exact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S</w:t>
            </w:r>
          </w:p>
        </w:tc>
        <w:tc>
          <w:tcPr>
            <w:tcW w:w="2277" w:type="dxa"/>
          </w:tcPr>
          <w:p>
            <w:pPr>
              <w:pStyle w:val="TableParagraph"/>
              <w:spacing w:line="344" w:lineRule="exact"/>
              <w:ind w:left="106"/>
              <w:rPr>
                <w:sz w:val="20"/>
              </w:rPr>
            </w:pPr>
            <w:r>
              <w:rPr>
                <w:sz w:val="20"/>
              </w:rPr>
              <w:t>作業點為高處。</w:t>
            </w:r>
          </w:p>
        </w:tc>
        <w:tc>
          <w:tcPr>
            <w:tcW w:w="2065" w:type="dxa"/>
          </w:tcPr>
          <w:p>
            <w:pPr>
              <w:pStyle w:val="TableParagraph"/>
              <w:spacing w:line="225" w:lineRule="auto"/>
              <w:ind w:left="106" w:right="145"/>
              <w:rPr>
                <w:sz w:val="20"/>
              </w:rPr>
            </w:pPr>
            <w:r>
              <w:rPr>
                <w:sz w:val="20"/>
              </w:rPr>
              <w:t>屬於依法應加強管制的墜落高風險作業。</w:t>
            </w:r>
          </w:p>
        </w:tc>
      </w:tr>
    </w:tbl>
    <w:p>
      <w:pPr>
        <w:spacing w:after="0" w:line="225" w:lineRule="auto"/>
        <w:rPr>
          <w:sz w:val="20"/>
        </w:rPr>
        <w:sectPr>
          <w:pgSz w:w="11910" w:h="16840"/>
          <w:pgMar w:top="1580" w:bottom="280" w:left="1140" w:right="1160"/>
        </w:sect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8"/>
        <w:gridCol w:w="2291"/>
        <w:gridCol w:w="675"/>
        <w:gridCol w:w="994"/>
        <w:gridCol w:w="2277"/>
        <w:gridCol w:w="2065"/>
      </w:tblGrid>
      <w:tr>
        <w:trPr>
          <w:trHeight w:val="1730" w:hRule="atLeast"/>
        </w:trPr>
        <w:tc>
          <w:tcPr>
            <w:tcW w:w="1048" w:type="dxa"/>
          </w:tcPr>
          <w:p>
            <w:pPr>
              <w:pStyle w:val="TableParagraph"/>
              <w:spacing w:line="260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113/9/20</w:t>
            </w:r>
          </w:p>
          <w:p>
            <w:pPr>
              <w:pStyle w:val="TableParagraph"/>
              <w:spacing w:line="362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9:00 </w:t>
            </w:r>
            <w:r>
              <w:rPr>
                <w:sz w:val="20"/>
              </w:rPr>
              <w:t>許</w:t>
            </w:r>
          </w:p>
        </w:tc>
        <w:tc>
          <w:tcPr>
            <w:tcW w:w="2291" w:type="dxa"/>
          </w:tcPr>
          <w:p>
            <w:pPr>
              <w:pStyle w:val="TableParagraph"/>
              <w:spacing w:line="225" w:lineRule="auto" w:before="4"/>
              <w:ind w:right="169" w:hanging="1"/>
              <w:jc w:val="both"/>
              <w:rPr>
                <w:sz w:val="20"/>
              </w:rPr>
            </w:pPr>
            <w:r>
              <w:rPr>
                <w:sz w:val="20"/>
              </w:rPr>
              <w:t>陳員爬上 </w:t>
            </w:r>
            <w:r>
              <w:rPr>
                <w:rFonts w:ascii="Segoe UI" w:eastAsia="Segoe UI"/>
                <w:sz w:val="20"/>
              </w:rPr>
              <w:t>3.4 </w:t>
            </w:r>
            <w:r>
              <w:rPr>
                <w:sz w:val="20"/>
              </w:rPr>
              <w:t>米高施工架，並於其上再架設移動梯。</w:t>
            </w:r>
          </w:p>
        </w:tc>
        <w:tc>
          <w:tcPr>
            <w:tcW w:w="675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94" w:type="dxa"/>
          </w:tcPr>
          <w:p>
            <w:pPr>
              <w:pStyle w:val="TableParagraph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277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59" w:val="left" w:leader="none"/>
              </w:tabs>
              <w:spacing w:line="346" w:lineRule="exact" w:before="0" w:after="0"/>
              <w:ind w:left="358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採用了極不安全的</w:t>
            </w:r>
          </w:p>
          <w:p>
            <w:pPr>
              <w:pStyle w:val="TableParagraph"/>
              <w:spacing w:line="225" w:lineRule="auto" w:before="5"/>
              <w:ind w:left="106" w:right="557"/>
              <w:rPr>
                <w:sz w:val="20"/>
              </w:rPr>
            </w:pPr>
            <w:r>
              <w:rPr>
                <w:sz w:val="20"/>
              </w:rPr>
              <w:t>「架上架」作業方式 。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9" w:val="left" w:leader="none"/>
              </w:tabs>
              <w:spacing w:line="341" w:lineRule="exact" w:before="0" w:after="0"/>
              <w:ind w:left="358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施工架高度不足以完</w:t>
            </w:r>
          </w:p>
          <w:p>
            <w:pPr>
              <w:pStyle w:val="TableParagraph"/>
              <w:spacing w:line="327" w:lineRule="exact"/>
              <w:ind w:left="106"/>
              <w:rPr>
                <w:sz w:val="20"/>
              </w:rPr>
            </w:pPr>
            <w:r>
              <w:rPr>
                <w:sz w:val="20"/>
              </w:rPr>
              <w:t>成作業。</w:t>
            </w:r>
          </w:p>
        </w:tc>
        <w:tc>
          <w:tcPr>
            <w:tcW w:w="2065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59" w:val="left" w:leader="none"/>
              </w:tabs>
              <w:spacing w:line="225" w:lineRule="auto" w:before="4" w:after="0"/>
              <w:ind w:left="106" w:right="293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未規劃安全的作</w:t>
            </w:r>
            <w:r>
              <w:rPr>
                <w:sz w:val="20"/>
              </w:rPr>
              <w:t>業方法。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9" w:val="left" w:leader="none"/>
              </w:tabs>
              <w:spacing w:line="225" w:lineRule="auto" w:before="1" w:after="0"/>
              <w:ind w:left="106" w:right="224" w:firstLine="0"/>
              <w:jc w:val="lef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未提供合適高度的作業設備。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pacing w:val="-15"/>
                <w:sz w:val="20"/>
              </w:rPr>
              <w:t>)</w:t>
            </w:r>
          </w:p>
        </w:tc>
      </w:tr>
      <w:tr>
        <w:trPr>
          <w:trHeight w:val="1037" w:hRule="atLeast"/>
        </w:trPr>
        <w:tc>
          <w:tcPr>
            <w:tcW w:w="1048" w:type="dxa"/>
          </w:tcPr>
          <w:p>
            <w:pPr>
              <w:pStyle w:val="TableParagraph"/>
              <w:spacing w:line="260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113/9/20</w:t>
            </w:r>
          </w:p>
          <w:p>
            <w:pPr>
              <w:pStyle w:val="TableParagraph"/>
              <w:spacing w:line="362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9:00 </w:t>
            </w:r>
            <w:r>
              <w:rPr>
                <w:sz w:val="20"/>
              </w:rPr>
              <w:t>許</w:t>
            </w:r>
          </w:p>
        </w:tc>
        <w:tc>
          <w:tcPr>
            <w:tcW w:w="2291" w:type="dxa"/>
          </w:tcPr>
          <w:p>
            <w:pPr>
              <w:pStyle w:val="TableParagraph"/>
              <w:spacing w:line="225" w:lineRule="auto" w:before="4"/>
              <w:ind w:right="169"/>
              <w:rPr>
                <w:sz w:val="20"/>
              </w:rPr>
            </w:pPr>
            <w:r>
              <w:rPr>
                <w:sz w:val="20"/>
              </w:rPr>
              <w:t>同事李員於下方用手扶住施工架，試圖穩定。</w:t>
            </w:r>
          </w:p>
        </w:tc>
        <w:tc>
          <w:tcPr>
            <w:tcW w:w="675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94" w:type="dxa"/>
          </w:tcPr>
          <w:p>
            <w:pPr>
              <w:pStyle w:val="TableParagraph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S</w:t>
            </w:r>
          </w:p>
        </w:tc>
        <w:tc>
          <w:tcPr>
            <w:tcW w:w="2277" w:type="dxa"/>
          </w:tcPr>
          <w:p>
            <w:pPr>
              <w:pStyle w:val="TableParagraph"/>
              <w:spacing w:line="356" w:lineRule="exact"/>
              <w:ind w:left="106"/>
              <w:rPr>
                <w:sz w:val="20"/>
              </w:rPr>
            </w:pPr>
            <w:r>
              <w:rPr>
                <w:sz w:val="20"/>
              </w:rPr>
              <w:t>採取無效的穩定措施。</w:t>
            </w:r>
          </w:p>
        </w:tc>
        <w:tc>
          <w:tcPr>
            <w:tcW w:w="2065" w:type="dxa"/>
          </w:tcPr>
          <w:p>
            <w:pPr>
              <w:pStyle w:val="TableParagraph"/>
              <w:spacing w:line="225" w:lineRule="auto" w:before="4"/>
              <w:ind w:left="106" w:right="145"/>
              <w:rPr>
                <w:sz w:val="20"/>
              </w:rPr>
            </w:pPr>
            <w:r>
              <w:rPr>
                <w:sz w:val="20"/>
              </w:rPr>
              <w:t>安全知識不足，不知此舉無法提供有效穩</w:t>
            </w:r>
          </w:p>
          <w:p>
            <w:pPr>
              <w:pStyle w:val="TableParagraph"/>
              <w:spacing w:line="322" w:lineRule="exact"/>
              <w:ind w:left="106"/>
              <w:rPr>
                <w:sz w:val="20"/>
              </w:rPr>
            </w:pPr>
            <w:r>
              <w:rPr>
                <w:sz w:val="20"/>
              </w:rPr>
              <w:t>定力。</w:t>
            </w:r>
          </w:p>
        </w:tc>
      </w:tr>
      <w:tr>
        <w:trPr>
          <w:trHeight w:val="1037" w:hRule="atLeast"/>
        </w:trPr>
        <w:tc>
          <w:tcPr>
            <w:tcW w:w="1048" w:type="dxa"/>
          </w:tcPr>
          <w:p>
            <w:pPr>
              <w:pStyle w:val="TableParagraph"/>
              <w:spacing w:line="260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113/9/20</w:t>
            </w:r>
          </w:p>
          <w:p>
            <w:pPr>
              <w:pStyle w:val="TableParagraph"/>
              <w:spacing w:line="362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9:00 </w:t>
            </w:r>
            <w:r>
              <w:rPr>
                <w:sz w:val="20"/>
              </w:rPr>
              <w:t>許</w:t>
            </w:r>
          </w:p>
        </w:tc>
        <w:tc>
          <w:tcPr>
            <w:tcW w:w="2291" w:type="dxa"/>
          </w:tcPr>
          <w:p>
            <w:pPr>
              <w:pStyle w:val="TableParagraph"/>
              <w:spacing w:line="225" w:lineRule="auto" w:before="4"/>
              <w:ind w:right="169"/>
              <w:rPr>
                <w:sz w:val="20"/>
              </w:rPr>
            </w:pPr>
            <w:r>
              <w:rPr>
                <w:sz w:val="20"/>
              </w:rPr>
              <w:t>陳員沿著施工架上的移動梯向上攀爬。</w:t>
            </w:r>
          </w:p>
        </w:tc>
        <w:tc>
          <w:tcPr>
            <w:tcW w:w="675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94" w:type="dxa"/>
          </w:tcPr>
          <w:p>
            <w:pPr>
              <w:pStyle w:val="TableParagraph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277" w:type="dxa"/>
          </w:tcPr>
          <w:p>
            <w:pPr>
              <w:pStyle w:val="TableParagraph"/>
              <w:spacing w:line="225" w:lineRule="auto" w:before="4"/>
              <w:ind w:left="106" w:right="157"/>
              <w:rPr>
                <w:sz w:val="20"/>
              </w:rPr>
            </w:pPr>
            <w:r>
              <w:rPr>
                <w:sz w:val="20"/>
              </w:rPr>
              <w:t>攀爬的動作導致整個不穩定系統的重心上移和</w:t>
            </w:r>
          </w:p>
          <w:p>
            <w:pPr>
              <w:pStyle w:val="TableParagraph"/>
              <w:spacing w:line="322" w:lineRule="exact"/>
              <w:ind w:left="106"/>
              <w:rPr>
                <w:sz w:val="20"/>
              </w:rPr>
            </w:pPr>
            <w:r>
              <w:rPr>
                <w:sz w:val="20"/>
              </w:rPr>
              <w:t>晃動。</w:t>
            </w:r>
          </w:p>
        </w:tc>
        <w:tc>
          <w:tcPr>
            <w:tcW w:w="2065" w:type="dxa"/>
          </w:tcPr>
          <w:p>
            <w:pPr>
              <w:pStyle w:val="TableParagraph"/>
              <w:spacing w:line="225" w:lineRule="auto" w:before="4"/>
              <w:ind w:left="106" w:right="145"/>
              <w:rPr>
                <w:sz w:val="20"/>
              </w:rPr>
            </w:pPr>
            <w:r>
              <w:rPr>
                <w:sz w:val="20"/>
              </w:rPr>
              <w:t>未使用安全帶等任何個人防墜護具。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</w:t>
            </w:r>
          </w:p>
          <w:p>
            <w:pPr>
              <w:pStyle w:val="TableParagraph"/>
              <w:spacing w:line="322" w:lineRule="exact"/>
              <w:ind w:left="106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斷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3" w:hRule="atLeast"/>
        </w:trPr>
        <w:tc>
          <w:tcPr>
            <w:tcW w:w="1048" w:type="dxa"/>
          </w:tcPr>
          <w:p>
            <w:pPr>
              <w:pStyle w:val="TableParagraph"/>
              <w:spacing w:line="260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113/9/20</w:t>
            </w:r>
          </w:p>
          <w:p>
            <w:pPr>
              <w:pStyle w:val="TableParagraph"/>
              <w:spacing w:line="362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9:00 </w:t>
            </w:r>
            <w:r>
              <w:rPr>
                <w:sz w:val="20"/>
              </w:rPr>
              <w:t>許</w:t>
            </w:r>
          </w:p>
        </w:tc>
        <w:tc>
          <w:tcPr>
            <w:tcW w:w="2291" w:type="dxa"/>
          </w:tcPr>
          <w:p>
            <w:pPr>
              <w:pStyle w:val="TableParagraph"/>
              <w:spacing w:line="225" w:lineRule="auto" w:before="4"/>
              <w:ind w:right="169"/>
              <w:rPr>
                <w:sz w:val="20"/>
              </w:rPr>
            </w:pPr>
            <w:r>
              <w:rPr>
                <w:sz w:val="20"/>
              </w:rPr>
              <w:t>移動梯與施工架組合瞬間不穩定而倒塌。</w:t>
            </w:r>
          </w:p>
        </w:tc>
        <w:tc>
          <w:tcPr>
            <w:tcW w:w="675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94" w:type="dxa"/>
          </w:tcPr>
          <w:p>
            <w:pPr>
              <w:pStyle w:val="TableParagraph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277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59" w:val="left" w:leader="none"/>
              </w:tabs>
              <w:spacing w:line="225" w:lineRule="auto" w:before="4" w:after="0"/>
              <w:ind w:left="106" w:right="106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組合式平台達到不穩</w:t>
            </w:r>
            <w:r>
              <w:rPr>
                <w:sz w:val="20"/>
              </w:rPr>
              <w:t>定臨界點。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59" w:val="left" w:leader="none"/>
              </w:tabs>
              <w:spacing w:line="342" w:lineRule="exact" w:before="0" w:after="0"/>
              <w:ind w:left="358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施工架基底可能不平</w:t>
            </w:r>
          </w:p>
          <w:p>
            <w:pPr>
              <w:pStyle w:val="TableParagraph"/>
              <w:spacing w:line="326" w:lineRule="exact"/>
              <w:ind w:left="106"/>
              <w:rPr>
                <w:sz w:val="20"/>
              </w:rPr>
            </w:pPr>
            <w:r>
              <w:rPr>
                <w:sz w:val="20"/>
              </w:rPr>
              <w:t>整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在樓梯上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2065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59" w:val="left" w:leader="none"/>
              </w:tabs>
              <w:spacing w:line="225" w:lineRule="auto" w:before="4" w:after="0"/>
              <w:ind w:left="106" w:right="293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完全違反安全作</w:t>
            </w:r>
            <w:r>
              <w:rPr>
                <w:sz w:val="20"/>
              </w:rPr>
              <w:t>業原則。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59" w:val="left" w:leader="none"/>
              </w:tabs>
              <w:spacing w:line="342" w:lineRule="exact" w:before="0" w:after="0"/>
              <w:ind w:left="358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未進行作業前風</w:t>
            </w:r>
          </w:p>
          <w:p>
            <w:pPr>
              <w:pStyle w:val="TableParagraph"/>
              <w:spacing w:line="326" w:lineRule="exact"/>
              <w:ind w:left="106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險評估。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037" w:hRule="atLeast"/>
        </w:trPr>
        <w:tc>
          <w:tcPr>
            <w:tcW w:w="1048" w:type="dxa"/>
          </w:tcPr>
          <w:p>
            <w:pPr>
              <w:pStyle w:val="TableParagraph"/>
              <w:spacing w:line="260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113/9/20</w:t>
            </w:r>
          </w:p>
          <w:p>
            <w:pPr>
              <w:pStyle w:val="TableParagraph"/>
              <w:spacing w:line="362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9:00 </w:t>
            </w:r>
            <w:r>
              <w:rPr>
                <w:sz w:val="20"/>
              </w:rPr>
              <w:t>許</w:t>
            </w:r>
          </w:p>
        </w:tc>
        <w:tc>
          <w:tcPr>
            <w:tcW w:w="2291" w:type="dxa"/>
          </w:tcPr>
          <w:p>
            <w:pPr>
              <w:pStyle w:val="TableParagraph"/>
              <w:spacing w:line="225" w:lineRule="auto" w:before="4"/>
              <w:ind w:right="169"/>
              <w:rPr>
                <w:sz w:val="20"/>
              </w:rPr>
            </w:pPr>
            <w:r>
              <w:rPr>
                <w:sz w:val="20"/>
              </w:rPr>
              <w:t>罹災者連同移動梯自高處墜落，頭部撞擊扶手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與地面。</w:t>
            </w:r>
          </w:p>
        </w:tc>
        <w:tc>
          <w:tcPr>
            <w:tcW w:w="675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94" w:type="dxa"/>
          </w:tcPr>
          <w:p>
            <w:pPr>
              <w:pStyle w:val="TableParagraph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277" w:type="dxa"/>
          </w:tcPr>
          <w:p>
            <w:pPr>
              <w:pStyle w:val="TableParagraph"/>
              <w:spacing w:line="225" w:lineRule="auto" w:before="4"/>
              <w:ind w:left="106" w:right="157"/>
              <w:rPr>
                <w:sz w:val="20"/>
              </w:rPr>
            </w:pPr>
            <w:r>
              <w:rPr>
                <w:sz w:val="20"/>
              </w:rPr>
              <w:t>墜落過程中無任何防護與緩衝。</w:t>
            </w:r>
          </w:p>
        </w:tc>
        <w:tc>
          <w:tcPr>
            <w:tcW w:w="2065" w:type="dxa"/>
          </w:tcPr>
          <w:p>
            <w:pPr>
              <w:pStyle w:val="TableParagraph"/>
              <w:spacing w:line="225" w:lineRule="auto" w:before="4"/>
              <w:ind w:left="106" w:right="345"/>
              <w:rPr>
                <w:sz w:val="20"/>
              </w:rPr>
            </w:pPr>
            <w:r>
              <w:rPr>
                <w:sz w:val="20"/>
              </w:rPr>
              <w:t>傷勢集中於頭部要害。</w:t>
            </w:r>
          </w:p>
        </w:tc>
      </w:tr>
      <w:tr>
        <w:trPr>
          <w:trHeight w:val="691" w:hRule="atLeast"/>
        </w:trPr>
        <w:tc>
          <w:tcPr>
            <w:tcW w:w="1048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113/9/20</w:t>
            </w:r>
          </w:p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12:03</w:t>
            </w:r>
          </w:p>
        </w:tc>
        <w:tc>
          <w:tcPr>
            <w:tcW w:w="2291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罹災者經送醫急救後，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宣告不治死亡。</w:t>
            </w:r>
          </w:p>
        </w:tc>
        <w:tc>
          <w:tcPr>
            <w:tcW w:w="675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94" w:type="dxa"/>
          </w:tcPr>
          <w:p>
            <w:pPr>
              <w:pStyle w:val="TableParagraph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277" w:type="dxa"/>
          </w:tcPr>
          <w:p>
            <w:pPr>
              <w:pStyle w:val="TableParagraph"/>
              <w:spacing w:line="356" w:lineRule="exact"/>
              <w:ind w:left="106"/>
              <w:rPr>
                <w:sz w:val="20"/>
              </w:rPr>
            </w:pPr>
            <w:r>
              <w:rPr>
                <w:sz w:val="20"/>
              </w:rPr>
              <w:t>傷勢過重。</w:t>
            </w:r>
          </w:p>
        </w:tc>
        <w:tc>
          <w:tcPr>
            <w:tcW w:w="2065" w:type="dxa"/>
          </w:tcPr>
          <w:p>
            <w:pPr>
              <w:pStyle w:val="TableParagraph"/>
              <w:spacing w:line="346" w:lineRule="exact"/>
              <w:ind w:left="106"/>
              <w:rPr>
                <w:sz w:val="20"/>
              </w:rPr>
            </w:pPr>
            <w:r>
              <w:rPr>
                <w:sz w:val="20"/>
              </w:rPr>
              <w:t>高處墜落的衝擊力巨</w:t>
            </w:r>
          </w:p>
          <w:p>
            <w:pPr>
              <w:pStyle w:val="TableParagraph"/>
              <w:spacing w:line="326" w:lineRule="exact"/>
              <w:ind w:left="106"/>
              <w:rPr>
                <w:sz w:val="20"/>
              </w:rPr>
            </w:pPr>
            <w:r>
              <w:rPr>
                <w:sz w:val="20"/>
              </w:rPr>
              <w:t>大。</w:t>
            </w:r>
          </w:p>
        </w:tc>
      </w:tr>
    </w:tbl>
    <w:p>
      <w:pPr>
        <w:pStyle w:val="BodyText"/>
        <w:spacing w:before="8"/>
        <w:rPr>
          <w:sz w:val="22"/>
        </w:rPr>
      </w:pPr>
      <w:r>
        <w:rPr/>
        <w:pict>
          <v:group style="position:absolute;margin-left:63.779999pt;margin-top:22.620001pt;width:467.85pt;height:1.5pt;mso-position-horizontal-relative:page;mso-position-vertical-relative:paragraph;z-index:-952;mso-wrap-distance-left:0;mso-wrap-distance-right:0" coordorigin="1276,452" coordsize="9357,30">
            <v:line style="position:absolute" from="1276,467" to="10632,467" stroked="true" strokeweight="1.5pt" strokecolor="#9f9f9f">
              <v:stroke dashstyle="solid"/>
            </v:line>
            <v:rect style="position:absolute;left:1275;top:452;width:5;height:5" filled="true" fillcolor="#9f9f9f" stroked="false">
              <v:fill type="solid"/>
            </v:rect>
            <v:rect style="position:absolute;left:1275;top:452;width:5;height:5" filled="true" fillcolor="#9f9f9f" stroked="false">
              <v:fill type="solid"/>
            </v:rect>
            <v:line style="position:absolute" from="1280,455" to="10627,455" stroked="true" strokeweight=".239pt" strokecolor="#9f9f9f">
              <v:stroke dashstyle="solid"/>
            </v:line>
            <v:rect style="position:absolute;left:10627;top:452;width:5;height:5" filled="true" fillcolor="#e2e2e2" stroked="false">
              <v:fill type="solid"/>
            </v:rect>
            <v:rect style="position:absolute;left:10627;top:452;width:5;height:5" filled="true" fillcolor="#9f9f9f" stroked="false">
              <v:fill type="solid"/>
            </v:rect>
            <v:rect style="position:absolute;left:1275;top:457;width:5;height:21" filled="true" fillcolor="#9f9f9f" stroked="false">
              <v:fill type="solid"/>
            </v:rect>
            <v:rect style="position:absolute;left:10627;top:457;width:5;height:21" filled="true" fillcolor="#e2e2e2" stroked="false">
              <v:fill type="solid"/>
            </v:rect>
            <v:rect style="position:absolute;left:1275;top:477;width:5;height:5" filled="true" fillcolor="#9f9f9f" stroked="false">
              <v:fill type="solid"/>
            </v:rect>
            <v:rect style="position:absolute;left:1275;top:477;width:5;height:5" filled="true" fillcolor="#e2e2e2" stroked="false">
              <v:fill type="solid"/>
            </v:rect>
            <v:line style="position:absolute" from="1280,480" to="10627,480" stroked="true" strokeweight=".239pt" strokecolor="#e2e2e2">
              <v:stroke dashstyle="solid"/>
            </v:line>
            <v:rect style="position:absolute;left:10627;top:477;width:5;height:5" filled="true" fillcolor="#e2e2e2" stroked="false">
              <v:fill type="solid"/>
            </v:rect>
            <v:rect style="position:absolute;left:10627;top:477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三</w:t>
      </w:r>
      <w:r>
        <w:rPr>
          <w:rFonts w:ascii="Calibri" w:eastAsia="Calibri"/>
        </w:rPr>
        <w:t>. </w:t>
      </w:r>
      <w:r>
        <w:rPr/>
        <w:t>為何樹分析  </w:t>
      </w:r>
      <w:r>
        <w:rPr>
          <w:rFonts w:ascii="Calibri" w:eastAsia="Calibri"/>
        </w:rPr>
        <w:t>(Why-Tree)</w:t>
      </w:r>
    </w:p>
    <w:p>
      <w:pPr>
        <w:pStyle w:val="BodyText"/>
        <w:spacing w:line="428" w:lineRule="exact"/>
        <w:ind w:left="135"/>
      </w:pPr>
      <w:r>
        <w:rPr/>
        <w:t>本分析從最終的傷害事件開始，透過不斷追問「為什麼」來探究事件的根本原因。</w:t>
      </w:r>
    </w:p>
    <w:p>
      <w:pPr>
        <w:spacing w:after="0" w:line="428" w:lineRule="exact"/>
        <w:sectPr>
          <w:pgSz w:w="11910" w:h="16840"/>
          <w:pgMar w:top="1420" w:bottom="280" w:left="1140" w:right="116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899"/>
        <w:rPr>
          <w:sz w:val="20"/>
        </w:rPr>
      </w:pPr>
      <w:r>
        <w:rPr>
          <w:sz w:val="20"/>
        </w:rPr>
        <w:drawing>
          <wp:inline distT="0" distB="0" distL="0" distR="0">
            <wp:extent cx="5010763" cy="4325683"/>
            <wp:effectExtent l="0" t="0" r="0" b="0"/>
            <wp:docPr id="3" name="image2.png" descr="一張含有 文字, 螢幕擷取畫面, 圖表, 平行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763" cy="432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63.779999pt;margin-top:19.791pt;width:467.85pt;height:1.55pt;mso-position-horizontal-relative:page;mso-position-vertical-relative:paragraph;z-index:-928;mso-wrap-distance-left:0;mso-wrap-distance-right:0" coordorigin="1276,396" coordsize="9357,31">
            <v:line style="position:absolute" from="1276,411" to="10632,411" stroked="true" strokeweight="1.5pt" strokecolor="#9f9f9f">
              <v:stroke dashstyle="solid"/>
            </v:line>
            <v:rect style="position:absolute;left:1275;top:395;width:5;height:5" filled="true" fillcolor="#9f9f9f" stroked="false">
              <v:fill type="solid"/>
            </v:rect>
            <v:rect style="position:absolute;left:1275;top:395;width:5;height:5" filled="true" fillcolor="#9f9f9f" stroked="false">
              <v:fill type="solid"/>
            </v:rect>
            <v:line style="position:absolute" from="1280,398" to="10627,398" stroked="true" strokeweight=".239pt" strokecolor="#9f9f9f">
              <v:stroke dashstyle="solid"/>
            </v:line>
            <v:rect style="position:absolute;left:10627;top:395;width:5;height:5" filled="true" fillcolor="#e2e2e2" stroked="false">
              <v:fill type="solid"/>
            </v:rect>
            <v:rect style="position:absolute;left:10627;top:395;width:5;height:5" filled="true" fillcolor="#9f9f9f" stroked="false">
              <v:fill type="solid"/>
            </v:rect>
            <v:rect style="position:absolute;left:1275;top:400;width:5;height:21" filled="true" fillcolor="#9f9f9f" stroked="false">
              <v:fill type="solid"/>
            </v:rect>
            <v:rect style="position:absolute;left:10627;top:400;width:5;height:21" filled="true" fillcolor="#e2e2e2" stroked="false">
              <v:fill type="solid"/>
            </v:rect>
            <v:rect style="position:absolute;left:1275;top:421;width:5;height:5" filled="true" fillcolor="#9f9f9f" stroked="false">
              <v:fill type="solid"/>
            </v:rect>
            <v:rect style="position:absolute;left:1275;top:421;width:5;height:5" filled="true" fillcolor="#e2e2e2" stroked="false">
              <v:fill type="solid"/>
            </v:rect>
            <v:line style="position:absolute" from="1280,423" to="10627,423" stroked="true" strokeweight=".239pt" strokecolor="#e2e2e2">
              <v:stroke dashstyle="solid"/>
            </v:line>
            <v:rect style="position:absolute;left:10627;top:421;width:5;height:5" filled="true" fillcolor="#e2e2e2" stroked="false">
              <v:fill type="solid"/>
            </v:rect>
            <v:rect style="position:absolute;left:10627;top:421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四</w:t>
      </w:r>
      <w:r>
        <w:rPr>
          <w:rFonts w:ascii="Calibri" w:eastAsia="Calibri"/>
        </w:rPr>
        <w:t>. </w:t>
      </w:r>
      <w:r>
        <w:rPr/>
        <w:t>屏障分析  </w:t>
      </w:r>
      <w:r>
        <w:rPr>
          <w:rFonts w:ascii="Calibri" w:eastAsia="Calibri"/>
        </w:rPr>
        <w:t>(Barrier Analysis)</w:t>
      </w:r>
    </w:p>
    <w:p>
      <w:pPr>
        <w:pStyle w:val="BodyText"/>
        <w:spacing w:line="415" w:lineRule="exact"/>
        <w:ind w:left="135"/>
      </w:pPr>
      <w:r>
        <w:rPr/>
        <w:t>本分析旨在識別應有但失效、缺失或不足的屏障，導致危害接觸到目標。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  <w:tab w:pos="856" w:val="left" w:leader="none"/>
        </w:tabs>
        <w:spacing w:line="415" w:lineRule="exact" w:before="0" w:after="0"/>
        <w:ind w:left="855" w:right="0" w:hanging="360"/>
        <w:jc w:val="left"/>
        <w:rPr>
          <w:rFonts w:ascii="Calibri" w:hAnsi="Calibri" w:eastAsia="Calibri"/>
          <w:sz w:val="24"/>
        </w:rPr>
      </w:pPr>
      <w:r>
        <w:rPr>
          <w:b/>
          <w:sz w:val="24"/>
        </w:rPr>
        <w:t>危害： </w:t>
      </w:r>
      <w:r>
        <w:rPr>
          <w:sz w:val="24"/>
        </w:rPr>
        <w:t>位能 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從約 </w:t>
      </w:r>
      <w:r>
        <w:rPr>
          <w:rFonts w:ascii="Calibri" w:hAnsi="Calibri" w:eastAsia="Calibri"/>
          <w:sz w:val="24"/>
        </w:rPr>
        <w:t>6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公尺高處墜落的重力</w:t>
      </w:r>
      <w:r>
        <w:rPr>
          <w:rFonts w:ascii="Calibri" w:hAnsi="Calibri" w:eastAsia="Calibri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  <w:tab w:pos="856" w:val="left" w:leader="none"/>
        </w:tabs>
        <w:spacing w:line="428" w:lineRule="exact" w:before="0" w:after="0"/>
        <w:ind w:left="855" w:right="0" w:hanging="360"/>
        <w:jc w:val="left"/>
        <w:rPr>
          <w:sz w:val="24"/>
        </w:rPr>
      </w:pPr>
      <w:r>
        <w:rPr>
          <w:b/>
          <w:sz w:val="24"/>
        </w:rPr>
        <w:t>目標： </w:t>
      </w:r>
      <w:r>
        <w:rPr>
          <w:sz w:val="24"/>
        </w:rPr>
        <w:t>罹災者陳員</w:t>
      </w: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7"/>
        <w:gridCol w:w="1491"/>
        <w:gridCol w:w="917"/>
        <w:gridCol w:w="3047"/>
        <w:gridCol w:w="2921"/>
      </w:tblGrid>
      <w:tr>
        <w:trPr>
          <w:trHeight w:val="1384" w:hRule="atLeast"/>
        </w:trPr>
        <w:tc>
          <w:tcPr>
            <w:tcW w:w="967" w:type="dxa"/>
          </w:tcPr>
          <w:p>
            <w:pPr>
              <w:pStyle w:val="TableParagraph"/>
              <w:spacing w:line="225" w:lineRule="auto"/>
              <w:ind w:right="247"/>
              <w:rPr>
                <w:sz w:val="20"/>
              </w:rPr>
            </w:pPr>
            <w:r>
              <w:rPr>
                <w:sz w:val="20"/>
              </w:rPr>
              <w:t>屏障類型</w:t>
            </w:r>
          </w:p>
        </w:tc>
        <w:tc>
          <w:tcPr>
            <w:tcW w:w="1491" w:type="dxa"/>
          </w:tcPr>
          <w:p>
            <w:pPr>
              <w:pStyle w:val="TableParagraph"/>
              <w:spacing w:line="345" w:lineRule="exact"/>
              <w:rPr>
                <w:sz w:val="20"/>
              </w:rPr>
            </w:pPr>
            <w:r>
              <w:rPr>
                <w:sz w:val="20"/>
              </w:rPr>
              <w:t>屏障</w:t>
            </w:r>
          </w:p>
        </w:tc>
        <w:tc>
          <w:tcPr>
            <w:tcW w:w="917" w:type="dxa"/>
          </w:tcPr>
          <w:p>
            <w:pPr>
              <w:pStyle w:val="TableParagraph"/>
              <w:spacing w:line="225" w:lineRule="auto"/>
              <w:ind w:left="109" w:right="195"/>
              <w:jc w:val="both"/>
              <w:rPr>
                <w:sz w:val="20"/>
              </w:rPr>
            </w:pPr>
            <w:r>
              <w:rPr>
                <w:sz w:val="20"/>
              </w:rPr>
              <w:t>屏障表現 </w:t>
            </w:r>
            <w:r>
              <w:rPr>
                <w:rFonts w:ascii="Segoe UI" w:eastAsia="Segoe UI"/>
                <w:sz w:val="20"/>
              </w:rPr>
              <w:t>( </w:t>
            </w:r>
            <w:r>
              <w:rPr>
                <w:sz w:val="20"/>
              </w:rPr>
              <w:t>事故時狀</w:t>
            </w:r>
          </w:p>
          <w:p>
            <w:pPr>
              <w:pStyle w:val="TableParagraph"/>
              <w:spacing w:line="334" w:lineRule="exact"/>
              <w:ind w:left="109"/>
              <w:jc w:val="both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態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3047" w:type="dxa"/>
          </w:tcPr>
          <w:p>
            <w:pPr>
              <w:pStyle w:val="TableParagraph"/>
              <w:spacing w:line="345" w:lineRule="exact"/>
              <w:ind w:left="110"/>
              <w:rPr>
                <w:sz w:val="20"/>
              </w:rPr>
            </w:pPr>
            <w:r>
              <w:rPr>
                <w:sz w:val="20"/>
              </w:rPr>
              <w:t>屏障失效原因</w:t>
            </w:r>
          </w:p>
        </w:tc>
        <w:tc>
          <w:tcPr>
            <w:tcW w:w="2921" w:type="dxa"/>
          </w:tcPr>
          <w:p>
            <w:pPr>
              <w:pStyle w:val="TableParagraph"/>
              <w:spacing w:line="225" w:lineRule="auto"/>
              <w:ind w:left="110" w:right="238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屏障如何影響事故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失效的後果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3" w:hRule="atLeast"/>
        </w:trPr>
        <w:tc>
          <w:tcPr>
            <w:tcW w:w="967" w:type="dxa"/>
          </w:tcPr>
          <w:p>
            <w:pPr>
              <w:pStyle w:val="TableParagraph"/>
              <w:spacing w:line="225" w:lineRule="auto"/>
              <w:ind w:right="247"/>
              <w:rPr>
                <w:b/>
                <w:sz w:val="20"/>
              </w:rPr>
            </w:pPr>
            <w:r>
              <w:rPr>
                <w:b/>
                <w:sz w:val="20"/>
              </w:rPr>
              <w:t>工程控制</w:t>
            </w:r>
          </w:p>
        </w:tc>
        <w:tc>
          <w:tcPr>
            <w:tcW w:w="1491" w:type="dxa"/>
          </w:tcPr>
          <w:p>
            <w:pPr>
              <w:pStyle w:val="TableParagraph"/>
              <w:spacing w:line="225" w:lineRule="auto"/>
              <w:ind w:left="108" w:right="101" w:hanging="1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1. </w:t>
            </w:r>
            <w:r>
              <w:rPr>
                <w:b/>
                <w:sz w:val="20"/>
              </w:rPr>
              <w:t>合適的工作平台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最關鍵屏障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917" w:type="dxa"/>
          </w:tcPr>
          <w:p>
            <w:pPr>
              <w:pStyle w:val="TableParagraph"/>
              <w:spacing w:line="225" w:lineRule="auto"/>
              <w:ind w:left="109" w:right="193"/>
              <w:rPr>
                <w:b/>
                <w:sz w:val="20"/>
              </w:rPr>
            </w:pPr>
            <w:r>
              <w:rPr>
                <w:b/>
                <w:sz w:val="20"/>
              </w:rPr>
              <w:t>完全不存在</w:t>
            </w:r>
          </w:p>
        </w:tc>
        <w:tc>
          <w:tcPr>
            <w:tcW w:w="3047" w:type="dxa"/>
          </w:tcPr>
          <w:p>
            <w:pPr>
              <w:pStyle w:val="TableParagraph"/>
              <w:spacing w:line="225" w:lineRule="auto"/>
              <w:ind w:left="110" w:right="123"/>
              <w:rPr>
                <w:sz w:val="20"/>
              </w:rPr>
            </w:pPr>
            <w:r>
              <w:rPr>
                <w:sz w:val="20"/>
              </w:rPr>
              <w:t>未能提供一個單一、穩固且高度足夠的作業平台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如移動式起重機、</w:t>
            </w:r>
            <w:r>
              <w:rPr>
                <w:rFonts w:ascii="Segoe UI" w:eastAsia="Segoe UI"/>
                <w:sz w:val="20"/>
              </w:rPr>
              <w:t>6 </w:t>
            </w:r>
            <w:r>
              <w:rPr>
                <w:sz w:val="20"/>
              </w:rPr>
              <w:t>米高框式施工架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2921" w:type="dxa"/>
          </w:tcPr>
          <w:p>
            <w:pPr>
              <w:pStyle w:val="TableParagraph"/>
              <w:spacing w:line="225" w:lineRule="auto"/>
              <w:ind w:left="110" w:right="199"/>
              <w:rPr>
                <w:sz w:val="20"/>
              </w:rPr>
            </w:pPr>
            <w:r>
              <w:rPr>
                <w:b/>
                <w:sz w:val="20"/>
              </w:rPr>
              <w:t>最致命的屏障失效</w:t>
            </w:r>
            <w:r>
              <w:rPr>
                <w:sz w:val="20"/>
              </w:rPr>
              <w:t>。這直接導致勞工為了完成任務，被迫</w:t>
            </w:r>
          </w:p>
          <w:p>
            <w:pPr>
              <w:pStyle w:val="TableParagraph"/>
              <w:spacing w:line="342" w:lineRule="exact"/>
              <w:ind w:left="110"/>
              <w:rPr>
                <w:sz w:val="20"/>
              </w:rPr>
            </w:pPr>
            <w:r>
              <w:rPr>
                <w:sz w:val="20"/>
              </w:rPr>
              <w:t>「創造」出一個極端危險的臨</w:t>
            </w:r>
          </w:p>
          <w:p>
            <w:pPr>
              <w:pStyle w:val="TableParagraph"/>
              <w:spacing w:line="338" w:lineRule="exact"/>
              <w:ind w:left="110"/>
              <w:rPr>
                <w:sz w:val="20"/>
              </w:rPr>
            </w:pPr>
            <w:r>
              <w:rPr>
                <w:sz w:val="20"/>
              </w:rPr>
              <w:t>時作業平台。</w:t>
            </w:r>
          </w:p>
        </w:tc>
      </w:tr>
      <w:tr>
        <w:trPr>
          <w:trHeight w:val="1384" w:hRule="atLeast"/>
        </w:trPr>
        <w:tc>
          <w:tcPr>
            <w:tcW w:w="967" w:type="dxa"/>
          </w:tcPr>
          <w:p>
            <w:pPr>
              <w:pStyle w:val="TableParagraph"/>
              <w:spacing w:line="225" w:lineRule="auto"/>
              <w:ind w:right="247"/>
              <w:rPr>
                <w:b/>
                <w:sz w:val="20"/>
              </w:rPr>
            </w:pPr>
            <w:r>
              <w:rPr>
                <w:b/>
                <w:sz w:val="20"/>
              </w:rPr>
              <w:t>工程控制</w:t>
            </w:r>
          </w:p>
        </w:tc>
        <w:tc>
          <w:tcPr>
            <w:tcW w:w="1491" w:type="dxa"/>
          </w:tcPr>
          <w:p>
            <w:pPr>
              <w:pStyle w:val="TableParagraph"/>
              <w:spacing w:line="225" w:lineRule="auto"/>
              <w:ind w:left="108" w:right="101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2. </w:t>
            </w:r>
            <w:r>
              <w:rPr>
                <w:b/>
                <w:sz w:val="20"/>
              </w:rPr>
              <w:t>施工架的正確搭設與穩定</w:t>
            </w:r>
          </w:p>
        </w:tc>
        <w:tc>
          <w:tcPr>
            <w:tcW w:w="917" w:type="dxa"/>
          </w:tcPr>
          <w:p>
            <w:pPr>
              <w:pStyle w:val="TableParagraph"/>
              <w:spacing w:line="225" w:lineRule="auto"/>
              <w:ind w:left="109" w:right="193"/>
              <w:rPr>
                <w:b/>
                <w:sz w:val="20"/>
              </w:rPr>
            </w:pPr>
            <w:r>
              <w:rPr>
                <w:b/>
                <w:sz w:val="20"/>
              </w:rPr>
              <w:t>完全失效</w:t>
            </w:r>
          </w:p>
        </w:tc>
        <w:tc>
          <w:tcPr>
            <w:tcW w:w="3047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63" w:val="left" w:leader="none"/>
              </w:tabs>
              <w:spacing w:line="225" w:lineRule="auto" w:before="0" w:after="0"/>
              <w:ind w:left="110" w:right="472" w:firstLine="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施工架架設於不平的樓梯</w:t>
            </w:r>
            <w:r>
              <w:rPr>
                <w:sz w:val="20"/>
              </w:rPr>
              <w:t>上。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3" w:val="left" w:leader="none"/>
              </w:tabs>
              <w:spacing w:line="342" w:lineRule="exact" w:before="0" w:after="0"/>
              <w:ind w:left="362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採用徒手扶持此一無效的穩</w:t>
            </w:r>
          </w:p>
          <w:p>
            <w:pPr>
              <w:pStyle w:val="TableParagraph"/>
              <w:spacing w:line="339" w:lineRule="exact"/>
              <w:ind w:left="110"/>
              <w:rPr>
                <w:sz w:val="20"/>
              </w:rPr>
            </w:pPr>
            <w:r>
              <w:rPr>
                <w:sz w:val="20"/>
              </w:rPr>
              <w:t>定方法 。</w:t>
            </w:r>
          </w:p>
        </w:tc>
        <w:tc>
          <w:tcPr>
            <w:tcW w:w="2921" w:type="dxa"/>
          </w:tcPr>
          <w:p>
            <w:pPr>
              <w:pStyle w:val="TableParagraph"/>
              <w:spacing w:line="225" w:lineRule="auto"/>
              <w:ind w:left="110" w:right="197"/>
              <w:jc w:val="both"/>
              <w:rPr>
                <w:sz w:val="20"/>
              </w:rPr>
            </w:pPr>
            <w:r>
              <w:rPr>
                <w:sz w:val="20"/>
              </w:rPr>
              <w:t>使施工架本身就處於極不穩定的狀態，任何微小的外力都可能導致其傾倒。</w:t>
            </w:r>
          </w:p>
        </w:tc>
      </w:tr>
    </w:tbl>
    <w:p>
      <w:pPr>
        <w:spacing w:after="0" w:line="225" w:lineRule="auto"/>
        <w:jc w:val="both"/>
        <w:rPr>
          <w:sz w:val="20"/>
        </w:rPr>
        <w:sectPr>
          <w:pgSz w:w="11910" w:h="16840"/>
          <w:pgMar w:top="1580" w:bottom="280" w:left="1140" w:right="1160"/>
        </w:sect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7"/>
        <w:gridCol w:w="1491"/>
        <w:gridCol w:w="917"/>
        <w:gridCol w:w="3047"/>
        <w:gridCol w:w="2921"/>
      </w:tblGrid>
      <w:tr>
        <w:trPr>
          <w:trHeight w:val="1383" w:hRule="atLeast"/>
        </w:trPr>
        <w:tc>
          <w:tcPr>
            <w:tcW w:w="967" w:type="dxa"/>
          </w:tcPr>
          <w:p>
            <w:pPr>
              <w:pStyle w:val="TableParagraph"/>
              <w:spacing w:line="228" w:lineRule="auto" w:before="1"/>
              <w:ind w:right="247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個人防護具</w:t>
            </w:r>
            <w:r>
              <w:rPr>
                <w:rFonts w:ascii="Segoe UI" w:eastAsia="Segoe UI"/>
                <w:b/>
                <w:sz w:val="20"/>
              </w:rPr>
              <w:t>(PPE)</w:t>
            </w:r>
          </w:p>
        </w:tc>
        <w:tc>
          <w:tcPr>
            <w:tcW w:w="1491" w:type="dxa"/>
          </w:tcPr>
          <w:p>
            <w:pPr>
              <w:pStyle w:val="TableParagraph"/>
              <w:spacing w:line="225" w:lineRule="auto" w:before="4"/>
              <w:ind w:left="108" w:right="101" w:hanging="1"/>
              <w:rPr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3. </w:t>
            </w:r>
            <w:r>
              <w:rPr>
                <w:b/>
                <w:sz w:val="20"/>
              </w:rPr>
              <w:t>個人防墜系統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如安全</w:t>
            </w:r>
          </w:p>
          <w:p>
            <w:pPr>
              <w:pStyle w:val="TableParagraph"/>
              <w:spacing w:line="353" w:lineRule="exact"/>
              <w:ind w:left="108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帶、安全母索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917" w:type="dxa"/>
          </w:tcPr>
          <w:p>
            <w:pPr>
              <w:pStyle w:val="TableParagraph"/>
              <w:spacing w:line="225" w:lineRule="auto" w:before="4"/>
              <w:ind w:left="109" w:right="193"/>
              <w:rPr>
                <w:sz w:val="20"/>
              </w:rPr>
            </w:pPr>
            <w:r>
              <w:rPr>
                <w:b/>
                <w:sz w:val="20"/>
              </w:rPr>
              <w:t>完全失效 </w:t>
            </w:r>
            <w:r>
              <w:rPr>
                <w:rFonts w:ascii="Segoe UI" w:eastAsia="Segoe UI"/>
                <w:sz w:val="20"/>
              </w:rPr>
              <w:t>( </w:t>
            </w:r>
            <w:r>
              <w:rPr>
                <w:sz w:val="20"/>
              </w:rPr>
              <w:t>未</w:t>
            </w:r>
          </w:p>
          <w:p>
            <w:pPr>
              <w:pStyle w:val="TableParagraph"/>
              <w:spacing w:line="353" w:lineRule="exact"/>
              <w:ind w:left="109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使用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3047" w:type="dxa"/>
          </w:tcPr>
          <w:p>
            <w:pPr>
              <w:pStyle w:val="TableParagraph"/>
              <w:spacing w:line="225" w:lineRule="auto" w:before="4"/>
              <w:ind w:left="110" w:right="123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未規劃、未提供、未要求使用， 現場亦無合適的掛置錨點。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921" w:type="dxa"/>
          </w:tcPr>
          <w:p>
            <w:pPr>
              <w:pStyle w:val="TableParagraph"/>
              <w:spacing w:line="225" w:lineRule="auto" w:before="4"/>
              <w:ind w:left="110" w:right="198"/>
              <w:jc w:val="both"/>
              <w:rPr>
                <w:sz w:val="20"/>
              </w:rPr>
            </w:pPr>
            <w:r>
              <w:rPr>
                <w:sz w:val="20"/>
              </w:rPr>
              <w:t>移除了保護人員的</w:t>
            </w:r>
            <w:r>
              <w:rPr>
                <w:b/>
                <w:sz w:val="20"/>
              </w:rPr>
              <w:t>最後一道防線</w:t>
            </w:r>
            <w:r>
              <w:rPr>
                <w:sz w:val="20"/>
              </w:rPr>
              <w:t>。若有正確使用，即使平台倒塌，也能防止人員直接墜落</w:t>
            </w:r>
          </w:p>
          <w:p>
            <w:pPr>
              <w:pStyle w:val="TableParagraph"/>
              <w:spacing w:line="321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地面。</w:t>
            </w:r>
          </w:p>
        </w:tc>
      </w:tr>
      <w:tr>
        <w:trPr>
          <w:trHeight w:val="1384" w:hRule="atLeast"/>
        </w:trPr>
        <w:tc>
          <w:tcPr>
            <w:tcW w:w="967" w:type="dxa"/>
          </w:tcPr>
          <w:p>
            <w:pPr>
              <w:pStyle w:val="TableParagraph"/>
              <w:spacing w:line="225" w:lineRule="auto" w:before="5"/>
              <w:ind w:right="15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b/>
                <w:sz w:val="20"/>
              </w:rPr>
              <w:t>程序性</w:t>
            </w:r>
          </w:p>
        </w:tc>
        <w:tc>
          <w:tcPr>
            <w:tcW w:w="1491" w:type="dxa"/>
          </w:tcPr>
          <w:p>
            <w:pPr>
              <w:pStyle w:val="TableParagraph"/>
              <w:spacing w:line="225" w:lineRule="auto" w:before="5"/>
              <w:ind w:left="108" w:right="101" w:hanging="1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4. </w:t>
            </w:r>
            <w:r>
              <w:rPr>
                <w:b/>
                <w:sz w:val="20"/>
              </w:rPr>
              <w:t>安全作業程序 </w:t>
            </w:r>
            <w:r>
              <w:rPr>
                <w:rFonts w:ascii="Segoe UI" w:eastAsia="Segoe UI"/>
                <w:b/>
                <w:sz w:val="20"/>
              </w:rPr>
              <w:t>(SOP)</w:t>
            </w:r>
          </w:p>
        </w:tc>
        <w:tc>
          <w:tcPr>
            <w:tcW w:w="917" w:type="dxa"/>
          </w:tcPr>
          <w:p>
            <w:pPr>
              <w:pStyle w:val="TableParagraph"/>
              <w:spacing w:line="225" w:lineRule="auto" w:before="5"/>
              <w:ind w:left="109" w:right="193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不存在或無效</w:t>
            </w:r>
          </w:p>
          <w:p>
            <w:pPr>
              <w:pStyle w:val="TableParagraph"/>
              <w:spacing w:line="352" w:lineRule="exact"/>
              <w:ind w:left="109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pacing w:val="-1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3047" w:type="dxa"/>
          </w:tcPr>
          <w:p>
            <w:pPr>
              <w:pStyle w:val="TableParagraph"/>
              <w:spacing w:line="225" w:lineRule="auto" w:before="5"/>
              <w:ind w:left="110" w:right="123"/>
              <w:jc w:val="both"/>
              <w:rPr>
                <w:sz w:val="20"/>
              </w:rPr>
            </w:pPr>
            <w:r>
              <w:rPr>
                <w:sz w:val="20"/>
              </w:rPr>
              <w:t>未針對「樓梯間高處燈具更換」此類特殊、高風險作業，制定標準化的安全作業程序。</w:t>
            </w:r>
          </w:p>
        </w:tc>
        <w:tc>
          <w:tcPr>
            <w:tcW w:w="2921" w:type="dxa"/>
          </w:tcPr>
          <w:p>
            <w:pPr>
              <w:pStyle w:val="TableParagraph"/>
              <w:spacing w:line="225" w:lineRule="auto" w:before="5"/>
              <w:ind w:left="110" w:right="198"/>
              <w:jc w:val="both"/>
              <w:rPr>
                <w:sz w:val="20"/>
              </w:rPr>
            </w:pPr>
            <w:r>
              <w:rPr>
                <w:sz w:val="20"/>
              </w:rPr>
              <w:t>缺乏明確的作業指南，導致勞工只能依賴個人判斷和現場可用的不安全工具來「解決問</w:t>
            </w:r>
          </w:p>
          <w:p>
            <w:pPr>
              <w:pStyle w:val="TableParagraph"/>
              <w:spacing w:line="322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題」。</w:t>
            </w:r>
          </w:p>
        </w:tc>
      </w:tr>
      <w:tr>
        <w:trPr>
          <w:trHeight w:val="1383" w:hRule="atLeast"/>
        </w:trPr>
        <w:tc>
          <w:tcPr>
            <w:tcW w:w="967" w:type="dxa"/>
          </w:tcPr>
          <w:p>
            <w:pPr>
              <w:pStyle w:val="TableParagraph"/>
              <w:spacing w:line="225" w:lineRule="auto" w:before="4"/>
              <w:ind w:right="247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</w:p>
        </w:tc>
        <w:tc>
          <w:tcPr>
            <w:tcW w:w="1491" w:type="dxa"/>
          </w:tcPr>
          <w:p>
            <w:pPr>
              <w:pStyle w:val="TableParagraph"/>
              <w:spacing w:line="225" w:lineRule="auto" w:before="4"/>
              <w:ind w:left="108" w:right="101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5. </w:t>
            </w:r>
            <w:r>
              <w:rPr>
                <w:b/>
                <w:sz w:val="20"/>
              </w:rPr>
              <w:t>作業前規劃與風險評估</w:t>
            </w:r>
          </w:p>
        </w:tc>
        <w:tc>
          <w:tcPr>
            <w:tcW w:w="917" w:type="dxa"/>
          </w:tcPr>
          <w:p>
            <w:pPr>
              <w:pStyle w:val="TableParagraph"/>
              <w:spacing w:line="225" w:lineRule="auto" w:before="4"/>
              <w:ind w:left="109" w:right="193"/>
              <w:rPr>
                <w:sz w:val="20"/>
              </w:rPr>
            </w:pPr>
            <w:r>
              <w:rPr>
                <w:b/>
                <w:sz w:val="20"/>
              </w:rPr>
              <w:t>嚴重不足 </w:t>
            </w:r>
            <w:r>
              <w:rPr>
                <w:rFonts w:ascii="Segoe UI" w:eastAsia="Segoe UI"/>
                <w:sz w:val="20"/>
              </w:rPr>
              <w:t>( </w:t>
            </w:r>
            <w:r>
              <w:rPr>
                <w:sz w:val="20"/>
              </w:rPr>
              <w:t>推</w:t>
            </w:r>
          </w:p>
          <w:p>
            <w:pPr>
              <w:pStyle w:val="TableParagraph"/>
              <w:spacing w:line="352" w:lineRule="exact"/>
              <w:ind w:left="109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斷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3047" w:type="dxa"/>
          </w:tcPr>
          <w:p>
            <w:pPr>
              <w:pStyle w:val="TableParagraph"/>
              <w:spacing w:line="345" w:lineRule="exact"/>
              <w:ind w:left="110"/>
              <w:rPr>
                <w:sz w:val="20"/>
              </w:rPr>
            </w:pPr>
            <w:r>
              <w:rPr>
                <w:sz w:val="20"/>
              </w:rPr>
              <w:t>管理階層與作業人員未能辨識出</w:t>
            </w:r>
          </w:p>
          <w:p>
            <w:pPr>
              <w:pStyle w:val="TableParagraph"/>
              <w:spacing w:line="225" w:lineRule="auto" w:before="5"/>
              <w:ind w:left="110" w:right="123"/>
              <w:rPr>
                <w:sz w:val="20"/>
              </w:rPr>
            </w:pPr>
            <w:r>
              <w:rPr>
                <w:sz w:val="20"/>
              </w:rPr>
              <w:t>「設備不足」及「架上架」是致命性危害。</w:t>
            </w:r>
          </w:p>
        </w:tc>
        <w:tc>
          <w:tcPr>
            <w:tcW w:w="2921" w:type="dxa"/>
          </w:tcPr>
          <w:p>
            <w:pPr>
              <w:pStyle w:val="TableParagraph"/>
              <w:spacing w:line="225" w:lineRule="auto" w:before="4"/>
              <w:ind w:left="110" w:right="198"/>
              <w:jc w:val="both"/>
              <w:rPr>
                <w:sz w:val="20"/>
              </w:rPr>
            </w:pPr>
            <w:r>
              <w:rPr>
                <w:sz w:val="20"/>
              </w:rPr>
              <w:t>因為沒有辨識出風險，所以完全沒有規劃任何對應的控制措施（屏障），導致作業在失控</w:t>
            </w:r>
          </w:p>
          <w:p>
            <w:pPr>
              <w:pStyle w:val="TableParagraph"/>
              <w:spacing w:line="322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狀態下進行。</w:t>
            </w:r>
          </w:p>
        </w:tc>
      </w:tr>
      <w:tr>
        <w:trPr>
          <w:trHeight w:val="1384" w:hRule="atLeast"/>
        </w:trPr>
        <w:tc>
          <w:tcPr>
            <w:tcW w:w="967" w:type="dxa"/>
          </w:tcPr>
          <w:p>
            <w:pPr>
              <w:pStyle w:val="TableParagraph"/>
              <w:spacing w:line="225" w:lineRule="auto" w:before="4"/>
              <w:ind w:right="247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</w:p>
        </w:tc>
        <w:tc>
          <w:tcPr>
            <w:tcW w:w="1491" w:type="dxa"/>
          </w:tcPr>
          <w:p>
            <w:pPr>
              <w:pStyle w:val="TableParagraph"/>
              <w:spacing w:line="225" w:lineRule="auto" w:before="4"/>
              <w:ind w:left="108" w:right="101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6. </w:t>
            </w:r>
            <w:r>
              <w:rPr>
                <w:b/>
                <w:sz w:val="20"/>
              </w:rPr>
              <w:t>現場作業監督</w:t>
            </w:r>
          </w:p>
        </w:tc>
        <w:tc>
          <w:tcPr>
            <w:tcW w:w="917" w:type="dxa"/>
          </w:tcPr>
          <w:p>
            <w:pPr>
              <w:pStyle w:val="TableParagraph"/>
              <w:spacing w:line="356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失效</w:t>
            </w:r>
          </w:p>
        </w:tc>
        <w:tc>
          <w:tcPr>
            <w:tcW w:w="3047" w:type="dxa"/>
          </w:tcPr>
          <w:p>
            <w:pPr>
              <w:pStyle w:val="TableParagraph"/>
              <w:spacing w:line="346" w:lineRule="exact"/>
              <w:ind w:left="110"/>
              <w:rPr>
                <w:sz w:val="20"/>
              </w:rPr>
            </w:pPr>
            <w:r>
              <w:rPr>
                <w:spacing w:val="-1"/>
                <w:sz w:val="20"/>
              </w:rPr>
              <w:t>同事李員雖在場，但其角色是</w:t>
            </w:r>
          </w:p>
          <w:p>
            <w:pPr>
              <w:pStyle w:val="TableParagraph"/>
              <w:spacing w:line="346" w:lineRule="exact"/>
              <w:ind w:left="110"/>
              <w:rPr>
                <w:sz w:val="20"/>
              </w:rPr>
            </w:pPr>
            <w:r>
              <w:rPr>
                <w:spacing w:val="-1"/>
                <w:sz w:val="20"/>
              </w:rPr>
              <w:t>「協助」此不安全行為，而非</w:t>
            </w:r>
          </w:p>
          <w:p>
            <w:pPr>
              <w:pStyle w:val="TableParagraph"/>
              <w:spacing w:line="346" w:lineRule="exact"/>
              <w:ind w:left="110"/>
              <w:rPr>
                <w:sz w:val="20"/>
              </w:rPr>
            </w:pPr>
            <w:r>
              <w:rPr>
                <w:sz w:val="20"/>
              </w:rPr>
              <w:t>「監督」並制止，顯示缺乏具備</w:t>
            </w:r>
          </w:p>
          <w:p>
            <w:pPr>
              <w:pStyle w:val="TableParagraph"/>
              <w:spacing w:line="327" w:lineRule="exact"/>
              <w:ind w:left="110"/>
              <w:rPr>
                <w:sz w:val="20"/>
              </w:rPr>
            </w:pPr>
            <w:r>
              <w:rPr>
                <w:sz w:val="20"/>
              </w:rPr>
              <w:t>安全職能的監督者。</w:t>
            </w:r>
          </w:p>
        </w:tc>
        <w:tc>
          <w:tcPr>
            <w:tcW w:w="2921" w:type="dxa"/>
          </w:tcPr>
          <w:p>
            <w:pPr>
              <w:pStyle w:val="TableParagraph"/>
              <w:spacing w:line="225" w:lineRule="auto" w:before="4"/>
              <w:ind w:left="110" w:right="197"/>
              <w:rPr>
                <w:sz w:val="20"/>
              </w:rPr>
            </w:pPr>
            <w:r>
              <w:rPr>
                <w:spacing w:val="-2"/>
                <w:sz w:val="20"/>
              </w:rPr>
              <w:t>監督的失效，讓一連串致命的</w:t>
            </w:r>
            <w:r>
              <w:rPr>
                <w:sz w:val="20"/>
              </w:rPr>
              <w:t>錯誤決策與行為得以持續進 行，直至災難發生。</w:t>
            </w:r>
          </w:p>
        </w:tc>
      </w:tr>
    </w:tbl>
    <w:p>
      <w:pPr>
        <w:pStyle w:val="BodyText"/>
        <w:spacing w:before="8"/>
        <w:rPr>
          <w:sz w:val="22"/>
        </w:rPr>
      </w:pPr>
      <w:r>
        <w:rPr/>
        <w:pict>
          <v:group style="position:absolute;margin-left:63.779999pt;margin-top:22.610001pt;width:467.85pt;height:1.55pt;mso-position-horizontal-relative:page;mso-position-vertical-relative:paragraph;z-index:-904;mso-wrap-distance-left:0;mso-wrap-distance-right:0" coordorigin="1276,452" coordsize="9357,31">
            <v:line style="position:absolute" from="1276,467" to="10632,467" stroked="true" strokeweight="1.5pt" strokecolor="#9f9f9f">
              <v:stroke dashstyle="solid"/>
            </v:line>
            <v:rect style="position:absolute;left:1275;top:452;width:5;height:5" filled="true" fillcolor="#9f9f9f" stroked="false">
              <v:fill type="solid"/>
            </v:rect>
            <v:rect style="position:absolute;left:1275;top:452;width:5;height:5" filled="true" fillcolor="#9f9f9f" stroked="false">
              <v:fill type="solid"/>
            </v:rect>
            <v:line style="position:absolute" from="1280,455" to="10627,455" stroked="true" strokeweight=".24pt" strokecolor="#9f9f9f">
              <v:stroke dashstyle="solid"/>
            </v:line>
            <v:rect style="position:absolute;left:10627;top:452;width:5;height:5" filled="true" fillcolor="#e2e2e2" stroked="false">
              <v:fill type="solid"/>
            </v:rect>
            <v:rect style="position:absolute;left:10627;top:452;width:5;height:5" filled="true" fillcolor="#9f9f9f" stroked="false">
              <v:fill type="solid"/>
            </v:rect>
            <v:rect style="position:absolute;left:1275;top:457;width:5;height:21" filled="true" fillcolor="#9f9f9f" stroked="false">
              <v:fill type="solid"/>
            </v:rect>
            <v:rect style="position:absolute;left:10627;top:457;width:5;height:21" filled="true" fillcolor="#e2e2e2" stroked="false">
              <v:fill type="solid"/>
            </v:rect>
            <v:rect style="position:absolute;left:1275;top:477;width:5;height:5" filled="true" fillcolor="#9f9f9f" stroked="false">
              <v:fill type="solid"/>
            </v:rect>
            <v:rect style="position:absolute;left:1275;top:477;width:5;height:5" filled="true" fillcolor="#e2e2e2" stroked="false">
              <v:fill type="solid"/>
            </v:rect>
            <v:line style="position:absolute" from="1280,480" to="10627,480" stroked="true" strokeweight=".24pt" strokecolor="#e2e2e2">
              <v:stroke dashstyle="solid"/>
            </v:line>
            <v:rect style="position:absolute;left:10627;top:477;width:5;height:5" filled="true" fillcolor="#e2e2e2" stroked="false">
              <v:fill type="solid"/>
            </v:rect>
            <v:rect style="position:absolute;left:10627;top:477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五</w:t>
      </w:r>
      <w:r>
        <w:rPr>
          <w:rFonts w:ascii="Calibri" w:eastAsia="Calibri"/>
        </w:rPr>
        <w:t>. </w:t>
      </w:r>
      <w:r>
        <w:rPr/>
        <w:t>變更分析  </w:t>
      </w:r>
      <w:r>
        <w:rPr>
          <w:rFonts w:ascii="Calibri" w:eastAsia="Calibri"/>
        </w:rPr>
        <w:t>(Change Analysis)</w:t>
      </w:r>
    </w:p>
    <w:p>
      <w:pPr>
        <w:pStyle w:val="BodyText"/>
        <w:spacing w:line="428" w:lineRule="exact"/>
        <w:ind w:left="135"/>
      </w:pPr>
      <w:r>
        <w:rPr/>
        <w:t>本分析比較「事故狀況」與一個「理想的無事故狀況」，以識別導致事故的關鍵差異。</w:t>
      </w: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4"/>
        <w:gridCol w:w="2150"/>
        <w:gridCol w:w="1891"/>
        <w:gridCol w:w="1711"/>
        <w:gridCol w:w="2580"/>
      </w:tblGrid>
      <w:tr>
        <w:trPr>
          <w:trHeight w:val="1037" w:hRule="atLeast"/>
        </w:trPr>
        <w:tc>
          <w:tcPr>
            <w:tcW w:w="1014" w:type="dxa"/>
          </w:tcPr>
          <w:p>
            <w:pPr>
              <w:pStyle w:val="TableParagraph"/>
              <w:spacing w:line="338" w:lineRule="exact"/>
              <w:rPr>
                <w:sz w:val="20"/>
              </w:rPr>
            </w:pPr>
            <w:r>
              <w:rPr>
                <w:sz w:val="20"/>
              </w:rPr>
              <w:t>因素</w:t>
            </w:r>
          </w:p>
          <w:p>
            <w:pPr>
              <w:pStyle w:val="TableParagraph"/>
              <w:spacing w:line="261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(Factor)</w:t>
            </w:r>
          </w:p>
        </w:tc>
        <w:tc>
          <w:tcPr>
            <w:tcW w:w="2150" w:type="dxa"/>
          </w:tcPr>
          <w:p>
            <w:pPr>
              <w:pStyle w:val="TableParagraph"/>
              <w:spacing w:line="344" w:lineRule="exact"/>
              <w:rPr>
                <w:sz w:val="20"/>
              </w:rPr>
            </w:pPr>
            <w:r>
              <w:rPr>
                <w:sz w:val="20"/>
              </w:rPr>
              <w:t>事故狀況</w:t>
            </w:r>
          </w:p>
        </w:tc>
        <w:tc>
          <w:tcPr>
            <w:tcW w:w="1891" w:type="dxa"/>
          </w:tcPr>
          <w:p>
            <w:pPr>
              <w:pStyle w:val="TableParagraph"/>
              <w:spacing w:line="225" w:lineRule="auto"/>
              <w:ind w:left="108" w:right="170"/>
              <w:rPr>
                <w:sz w:val="20"/>
              </w:rPr>
            </w:pPr>
            <w:r>
              <w:rPr>
                <w:sz w:val="20"/>
              </w:rPr>
              <w:t>先前、理想或未發生事故狀況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比較</w:t>
            </w:r>
          </w:p>
          <w:p>
            <w:pPr>
              <w:pStyle w:val="TableParagraph"/>
              <w:spacing w:line="334" w:lineRule="exact"/>
              <w:ind w:left="108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基準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711" w:type="dxa"/>
          </w:tcPr>
          <w:p>
            <w:pPr>
              <w:pStyle w:val="TableParagraph"/>
              <w:spacing w:line="344" w:lineRule="exact"/>
              <w:ind w:left="108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差異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變更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580" w:type="dxa"/>
          </w:tcPr>
          <w:p>
            <w:pPr>
              <w:pStyle w:val="TableParagraph"/>
              <w:spacing w:line="225" w:lineRule="auto"/>
              <w:ind w:left="108" w:right="97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效果評估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此差異對事故的影響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2421" w:hRule="atLeast"/>
        </w:trPr>
        <w:tc>
          <w:tcPr>
            <w:tcW w:w="1014" w:type="dxa"/>
          </w:tcPr>
          <w:p>
            <w:pPr>
              <w:pStyle w:val="TableParagraph"/>
              <w:spacing w:line="248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WHAT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設備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150" w:type="dxa"/>
          </w:tcPr>
          <w:p>
            <w:pPr>
              <w:pStyle w:val="TableParagraph"/>
              <w:spacing w:line="225" w:lineRule="auto"/>
              <w:ind w:right="229"/>
              <w:rPr>
                <w:sz w:val="20"/>
              </w:rPr>
            </w:pPr>
            <w:r>
              <w:rPr>
                <w:sz w:val="20"/>
              </w:rPr>
              <w:t>使用不合適的設備組合 </w:t>
            </w:r>
            <w:r>
              <w:rPr>
                <w:rFonts w:ascii="Segoe UI" w:eastAsia="Segoe UI"/>
                <w:sz w:val="20"/>
              </w:rPr>
              <w:t>(3.4 </w:t>
            </w:r>
            <w:r>
              <w:rPr>
                <w:sz w:val="20"/>
              </w:rPr>
              <w:t>米施工架 </w:t>
            </w:r>
            <w:r>
              <w:rPr>
                <w:rFonts w:ascii="Segoe UI" w:eastAsia="Segoe UI"/>
                <w:sz w:val="20"/>
              </w:rPr>
              <w:t>+ </w:t>
            </w:r>
            <w:r>
              <w:rPr>
                <w:sz w:val="20"/>
              </w:rPr>
              <w:t>移動梯</w:t>
            </w:r>
            <w:r>
              <w:rPr>
                <w:rFonts w:ascii="Segoe UI" w:eastAsia="Segoe UI"/>
                <w:sz w:val="20"/>
              </w:rPr>
              <w:t>) </w:t>
            </w:r>
            <w:r>
              <w:rPr>
                <w:sz w:val="20"/>
              </w:rPr>
              <w:t>來應對 </w:t>
            </w:r>
            <w:r>
              <w:rPr>
                <w:rFonts w:ascii="Segoe UI" w:eastAsia="Segoe UI"/>
                <w:sz w:val="20"/>
              </w:rPr>
              <w:t>5.96 </w:t>
            </w:r>
            <w:r>
              <w:rPr>
                <w:sz w:val="20"/>
              </w:rPr>
              <w:t>米的作業高度。</w:t>
            </w:r>
          </w:p>
        </w:tc>
        <w:tc>
          <w:tcPr>
            <w:tcW w:w="1891" w:type="dxa"/>
          </w:tcPr>
          <w:p>
            <w:pPr>
              <w:pStyle w:val="TableParagraph"/>
              <w:spacing w:line="225" w:lineRule="auto"/>
              <w:ind w:left="108" w:right="170"/>
              <w:rPr>
                <w:sz w:val="20"/>
              </w:rPr>
            </w:pPr>
            <w:r>
              <w:rPr>
                <w:sz w:val="20"/>
              </w:rPr>
              <w:t>使用單一、高度足夠的合適設備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</w:t>
            </w:r>
          </w:p>
          <w:p>
            <w:pPr>
              <w:pStyle w:val="TableParagraph"/>
              <w:spacing w:line="225" w:lineRule="auto"/>
              <w:ind w:left="108" w:right="17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6 </w:t>
            </w:r>
            <w:r>
              <w:rPr>
                <w:sz w:val="20"/>
              </w:rPr>
              <w:t>米塔式施工架或高空作業車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1711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91" w:val="left" w:leader="none"/>
              </w:tabs>
              <w:spacing w:line="333" w:lineRule="exact" w:before="0" w:after="0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作業設備由</w:t>
            </w:r>
          </w:p>
          <w:p>
            <w:pPr>
              <w:pStyle w:val="TableParagraph"/>
              <w:spacing w:line="346" w:lineRule="exact"/>
              <w:ind w:left="108"/>
              <w:rPr>
                <w:sz w:val="20"/>
              </w:rPr>
            </w:pPr>
            <w:r>
              <w:rPr>
                <w:spacing w:val="-1"/>
                <w:sz w:val="20"/>
              </w:rPr>
              <w:t>「適用」變為</w:t>
            </w:r>
          </w:p>
          <w:p>
            <w:pPr>
              <w:pStyle w:val="TableParagraph"/>
              <w:spacing w:line="346" w:lineRule="exact"/>
              <w:ind w:left="108"/>
              <w:rPr>
                <w:sz w:val="20"/>
              </w:rPr>
            </w:pPr>
            <w:r>
              <w:rPr>
                <w:spacing w:val="-1"/>
                <w:sz w:val="20"/>
              </w:rPr>
              <w:t>「不適用」。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91" w:val="left" w:leader="none"/>
              </w:tabs>
              <w:spacing w:line="225" w:lineRule="auto" w:before="5" w:after="0"/>
              <w:ind w:left="108" w:right="210" w:firstLine="0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以「危險的臨</w:t>
            </w:r>
            <w:r>
              <w:rPr>
                <w:sz w:val="20"/>
              </w:rPr>
              <w:t>時組合」取代</w:t>
            </w:r>
          </w:p>
          <w:p>
            <w:pPr>
              <w:pStyle w:val="TableParagraph"/>
              <w:spacing w:line="341" w:lineRule="exact"/>
              <w:ind w:left="108"/>
              <w:rPr>
                <w:sz w:val="20"/>
              </w:rPr>
            </w:pPr>
            <w:r>
              <w:rPr>
                <w:sz w:val="20"/>
              </w:rPr>
              <w:t>「安全的單一設</w:t>
            </w:r>
          </w:p>
          <w:p>
            <w:pPr>
              <w:pStyle w:val="TableParagraph"/>
              <w:spacing w:line="339" w:lineRule="exact"/>
              <w:ind w:left="108"/>
              <w:rPr>
                <w:sz w:val="20"/>
              </w:rPr>
            </w:pPr>
            <w:r>
              <w:rPr>
                <w:sz w:val="20"/>
              </w:rPr>
              <w:t>備」。</w:t>
            </w:r>
          </w:p>
        </w:tc>
        <w:tc>
          <w:tcPr>
            <w:tcW w:w="258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91" w:val="left" w:leader="none"/>
              </w:tabs>
              <w:spacing w:line="225" w:lineRule="auto" w:before="0" w:after="0"/>
              <w:ind w:left="108" w:right="258" w:firstLine="0"/>
              <w:jc w:val="both"/>
              <w:rPr>
                <w:sz w:val="20"/>
              </w:rPr>
            </w:pPr>
            <w:r>
              <w:rPr>
                <w:sz w:val="20"/>
              </w:rPr>
              <w:t>核心技術差異。使用不</w:t>
            </w:r>
            <w:r>
              <w:rPr>
                <w:spacing w:val="-2"/>
                <w:sz w:val="20"/>
              </w:rPr>
              <w:t>當設備是後續所有不安全行為的根源，直接創造了一個本質上就不穩定的作</w:t>
            </w:r>
            <w:r>
              <w:rPr>
                <w:sz w:val="20"/>
              </w:rPr>
              <w:t>業平台。</w:t>
            </w:r>
          </w:p>
        </w:tc>
      </w:tr>
      <w:tr>
        <w:trPr>
          <w:trHeight w:val="2421" w:hRule="atLeast"/>
        </w:trPr>
        <w:tc>
          <w:tcPr>
            <w:tcW w:w="1014" w:type="dxa"/>
          </w:tcPr>
          <w:p>
            <w:pPr>
              <w:pStyle w:val="TableParagraph"/>
              <w:spacing w:line="248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HOW</w:t>
            </w:r>
          </w:p>
          <w:p>
            <w:pPr>
              <w:pStyle w:val="TableParagraph"/>
              <w:spacing w:line="225" w:lineRule="auto" w:before="10"/>
              <w:ind w:right="155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方法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程序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150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360" w:val="left" w:leader="none"/>
              </w:tabs>
              <w:spacing w:line="225" w:lineRule="auto" w:before="0" w:after="0"/>
              <w:ind w:left="107" w:right="177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採用「施工架上再</w:t>
            </w:r>
            <w:r>
              <w:rPr>
                <w:sz w:val="20"/>
              </w:rPr>
              <w:t>架梯」的自創方法。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60" w:val="left" w:leader="none"/>
              </w:tabs>
              <w:spacing w:line="225" w:lineRule="auto" w:before="0" w:after="0"/>
              <w:ind w:left="107" w:right="177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採用「徒手扶持」</w:t>
            </w:r>
            <w:r>
              <w:rPr>
                <w:sz w:val="20"/>
              </w:rPr>
              <w:t>作為無效的穩定措</w:t>
            </w:r>
          </w:p>
          <w:p>
            <w:pPr>
              <w:pStyle w:val="TableParagraph"/>
              <w:spacing w:line="352" w:lineRule="exact"/>
              <w:rPr>
                <w:sz w:val="20"/>
              </w:rPr>
            </w:pPr>
            <w:r>
              <w:rPr>
                <w:sz w:val="20"/>
              </w:rPr>
              <w:t>施。</w:t>
            </w:r>
          </w:p>
        </w:tc>
        <w:tc>
          <w:tcPr>
            <w:tcW w:w="1891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61" w:val="left" w:leader="none"/>
              </w:tabs>
              <w:spacing w:line="225" w:lineRule="auto" w:before="0" w:after="0"/>
              <w:ind w:left="108" w:right="118" w:firstLine="0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遵循設備安全規</w:t>
            </w:r>
            <w:r>
              <w:rPr>
                <w:sz w:val="20"/>
              </w:rPr>
              <w:t>範或標準作業程序</w:t>
            </w:r>
          </w:p>
          <w:p>
            <w:pPr>
              <w:pStyle w:val="TableParagraph"/>
              <w:spacing w:line="342" w:lineRule="exact"/>
              <w:ind w:left="108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(SOP)</w:t>
            </w:r>
            <w:r>
              <w:rPr>
                <w:sz w:val="20"/>
              </w:rPr>
              <w:t>搭設。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1" w:val="left" w:leader="none"/>
              </w:tabs>
              <w:spacing w:line="225" w:lineRule="auto" w:before="0" w:after="0"/>
              <w:ind w:left="108" w:right="118" w:firstLine="0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採用繫牆桿、斜</w:t>
            </w:r>
            <w:r>
              <w:rPr>
                <w:sz w:val="20"/>
              </w:rPr>
              <w:t>撐等有效的機械方式固定。</w:t>
            </w:r>
          </w:p>
        </w:tc>
        <w:tc>
          <w:tcPr>
            <w:tcW w:w="1711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361" w:val="left" w:leader="none"/>
              </w:tabs>
              <w:spacing w:line="333" w:lineRule="exact" w:before="0" w:after="0"/>
              <w:ind w:left="360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作業方法由</w:t>
            </w:r>
          </w:p>
          <w:p>
            <w:pPr>
              <w:pStyle w:val="TableParagraph"/>
              <w:spacing w:line="346" w:lineRule="exact"/>
              <w:ind w:left="108"/>
              <w:rPr>
                <w:sz w:val="20"/>
              </w:rPr>
            </w:pPr>
            <w:r>
              <w:rPr>
                <w:sz w:val="20"/>
              </w:rPr>
              <w:t>「標準」變為</w:t>
            </w:r>
          </w:p>
          <w:p>
            <w:pPr>
              <w:pStyle w:val="TableParagraph"/>
              <w:spacing w:line="225" w:lineRule="auto" w:before="5"/>
              <w:ind w:left="108" w:right="589"/>
              <w:rPr>
                <w:sz w:val="20"/>
              </w:rPr>
            </w:pPr>
            <w:r>
              <w:rPr>
                <w:sz w:val="20"/>
              </w:rPr>
              <w:t>「自創且危險」。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61" w:val="left" w:leader="none"/>
              </w:tabs>
              <w:spacing w:line="341" w:lineRule="exact" w:before="0" w:after="0"/>
              <w:ind w:left="360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穩定措施由</w:t>
            </w:r>
          </w:p>
          <w:p>
            <w:pPr>
              <w:pStyle w:val="TableParagraph"/>
              <w:spacing w:line="346" w:lineRule="exact"/>
              <w:ind w:left="108"/>
              <w:rPr>
                <w:sz w:val="20"/>
              </w:rPr>
            </w:pPr>
            <w:r>
              <w:rPr>
                <w:sz w:val="20"/>
              </w:rPr>
              <w:t>「有效」變為</w:t>
            </w:r>
          </w:p>
          <w:p>
            <w:pPr>
              <w:pStyle w:val="TableParagraph"/>
              <w:spacing w:line="338" w:lineRule="exact"/>
              <w:ind w:left="108"/>
              <w:rPr>
                <w:sz w:val="20"/>
              </w:rPr>
            </w:pPr>
            <w:r>
              <w:rPr>
                <w:sz w:val="20"/>
              </w:rPr>
              <w:t>「無效」。</w:t>
            </w:r>
          </w:p>
        </w:tc>
        <w:tc>
          <w:tcPr>
            <w:tcW w:w="258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361" w:val="left" w:leader="none"/>
              </w:tabs>
              <w:spacing w:line="225" w:lineRule="auto" w:before="0" w:after="0"/>
              <w:ind w:left="108" w:right="207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自創的危險方法完全破</w:t>
            </w:r>
            <w:r>
              <w:rPr>
                <w:sz w:val="20"/>
              </w:rPr>
              <w:t>壞了結構力學上的穩定</w:t>
            </w:r>
          </w:p>
          <w:p>
            <w:pPr>
              <w:pStyle w:val="TableParagraph"/>
              <w:spacing w:line="225" w:lineRule="auto"/>
              <w:ind w:left="108" w:right="258"/>
              <w:rPr>
                <w:sz w:val="20"/>
              </w:rPr>
            </w:pPr>
            <w:r>
              <w:rPr>
                <w:sz w:val="20"/>
              </w:rPr>
              <w:t>性，使倒塌成為可預見的結果。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61" w:val="left" w:leader="none"/>
              </w:tabs>
              <w:spacing w:line="225" w:lineRule="auto" w:before="0" w:after="0"/>
              <w:ind w:left="108" w:right="207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徒手扶持給予作業者虛</w:t>
            </w:r>
            <w:r>
              <w:rPr>
                <w:sz w:val="20"/>
              </w:rPr>
              <w:t>假的安全感，但無法抵抗</w:t>
            </w:r>
          </w:p>
          <w:p>
            <w:pPr>
              <w:pStyle w:val="TableParagraph"/>
              <w:spacing w:line="334" w:lineRule="exact"/>
              <w:ind w:left="108"/>
              <w:rPr>
                <w:sz w:val="20"/>
              </w:rPr>
            </w:pPr>
            <w:r>
              <w:rPr>
                <w:sz w:val="20"/>
              </w:rPr>
              <w:t>平台失穩時的傾覆力矩。</w:t>
            </w:r>
          </w:p>
        </w:tc>
      </w:tr>
      <w:tr>
        <w:trPr>
          <w:trHeight w:val="1037" w:hRule="atLeast"/>
        </w:trPr>
        <w:tc>
          <w:tcPr>
            <w:tcW w:w="1014" w:type="dxa"/>
          </w:tcPr>
          <w:p>
            <w:pPr>
              <w:pStyle w:val="TableParagraph"/>
              <w:spacing w:line="248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WHERE</w:t>
            </w:r>
          </w:p>
          <w:p>
            <w:pPr>
              <w:pStyle w:val="TableParagraph"/>
              <w:spacing w:line="225" w:lineRule="auto" w:before="10"/>
              <w:ind w:right="155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地點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環境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150" w:type="dxa"/>
          </w:tcPr>
          <w:p>
            <w:pPr>
              <w:pStyle w:val="TableParagraph"/>
              <w:spacing w:line="225" w:lineRule="auto"/>
              <w:ind w:right="229"/>
              <w:rPr>
                <w:sz w:val="20"/>
              </w:rPr>
            </w:pPr>
            <w:r>
              <w:rPr>
                <w:sz w:val="20"/>
              </w:rPr>
              <w:t>將施工架設置在不平整、高低落差的「樓</w:t>
            </w:r>
          </w:p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z w:val="20"/>
              </w:rPr>
              <w:t>梯」上。</w:t>
            </w:r>
          </w:p>
        </w:tc>
        <w:tc>
          <w:tcPr>
            <w:tcW w:w="1891" w:type="dxa"/>
          </w:tcPr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將作業平台設置在</w:t>
            </w:r>
          </w:p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「堅實、平坦」的</w:t>
            </w:r>
          </w:p>
          <w:p>
            <w:pPr>
              <w:pStyle w:val="TableParagraph"/>
              <w:spacing w:line="338" w:lineRule="exact"/>
              <w:rPr>
                <w:sz w:val="20"/>
              </w:rPr>
            </w:pPr>
            <w:r>
              <w:rPr>
                <w:sz w:val="20"/>
              </w:rPr>
              <w:t>地面上。</w:t>
            </w:r>
          </w:p>
        </w:tc>
        <w:tc>
          <w:tcPr>
            <w:tcW w:w="1711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291" w:val="left" w:leader="none"/>
              </w:tabs>
              <w:spacing w:line="333" w:lineRule="exact" w:before="0" w:after="0"/>
              <w:ind w:left="290" w:right="0" w:hanging="182"/>
              <w:jc w:val="left"/>
              <w:rPr>
                <w:sz w:val="20"/>
              </w:rPr>
            </w:pPr>
            <w:r>
              <w:rPr>
                <w:sz w:val="20"/>
              </w:rPr>
              <w:t>工作平台的</w:t>
            </w:r>
          </w:p>
          <w:p>
            <w:pPr>
              <w:pStyle w:val="TableParagraph"/>
              <w:spacing w:line="346" w:lineRule="exact"/>
              <w:ind w:left="108"/>
              <w:rPr>
                <w:sz w:val="20"/>
              </w:rPr>
            </w:pPr>
            <w:r>
              <w:rPr>
                <w:sz w:val="20"/>
              </w:rPr>
              <w:t>「基底穩定性」</w:t>
            </w:r>
          </w:p>
          <w:p>
            <w:pPr>
              <w:pStyle w:val="TableParagraph"/>
              <w:spacing w:line="339" w:lineRule="exact"/>
              <w:ind w:left="108"/>
              <w:rPr>
                <w:sz w:val="20"/>
              </w:rPr>
            </w:pPr>
            <w:r>
              <w:rPr>
                <w:sz w:val="20"/>
              </w:rPr>
              <w:t>由優變劣。</w:t>
            </w:r>
          </w:p>
        </w:tc>
        <w:tc>
          <w:tcPr>
            <w:tcW w:w="2580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91" w:val="left" w:leader="none"/>
              </w:tabs>
              <w:spacing w:line="225" w:lineRule="auto" w:before="0" w:after="0"/>
              <w:ind w:left="108" w:right="258" w:firstLine="0"/>
              <w:jc w:val="left"/>
              <w:rPr>
                <w:sz w:val="20"/>
              </w:rPr>
            </w:pPr>
            <w:r>
              <w:rPr>
                <w:sz w:val="20"/>
              </w:rPr>
              <w:t>在不穩定的基底上再疊</w:t>
            </w:r>
            <w:r>
              <w:rPr>
                <w:spacing w:val="-2"/>
                <w:sz w:val="20"/>
              </w:rPr>
              <w:t>加不穩定的組合，使整個</w:t>
            </w:r>
          </w:p>
          <w:p>
            <w:pPr>
              <w:pStyle w:val="TableParagraph"/>
              <w:spacing w:line="334" w:lineRule="exact"/>
              <w:ind w:left="108"/>
              <w:rPr>
                <w:sz w:val="20"/>
              </w:rPr>
            </w:pPr>
            <w:r>
              <w:rPr>
                <w:sz w:val="20"/>
              </w:rPr>
              <w:t>系統的風險呈倍數增加，</w:t>
            </w:r>
          </w:p>
        </w:tc>
      </w:tr>
    </w:tbl>
    <w:p>
      <w:pPr>
        <w:spacing w:after="0" w:line="334" w:lineRule="exact"/>
        <w:rPr>
          <w:sz w:val="20"/>
        </w:rPr>
        <w:sectPr>
          <w:pgSz w:w="11910" w:h="16840"/>
          <w:pgMar w:top="1420" w:bottom="280" w:left="1140" w:right="1160"/>
        </w:sect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4"/>
        <w:gridCol w:w="2150"/>
        <w:gridCol w:w="1891"/>
        <w:gridCol w:w="1711"/>
        <w:gridCol w:w="2580"/>
      </w:tblGrid>
      <w:tr>
        <w:trPr>
          <w:trHeight w:val="692" w:hRule="atLeast"/>
        </w:trPr>
        <w:tc>
          <w:tcPr>
            <w:tcW w:w="101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5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80" w:type="dxa"/>
          </w:tcPr>
          <w:p>
            <w:pPr>
              <w:pStyle w:val="TableParagraph"/>
              <w:spacing w:line="346" w:lineRule="exact"/>
              <w:ind w:left="108"/>
              <w:rPr>
                <w:sz w:val="20"/>
              </w:rPr>
            </w:pPr>
            <w:r>
              <w:rPr>
                <w:sz w:val="20"/>
              </w:rPr>
              <w:t>大幅降低了抵抗外力擾動</w:t>
            </w:r>
          </w:p>
          <w:p>
            <w:pPr>
              <w:pStyle w:val="TableParagraph"/>
              <w:spacing w:line="326" w:lineRule="exact"/>
              <w:ind w:left="108"/>
              <w:rPr>
                <w:sz w:val="20"/>
              </w:rPr>
            </w:pPr>
            <w:r>
              <w:rPr>
                <w:sz w:val="20"/>
              </w:rPr>
              <w:t>的能力。</w:t>
            </w:r>
          </w:p>
        </w:tc>
      </w:tr>
      <w:tr>
        <w:trPr>
          <w:trHeight w:val="650" w:hRule="atLeast"/>
        </w:trPr>
        <w:tc>
          <w:tcPr>
            <w:tcW w:w="1014" w:type="dxa"/>
            <w:tcBorders>
              <w:bottom w:val="nil"/>
            </w:tcBorders>
          </w:tcPr>
          <w:p>
            <w:pPr>
              <w:pStyle w:val="TableParagraph"/>
              <w:spacing w:line="260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WHO</w:t>
            </w:r>
          </w:p>
          <w:p>
            <w:pPr>
              <w:pStyle w:val="TableParagraph"/>
              <w:spacing w:line="362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人員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監</w:t>
            </w:r>
          </w:p>
        </w:tc>
        <w:tc>
          <w:tcPr>
            <w:tcW w:w="2150" w:type="dxa"/>
            <w:tcBorders>
              <w:bottom w:val="nil"/>
            </w:tcBorders>
          </w:tcPr>
          <w:p>
            <w:pPr>
              <w:pStyle w:val="TableParagraph"/>
              <w:spacing w:line="345" w:lineRule="exact"/>
              <w:rPr>
                <w:sz w:val="20"/>
              </w:rPr>
            </w:pPr>
            <w:r>
              <w:rPr>
                <w:sz w:val="20"/>
              </w:rPr>
              <w:t>同事在下方扮演「無</w:t>
            </w:r>
          </w:p>
          <w:p>
            <w:pPr>
              <w:pStyle w:val="TableParagraph"/>
              <w:spacing w:line="285" w:lineRule="exact"/>
              <w:rPr>
                <w:sz w:val="20"/>
              </w:rPr>
            </w:pPr>
            <w:r>
              <w:rPr>
                <w:sz w:val="20"/>
              </w:rPr>
              <w:t>效的協助者」。</w:t>
            </w:r>
          </w:p>
        </w:tc>
        <w:tc>
          <w:tcPr>
            <w:tcW w:w="1891" w:type="dxa"/>
            <w:tcBorders>
              <w:bottom w:val="nil"/>
            </w:tcBorders>
          </w:tcPr>
          <w:p>
            <w:pPr>
              <w:pStyle w:val="TableParagraph"/>
              <w:spacing w:line="345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應由「具備安全職</w:t>
            </w:r>
          </w:p>
          <w:p>
            <w:pPr>
              <w:pStyle w:val="TableParagraph"/>
              <w:spacing w:line="285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能的監督者」在場</w:t>
            </w:r>
          </w:p>
        </w:tc>
        <w:tc>
          <w:tcPr>
            <w:tcW w:w="171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291" w:val="left" w:leader="none"/>
              </w:tabs>
              <w:spacing w:line="345" w:lineRule="exact" w:before="0" w:after="0"/>
              <w:ind w:left="290" w:right="0" w:hanging="182"/>
              <w:jc w:val="left"/>
              <w:rPr>
                <w:sz w:val="20"/>
              </w:rPr>
            </w:pPr>
            <w:r>
              <w:rPr>
                <w:sz w:val="20"/>
              </w:rPr>
              <w:t>現場人員的角</w:t>
            </w:r>
          </w:p>
          <w:p>
            <w:pPr>
              <w:pStyle w:val="TableParagraph"/>
              <w:spacing w:line="286" w:lineRule="exact"/>
              <w:ind w:left="108"/>
              <w:rPr>
                <w:sz w:val="20"/>
              </w:rPr>
            </w:pPr>
            <w:r>
              <w:rPr>
                <w:sz w:val="20"/>
              </w:rPr>
              <w:t>色由「安全監</w:t>
            </w:r>
          </w:p>
        </w:tc>
        <w:tc>
          <w:tcPr>
            <w:tcW w:w="258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291" w:val="left" w:leader="none"/>
              </w:tabs>
              <w:spacing w:line="345" w:lineRule="exact" w:before="0" w:after="0"/>
              <w:ind w:left="291" w:right="0" w:hanging="183"/>
              <w:jc w:val="left"/>
              <w:rPr>
                <w:sz w:val="20"/>
              </w:rPr>
            </w:pPr>
            <w:r>
              <w:rPr>
                <w:sz w:val="20"/>
              </w:rPr>
              <w:t>缺乏有效的監督，使得</w:t>
            </w:r>
          </w:p>
          <w:p>
            <w:pPr>
              <w:pStyle w:val="TableParagraph"/>
              <w:spacing w:line="286" w:lineRule="exact"/>
              <w:ind w:left="108"/>
              <w:rPr>
                <w:sz w:val="20"/>
              </w:rPr>
            </w:pPr>
            <w:r>
              <w:rPr>
                <w:sz w:val="20"/>
              </w:rPr>
              <w:t>一連串致命的錯誤決策與</w:t>
            </w:r>
          </w:p>
        </w:tc>
      </w:tr>
      <w:tr>
        <w:trPr>
          <w:trHeight w:val="386" w:hRule="atLeast"/>
        </w:trPr>
        <w:tc>
          <w:tcPr>
            <w:tcW w:w="10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8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督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1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7" w:lineRule="exact" w:before="30"/>
              <w:rPr>
                <w:sz w:val="20"/>
              </w:rPr>
            </w:pPr>
            <w:r>
              <w:rPr>
                <w:sz w:val="20"/>
              </w:rPr>
              <w:t>指揮或監看。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7" w:lineRule="exact" w:before="30"/>
              <w:ind w:left="108"/>
              <w:rPr>
                <w:sz w:val="20"/>
              </w:rPr>
            </w:pPr>
            <w:r>
              <w:rPr>
                <w:sz w:val="20"/>
              </w:rPr>
              <w:t>督」變為「協同</w:t>
            </w:r>
          </w:p>
        </w:tc>
        <w:tc>
          <w:tcPr>
            <w:tcW w:w="2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7" w:lineRule="exact" w:before="30"/>
              <w:ind w:left="108"/>
              <w:rPr>
                <w:sz w:val="20"/>
              </w:rPr>
            </w:pPr>
            <w:r>
              <w:rPr>
                <w:sz w:val="20"/>
              </w:rPr>
              <w:t>行為，沒有在任何一個環</w:t>
            </w:r>
          </w:p>
        </w:tc>
      </w:tr>
      <w:tr>
        <w:trPr>
          <w:trHeight w:val="345" w:hRule="atLeast"/>
        </w:trPr>
        <w:tc>
          <w:tcPr>
            <w:tcW w:w="101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5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  <w:tcBorders>
              <w:top w:val="nil"/>
            </w:tcBorders>
          </w:tcPr>
          <w:p>
            <w:pPr>
              <w:pStyle w:val="TableParagraph"/>
              <w:spacing w:line="326" w:lineRule="exact"/>
              <w:ind w:left="108"/>
              <w:rPr>
                <w:sz w:val="20"/>
              </w:rPr>
            </w:pPr>
            <w:r>
              <w:rPr>
                <w:sz w:val="20"/>
              </w:rPr>
              <w:t>犯錯」。</w:t>
            </w:r>
          </w:p>
        </w:tc>
        <w:tc>
          <w:tcPr>
            <w:tcW w:w="2580" w:type="dxa"/>
            <w:tcBorders>
              <w:top w:val="nil"/>
            </w:tcBorders>
          </w:tcPr>
          <w:p>
            <w:pPr>
              <w:pStyle w:val="TableParagraph"/>
              <w:spacing w:line="326" w:lineRule="exact"/>
              <w:ind w:left="108"/>
              <w:rPr>
                <w:sz w:val="20"/>
              </w:rPr>
            </w:pPr>
            <w:r>
              <w:rPr>
                <w:sz w:val="20"/>
              </w:rPr>
              <w:t>節被及時辨識與中斷。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  <w:r>
        <w:rPr/>
        <w:pict>
          <v:group style="position:absolute;margin-left:63.779999pt;margin-top:18.921328pt;width:467.85pt;height:1.55pt;mso-position-horizontal-relative:page;mso-position-vertical-relative:paragraph;z-index:-880;mso-wrap-distance-left:0;mso-wrap-distance-right:0" coordorigin="1276,378" coordsize="9357,31">
            <v:line style="position:absolute" from="1276,393" to="10632,393" stroked="true" strokeweight="1.5pt" strokecolor="#9f9f9f">
              <v:stroke dashstyle="solid"/>
            </v:line>
            <v:rect style="position:absolute;left:1275;top:378;width:5;height:5" filled="true" fillcolor="#9f9f9f" stroked="false">
              <v:fill type="solid"/>
            </v:rect>
            <v:rect style="position:absolute;left:1275;top:378;width:5;height:5" filled="true" fillcolor="#9f9f9f" stroked="false">
              <v:fill type="solid"/>
            </v:rect>
            <v:line style="position:absolute" from="1280,381" to="10627,381" stroked="true" strokeweight=".24pt" strokecolor="#9f9f9f">
              <v:stroke dashstyle="solid"/>
            </v:line>
            <v:rect style="position:absolute;left:10627;top:378;width:5;height:5" filled="true" fillcolor="#e2e2e2" stroked="false">
              <v:fill type="solid"/>
            </v:rect>
            <v:rect style="position:absolute;left:10627;top:378;width:5;height:5" filled="true" fillcolor="#9f9f9f" stroked="false">
              <v:fill type="solid"/>
            </v:rect>
            <v:rect style="position:absolute;left:1275;top:383;width:5;height:21" filled="true" fillcolor="#9f9f9f" stroked="false">
              <v:fill type="solid"/>
            </v:rect>
            <v:rect style="position:absolute;left:10627;top:383;width:5;height:21" filled="true" fillcolor="#e2e2e2" stroked="false">
              <v:fill type="solid"/>
            </v:rect>
            <v:rect style="position:absolute;left:1275;top:403;width:5;height:5" filled="true" fillcolor="#9f9f9f" stroked="false">
              <v:fill type="solid"/>
            </v:rect>
            <v:rect style="position:absolute;left:1275;top:403;width:5;height:5" filled="true" fillcolor="#e2e2e2" stroked="false">
              <v:fill type="solid"/>
            </v:rect>
            <v:line style="position:absolute" from="1280,406" to="10627,406" stroked="true" strokeweight=".24pt" strokecolor="#e2e2e2">
              <v:stroke dashstyle="solid"/>
            </v:line>
            <v:rect style="position:absolute;left:10627;top:403;width:5;height:5" filled="true" fillcolor="#e2e2e2" stroked="false">
              <v:fill type="solid"/>
            </v:rect>
            <v:rect style="position:absolute;left:10627;top:403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六</w:t>
      </w:r>
      <w:r>
        <w:rPr>
          <w:rFonts w:ascii="Calibri" w:eastAsia="Calibri"/>
        </w:rPr>
        <w:t>. </w:t>
      </w:r>
      <w:r>
        <w:rPr/>
        <w:t>人為失誤分析  </w:t>
      </w:r>
      <w:r>
        <w:rPr>
          <w:rFonts w:ascii="Calibri" w:eastAsia="Calibri"/>
        </w:rPr>
        <w:t>(Human Failure Analysis)</w:t>
      </w:r>
    </w:p>
    <w:p>
      <w:pPr>
        <w:pStyle w:val="BodyText"/>
        <w:spacing w:line="428" w:lineRule="exact"/>
        <w:ind w:left="135"/>
      </w:pPr>
      <w:r>
        <w:rPr/>
        <w:t>本分析探討影響人員行為的深層次原因，而非僅歸咎於個人。</w:t>
      </w: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2"/>
        <w:gridCol w:w="4022"/>
        <w:gridCol w:w="4562"/>
      </w:tblGrid>
      <w:tr>
        <w:trPr>
          <w:trHeight w:val="690" w:hRule="atLeast"/>
        </w:trPr>
        <w:tc>
          <w:tcPr>
            <w:tcW w:w="762" w:type="dxa"/>
          </w:tcPr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z w:val="20"/>
              </w:rPr>
              <w:t>失誤</w:t>
            </w:r>
          </w:p>
          <w:p>
            <w:pPr>
              <w:pStyle w:val="TableParagraph"/>
              <w:spacing w:line="338" w:lineRule="exact"/>
              <w:rPr>
                <w:sz w:val="20"/>
              </w:rPr>
            </w:pPr>
            <w:r>
              <w:rPr>
                <w:sz w:val="20"/>
              </w:rPr>
              <w:t>類型</w:t>
            </w:r>
          </w:p>
        </w:tc>
        <w:tc>
          <w:tcPr>
            <w:tcW w:w="4022" w:type="dxa"/>
          </w:tcPr>
          <w:p>
            <w:pPr>
              <w:pStyle w:val="TableParagraph"/>
              <w:spacing w:line="344" w:lineRule="exact"/>
              <w:ind w:left="108"/>
              <w:rPr>
                <w:sz w:val="20"/>
              </w:rPr>
            </w:pPr>
            <w:r>
              <w:rPr>
                <w:sz w:val="20"/>
              </w:rPr>
              <w:t>主要不安全行為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失誤</w:t>
            </w:r>
          </w:p>
        </w:tc>
        <w:tc>
          <w:tcPr>
            <w:tcW w:w="4562" w:type="dxa"/>
          </w:tcPr>
          <w:p>
            <w:pPr>
              <w:pStyle w:val="TableParagraph"/>
              <w:spacing w:line="344" w:lineRule="exact"/>
              <w:ind w:left="108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根本原因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組織與系統層面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346" w:hRule="atLeast"/>
        </w:trPr>
        <w:tc>
          <w:tcPr>
            <w:tcW w:w="762" w:type="dxa"/>
            <w:tcBorders>
              <w:bottom w:val="nil"/>
            </w:tcBorders>
          </w:tcPr>
          <w:p>
            <w:pPr>
              <w:pStyle w:val="TableParagraph"/>
              <w:spacing w:line="3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常規</w:t>
            </w:r>
          </w:p>
        </w:tc>
        <w:tc>
          <w:tcPr>
            <w:tcW w:w="4022" w:type="dxa"/>
            <w:tcBorders>
              <w:bottom w:val="nil"/>
            </w:tcBorders>
          </w:tcPr>
          <w:p>
            <w:pPr>
              <w:pStyle w:val="TableParagraph"/>
              <w:spacing w:line="326" w:lineRule="exact"/>
              <w:ind w:left="108"/>
              <w:rPr>
                <w:sz w:val="20"/>
              </w:rPr>
            </w:pPr>
            <w:r>
              <w:rPr>
                <w:sz w:val="20"/>
              </w:rPr>
              <w:t>罹災者陳員與同事李員：</w:t>
            </w:r>
          </w:p>
        </w:tc>
        <w:tc>
          <w:tcPr>
            <w:tcW w:w="4562" w:type="dxa"/>
            <w:tcBorders>
              <w:bottom w:val="nil"/>
            </w:tcBorders>
          </w:tcPr>
          <w:p>
            <w:pPr>
              <w:pStyle w:val="TableParagraph"/>
              <w:spacing w:line="326" w:lineRule="exact"/>
              <w:ind w:left="108"/>
              <w:rPr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* </w:t>
            </w:r>
            <w:r>
              <w:rPr>
                <w:b/>
                <w:sz w:val="20"/>
              </w:rPr>
              <w:t>作業規劃與資源提供的根本性失敗： </w:t>
            </w:r>
            <w:r>
              <w:rPr>
                <w:sz w:val="20"/>
              </w:rPr>
              <w:t>公司或管</w:t>
            </w:r>
          </w:p>
        </w:tc>
      </w:tr>
      <w:tr>
        <w:trPr>
          <w:trHeight w:val="345" w:hRule="atLeast"/>
        </w:trPr>
        <w:tc>
          <w:tcPr>
            <w:tcW w:w="7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性或</w:t>
            </w:r>
          </w:p>
        </w:tc>
        <w:tc>
          <w:tcPr>
            <w:tcW w:w="40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5" w:lineRule="exact"/>
              <w:ind w:left="109"/>
              <w:rPr>
                <w:sz w:val="20"/>
              </w:rPr>
            </w:pPr>
            <w:r>
              <w:rPr>
                <w:sz w:val="20"/>
              </w:rPr>
              <w:t>在明知設備不足的情況下，仍決定採用「架</w:t>
            </w:r>
          </w:p>
        </w:tc>
        <w:tc>
          <w:tcPr>
            <w:tcW w:w="45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理者未能為此項任務進行適當規劃，也未能提供</w:t>
            </w:r>
          </w:p>
        </w:tc>
      </w:tr>
      <w:tr>
        <w:trPr>
          <w:trHeight w:val="345" w:hRule="atLeast"/>
        </w:trPr>
        <w:tc>
          <w:tcPr>
            <w:tcW w:w="7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情境</w:t>
            </w:r>
          </w:p>
        </w:tc>
        <w:tc>
          <w:tcPr>
            <w:tcW w:w="40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9"/>
              <w:rPr>
                <w:sz w:val="20"/>
              </w:rPr>
            </w:pPr>
            <w:r>
              <w:rPr>
                <w:sz w:val="20"/>
              </w:rPr>
              <w:t>上架」並以徒手扶持的極端危險方式進行作</w:t>
            </w:r>
          </w:p>
        </w:tc>
        <w:tc>
          <w:tcPr>
            <w:tcW w:w="45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8"/>
              <w:rPr>
                <w:sz w:val="20"/>
              </w:rPr>
            </w:pPr>
            <w:r>
              <w:rPr>
                <w:sz w:val="20"/>
              </w:rPr>
              <w:t>正確、充足的作業設備。這是</w:t>
            </w:r>
            <w:r>
              <w:rPr>
                <w:b/>
                <w:sz w:val="20"/>
              </w:rPr>
              <w:t>系統性失誤</w:t>
            </w:r>
            <w:r>
              <w:rPr>
                <w:sz w:val="20"/>
              </w:rPr>
              <w:t>，直接</w:t>
            </w:r>
          </w:p>
        </w:tc>
      </w:tr>
      <w:tr>
        <w:trPr>
          <w:trHeight w:val="346" w:hRule="atLeast"/>
        </w:trPr>
        <w:tc>
          <w:tcPr>
            <w:tcW w:w="7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性違</w:t>
            </w:r>
          </w:p>
        </w:tc>
        <w:tc>
          <w:tcPr>
            <w:tcW w:w="40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9"/>
              <w:rPr>
                <w:sz w:val="20"/>
              </w:rPr>
            </w:pPr>
            <w:r>
              <w:rPr>
                <w:sz w:val="20"/>
              </w:rPr>
              <w:t>業。</w:t>
            </w:r>
          </w:p>
        </w:tc>
        <w:tc>
          <w:tcPr>
            <w:tcW w:w="45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8"/>
              <w:rPr>
                <w:sz w:val="20"/>
              </w:rPr>
            </w:pPr>
            <w:r>
              <w:rPr>
                <w:sz w:val="20"/>
              </w:rPr>
              <w:t>將現場作業人員置於「要麼不做，要麼冒險做」</w:t>
            </w:r>
          </w:p>
        </w:tc>
      </w:tr>
      <w:tr>
        <w:trPr>
          <w:trHeight w:val="346" w:hRule="atLeast"/>
        </w:trPr>
        <w:tc>
          <w:tcPr>
            <w:tcW w:w="762" w:type="dxa"/>
            <w:tcBorders>
              <w:top w:val="nil"/>
            </w:tcBorders>
          </w:tcPr>
          <w:p>
            <w:pPr>
              <w:pStyle w:val="TableParagraph"/>
              <w:spacing w:line="326" w:lineRule="exac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規</w:t>
            </w:r>
          </w:p>
        </w:tc>
        <w:tc>
          <w:tcPr>
            <w:tcW w:w="402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62" w:type="dxa"/>
            <w:tcBorders>
              <w:top w:val="nil"/>
            </w:tcBorders>
          </w:tcPr>
          <w:p>
            <w:pPr>
              <w:pStyle w:val="TableParagraph"/>
              <w:spacing w:line="326" w:lineRule="exact"/>
              <w:ind w:left="108"/>
              <w:rPr>
                <w:sz w:val="20"/>
              </w:rPr>
            </w:pPr>
            <w:r>
              <w:rPr>
                <w:sz w:val="20"/>
              </w:rPr>
              <w:t>的困境中。</w:t>
            </w:r>
          </w:p>
        </w:tc>
      </w:tr>
      <w:tr>
        <w:trPr>
          <w:trHeight w:val="340" w:hRule="atLeast"/>
        </w:trPr>
        <w:tc>
          <w:tcPr>
            <w:tcW w:w="762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22" w:type="dxa"/>
            <w:tcBorders>
              <w:bottom w:val="nil"/>
            </w:tcBorders>
          </w:tcPr>
          <w:p>
            <w:pPr>
              <w:pStyle w:val="TableParagraph"/>
              <w:spacing w:line="320" w:lineRule="exact"/>
              <w:ind w:left="109"/>
              <w:rPr>
                <w:sz w:val="20"/>
              </w:rPr>
            </w:pPr>
            <w:r>
              <w:rPr>
                <w:sz w:val="20"/>
              </w:rPr>
              <w:t>此行為已非單純的錯誤，而是為了「完成任</w:t>
            </w:r>
          </w:p>
        </w:tc>
        <w:tc>
          <w:tcPr>
            <w:tcW w:w="4562" w:type="dxa"/>
            <w:tcBorders>
              <w:bottom w:val="nil"/>
            </w:tcBorders>
          </w:tcPr>
          <w:p>
            <w:pPr>
              <w:pStyle w:val="TableParagraph"/>
              <w:spacing w:line="320" w:lineRule="exact"/>
              <w:ind w:left="108"/>
              <w:rPr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* </w:t>
            </w:r>
            <w:r>
              <w:rPr>
                <w:b/>
                <w:sz w:val="20"/>
              </w:rPr>
              <w:t>安全文化與管理期望的偏差： </w:t>
            </w:r>
            <w:r>
              <w:rPr>
                <w:sz w:val="20"/>
              </w:rPr>
              <w:t>一個默許甚至鼓</w:t>
            </w:r>
          </w:p>
        </w:tc>
      </w:tr>
      <w:tr>
        <w:trPr>
          <w:trHeight w:val="336" w:hRule="atLeast"/>
        </w:trPr>
        <w:tc>
          <w:tcPr>
            <w:tcW w:w="7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/>
              <w:ind w:left="109"/>
              <w:rPr>
                <w:sz w:val="20"/>
              </w:rPr>
            </w:pPr>
            <w:r>
              <w:rPr>
                <w:sz w:val="20"/>
              </w:rPr>
              <w:t>務」而採取的</w:t>
            </w:r>
            <w:r>
              <w:rPr>
                <w:b/>
                <w:sz w:val="20"/>
              </w:rPr>
              <w:t>違規</w:t>
            </w:r>
            <w:r>
              <w:rPr>
                <w:sz w:val="20"/>
              </w:rPr>
              <w:t>行為。如果過去曾這樣做</w:t>
            </w:r>
          </w:p>
        </w:tc>
        <w:tc>
          <w:tcPr>
            <w:tcW w:w="45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/>
              <w:ind w:left="108"/>
              <w:rPr>
                <w:sz w:val="20"/>
              </w:rPr>
            </w:pPr>
            <w:r>
              <w:rPr>
                <w:sz w:val="20"/>
              </w:rPr>
              <w:t>勵員工「克服困難」、「隨機應變」完成工作的</w:t>
            </w:r>
          </w:p>
        </w:tc>
      </w:tr>
      <w:tr>
        <w:trPr>
          <w:trHeight w:val="335" w:hRule="atLeast"/>
        </w:trPr>
        <w:tc>
          <w:tcPr>
            <w:tcW w:w="7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/>
              <w:ind w:left="109"/>
              <w:rPr>
                <w:sz w:val="20"/>
              </w:rPr>
            </w:pPr>
            <w:r>
              <w:rPr>
                <w:sz w:val="20"/>
              </w:rPr>
              <w:t>過，屬於「常規性違規」；如果是因本次設</w:t>
            </w:r>
          </w:p>
        </w:tc>
        <w:tc>
          <w:tcPr>
            <w:tcW w:w="45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/>
              <w:ind w:left="108"/>
              <w:rPr>
                <w:sz w:val="20"/>
              </w:rPr>
            </w:pPr>
            <w:r>
              <w:rPr>
                <w:sz w:val="20"/>
              </w:rPr>
              <w:t>文化，會讓員工在安全與任務進度間選擇後者。</w:t>
            </w:r>
          </w:p>
        </w:tc>
      </w:tr>
      <w:tr>
        <w:trPr>
          <w:trHeight w:val="335" w:hRule="atLeast"/>
        </w:trPr>
        <w:tc>
          <w:tcPr>
            <w:tcW w:w="7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/>
              <w:ind w:left="109"/>
              <w:rPr>
                <w:b/>
                <w:sz w:val="20"/>
              </w:rPr>
            </w:pPr>
            <w:r>
              <w:rPr>
                <w:sz w:val="20"/>
              </w:rPr>
              <w:t>備不足而被迫如此，則屬於「</w:t>
            </w:r>
            <w:r>
              <w:rPr>
                <w:b/>
                <w:sz w:val="20"/>
              </w:rPr>
              <w:t>情境性違</w:t>
            </w:r>
          </w:p>
        </w:tc>
        <w:tc>
          <w:tcPr>
            <w:tcW w:w="45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/>
              <w:ind w:left="108"/>
              <w:rPr>
                <w:sz w:val="20"/>
              </w:rPr>
            </w:pPr>
            <w:r>
              <w:rPr>
                <w:sz w:val="20"/>
              </w:rPr>
              <w:t>管理階層對安全的要求，顯然沒有落實到工作規</w:t>
            </w:r>
          </w:p>
        </w:tc>
      </w:tr>
      <w:tr>
        <w:trPr>
          <w:trHeight w:val="341" w:hRule="atLeast"/>
        </w:trPr>
        <w:tc>
          <w:tcPr>
            <w:tcW w:w="7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22" w:type="dxa"/>
            <w:tcBorders>
              <w:top w:val="nil"/>
            </w:tcBorders>
          </w:tcPr>
          <w:p>
            <w:pPr>
              <w:pStyle w:val="TableParagraph"/>
              <w:spacing w:line="322" w:lineRule="exact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規</w:t>
            </w:r>
            <w:r>
              <w:rPr>
                <w:sz w:val="20"/>
              </w:rPr>
              <w:t>」。</w:t>
            </w:r>
          </w:p>
        </w:tc>
        <w:tc>
          <w:tcPr>
            <w:tcW w:w="4562" w:type="dxa"/>
            <w:tcBorders>
              <w:top w:val="nil"/>
            </w:tcBorders>
          </w:tcPr>
          <w:p>
            <w:pPr>
              <w:pStyle w:val="TableParagraph"/>
              <w:spacing w:line="322" w:lineRule="exact"/>
              <w:ind w:left="108"/>
              <w:rPr>
                <w:sz w:val="20"/>
              </w:rPr>
            </w:pPr>
            <w:r>
              <w:rPr>
                <w:sz w:val="20"/>
              </w:rPr>
              <w:t>劃層面。</w:t>
            </w:r>
          </w:p>
        </w:tc>
      </w:tr>
      <w:tr>
        <w:trPr>
          <w:trHeight w:val="344" w:hRule="atLeast"/>
        </w:trPr>
        <w:tc>
          <w:tcPr>
            <w:tcW w:w="762" w:type="dxa"/>
            <w:tcBorders>
              <w:bottom w:val="nil"/>
            </w:tcBorders>
          </w:tcPr>
          <w:p>
            <w:pPr>
              <w:pStyle w:val="TableParagraph"/>
              <w:spacing w:line="3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知識</w:t>
            </w:r>
          </w:p>
        </w:tc>
        <w:tc>
          <w:tcPr>
            <w:tcW w:w="4022" w:type="dxa"/>
            <w:tcBorders>
              <w:bottom w:val="nil"/>
            </w:tcBorders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同事李員：</w:t>
            </w:r>
          </w:p>
        </w:tc>
        <w:tc>
          <w:tcPr>
            <w:tcW w:w="4562" w:type="dxa"/>
            <w:tcBorders>
              <w:bottom w:val="nil"/>
            </w:tcBorders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* </w:t>
            </w:r>
            <w:r>
              <w:rPr>
                <w:b/>
                <w:sz w:val="20"/>
              </w:rPr>
              <w:t>安全衛生教育訓練的失敗： </w:t>
            </w:r>
            <w:r>
              <w:rPr>
                <w:sz w:val="20"/>
              </w:rPr>
              <w:t>訓練內容未能讓勞</w:t>
            </w:r>
          </w:p>
        </w:tc>
      </w:tr>
      <w:tr>
        <w:trPr>
          <w:trHeight w:val="345" w:hRule="atLeast"/>
        </w:trPr>
        <w:tc>
          <w:tcPr>
            <w:tcW w:w="7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性錯</w:t>
            </w:r>
          </w:p>
        </w:tc>
        <w:tc>
          <w:tcPr>
            <w:tcW w:w="40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9"/>
              <w:rPr>
                <w:sz w:val="20"/>
              </w:rPr>
            </w:pPr>
            <w:r>
              <w:rPr>
                <w:sz w:val="20"/>
              </w:rPr>
              <w:t>認為徒手扶持可以有效穩定施工架 。</w:t>
            </w:r>
          </w:p>
        </w:tc>
        <w:tc>
          <w:tcPr>
            <w:tcW w:w="45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8"/>
              <w:rPr>
                <w:sz w:val="20"/>
              </w:rPr>
            </w:pPr>
            <w:r>
              <w:rPr>
                <w:sz w:val="20"/>
              </w:rPr>
              <w:t>工充分理解高處作業的力學原理與風險等級，導</w:t>
            </w:r>
          </w:p>
        </w:tc>
      </w:tr>
      <w:tr>
        <w:trPr>
          <w:trHeight w:val="346" w:hRule="atLeast"/>
        </w:trPr>
        <w:tc>
          <w:tcPr>
            <w:tcW w:w="7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誤</w:t>
            </w:r>
          </w:p>
        </w:tc>
        <w:tc>
          <w:tcPr>
            <w:tcW w:w="40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8"/>
              <w:rPr>
                <w:sz w:val="20"/>
              </w:rPr>
            </w:pPr>
            <w:r>
              <w:rPr>
                <w:sz w:val="20"/>
              </w:rPr>
              <w:t>致他們採用了「看似有做，實則無效」的安慰性</w:t>
            </w:r>
          </w:p>
        </w:tc>
      </w:tr>
      <w:tr>
        <w:trPr>
          <w:trHeight w:val="346" w:hRule="atLeast"/>
        </w:trPr>
        <w:tc>
          <w:tcPr>
            <w:tcW w:w="76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2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62" w:type="dxa"/>
            <w:tcBorders>
              <w:top w:val="nil"/>
            </w:tcBorders>
          </w:tcPr>
          <w:p>
            <w:pPr>
              <w:pStyle w:val="TableParagraph"/>
              <w:spacing w:line="326" w:lineRule="exact"/>
              <w:ind w:left="108"/>
              <w:rPr>
                <w:sz w:val="20"/>
              </w:rPr>
            </w:pPr>
            <w:r>
              <w:rPr>
                <w:sz w:val="20"/>
              </w:rPr>
              <w:t>措施，這反映了訓練的深度與實用性不足。</w:t>
            </w:r>
          </w:p>
        </w:tc>
      </w:tr>
      <w:tr>
        <w:trPr>
          <w:trHeight w:val="344" w:hRule="atLeast"/>
        </w:trPr>
        <w:tc>
          <w:tcPr>
            <w:tcW w:w="762" w:type="dxa"/>
            <w:tcBorders>
              <w:bottom w:val="nil"/>
            </w:tcBorders>
          </w:tcPr>
          <w:p>
            <w:pPr>
              <w:pStyle w:val="TableParagraph"/>
              <w:spacing w:line="3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知識</w:t>
            </w:r>
          </w:p>
        </w:tc>
        <w:tc>
          <w:tcPr>
            <w:tcW w:w="4022" w:type="dxa"/>
            <w:tcBorders>
              <w:bottom w:val="nil"/>
            </w:tcBorders>
          </w:tcPr>
          <w:p>
            <w:pPr>
              <w:pStyle w:val="TableParagraph"/>
              <w:spacing w:line="325" w:lineRule="exact"/>
              <w:ind w:left="109"/>
              <w:rPr>
                <w:sz w:val="20"/>
              </w:rPr>
            </w:pPr>
            <w:r>
              <w:rPr>
                <w:sz w:val="20"/>
              </w:rPr>
              <w:t>雇主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現場負責人：</w:t>
            </w:r>
          </w:p>
        </w:tc>
        <w:tc>
          <w:tcPr>
            <w:tcW w:w="4562" w:type="dxa"/>
            <w:tcBorders>
              <w:bottom w:val="nil"/>
            </w:tcBorders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* </w:t>
            </w:r>
            <w:r>
              <w:rPr>
                <w:b/>
                <w:sz w:val="20"/>
              </w:rPr>
              <w:t>管理階層的安全責任與能力不足： </w:t>
            </w:r>
            <w:r>
              <w:rPr>
                <w:sz w:val="20"/>
              </w:rPr>
              <w:t>負責人未能</w:t>
            </w:r>
          </w:p>
        </w:tc>
      </w:tr>
      <w:tr>
        <w:trPr>
          <w:trHeight w:val="346" w:hRule="atLeast"/>
        </w:trPr>
        <w:tc>
          <w:tcPr>
            <w:tcW w:w="7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性錯</w:t>
            </w:r>
          </w:p>
        </w:tc>
        <w:tc>
          <w:tcPr>
            <w:tcW w:w="40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9"/>
              <w:rPr>
                <w:sz w:val="20"/>
              </w:rPr>
            </w:pPr>
            <w:r>
              <w:rPr>
                <w:sz w:val="20"/>
              </w:rPr>
              <w:t>指派或容許勞工在設備、計畫均不足的情況</w:t>
            </w:r>
          </w:p>
        </w:tc>
        <w:tc>
          <w:tcPr>
            <w:tcW w:w="45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8"/>
              <w:rPr>
                <w:sz w:val="20"/>
              </w:rPr>
            </w:pPr>
            <w:r>
              <w:rPr>
                <w:sz w:val="20"/>
              </w:rPr>
              <w:t>履行其規劃、指揮、監督安全作業的職責。這可</w:t>
            </w:r>
          </w:p>
        </w:tc>
      </w:tr>
      <w:tr>
        <w:trPr>
          <w:trHeight w:val="346" w:hRule="atLeast"/>
        </w:trPr>
        <w:tc>
          <w:tcPr>
            <w:tcW w:w="7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誤 或</w:t>
            </w:r>
          </w:p>
        </w:tc>
        <w:tc>
          <w:tcPr>
            <w:tcW w:w="40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9"/>
              <w:rPr>
                <w:sz w:val="20"/>
              </w:rPr>
            </w:pPr>
            <w:r>
              <w:rPr>
                <w:sz w:val="20"/>
              </w:rPr>
              <w:t>下，執行此高風險作業 。</w:t>
            </w:r>
          </w:p>
        </w:tc>
        <w:tc>
          <w:tcPr>
            <w:tcW w:w="45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8"/>
              <w:rPr>
                <w:sz w:val="20"/>
              </w:rPr>
            </w:pPr>
            <w:r>
              <w:rPr>
                <w:sz w:val="20"/>
              </w:rPr>
              <w:t>能是對高處作業風險的</w:t>
            </w:r>
            <w:r>
              <w:rPr>
                <w:b/>
                <w:sz w:val="20"/>
              </w:rPr>
              <w:t>知識性錯誤</w:t>
            </w:r>
            <w:r>
              <w:rPr>
                <w:sz w:val="20"/>
              </w:rPr>
              <w:t>（不知道多危</w:t>
            </w:r>
          </w:p>
        </w:tc>
      </w:tr>
      <w:tr>
        <w:trPr>
          <w:trHeight w:val="347" w:hRule="atLeast"/>
        </w:trPr>
        <w:tc>
          <w:tcPr>
            <w:tcW w:w="762" w:type="dxa"/>
            <w:tcBorders>
              <w:top w:val="nil"/>
            </w:tcBorders>
          </w:tcPr>
          <w:p>
            <w:pPr>
              <w:pStyle w:val="TableParagraph"/>
              <w:spacing w:line="3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違規</w:t>
            </w:r>
          </w:p>
        </w:tc>
        <w:tc>
          <w:tcPr>
            <w:tcW w:w="402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62" w:type="dxa"/>
            <w:tcBorders>
              <w:top w:val="nil"/>
            </w:tcBorders>
          </w:tcPr>
          <w:p>
            <w:pPr>
              <w:pStyle w:val="TableParagraph"/>
              <w:spacing w:line="327" w:lineRule="exact"/>
              <w:ind w:left="108"/>
              <w:rPr>
                <w:sz w:val="20"/>
              </w:rPr>
            </w:pPr>
            <w:r>
              <w:rPr>
                <w:sz w:val="20"/>
              </w:rPr>
              <w:t>險），或是明知有風險但為求方便的</w:t>
            </w:r>
            <w:r>
              <w:rPr>
                <w:b/>
                <w:sz w:val="20"/>
              </w:rPr>
              <w:t>違規</w:t>
            </w:r>
            <w:r>
              <w:rPr>
                <w:sz w:val="20"/>
              </w:rPr>
              <w:t>決策。</w:t>
            </w:r>
          </w:p>
        </w:tc>
      </w:tr>
    </w:tbl>
    <w:p>
      <w:pPr>
        <w:pStyle w:val="BodyText"/>
        <w:spacing w:before="2"/>
        <w:rPr>
          <w:sz w:val="14"/>
        </w:rPr>
      </w:pPr>
      <w:r>
        <w:rPr/>
        <w:pict>
          <v:line style="position:absolute;mso-position-horizontal-relative:page;mso-position-vertical-relative:paragraph;z-index:-856;mso-wrap-distance-left:0;mso-wrap-distance-right:0" from="62.279999pt,15.342645pt" to="533.099999pt,15.342645pt" stroked="true" strokeweight=".72pt" strokecolor="#000000">
            <v:stroke dashstyle="solid"/>
            <w10:wrap type="topAndBottom"/>
          </v:line>
        </w:pict>
      </w:r>
    </w:p>
    <w:p>
      <w:pPr>
        <w:pStyle w:val="Heading1"/>
        <w:spacing w:line="386" w:lineRule="exact"/>
      </w:pPr>
      <w:r>
        <w:rPr/>
        <w:t>七</w:t>
      </w:r>
      <w:r>
        <w:rPr>
          <w:rFonts w:ascii="Calibri" w:eastAsia="Calibri"/>
        </w:rPr>
        <w:t>. </w:t>
      </w:r>
      <w:r>
        <w:rPr/>
        <w:t>根本原因分析與矯正改善措施</w:t>
      </w:r>
    </w:p>
    <w:p>
      <w:pPr>
        <w:pStyle w:val="BodyText"/>
        <w:spacing w:line="225" w:lineRule="auto" w:before="6"/>
        <w:ind w:left="135" w:right="348"/>
      </w:pPr>
      <w:r>
        <w:rPr/>
        <w:t>本章節匯總前述六項分析的結果，旨在明確事故的直接原因與根本原因，並依據控制階層理論，提出能有效防止災害再次發生的系統性改善建議。</w:t>
      </w:r>
    </w:p>
    <w:p>
      <w:pPr>
        <w:pStyle w:val="Heading1"/>
        <w:spacing w:line="409" w:lineRule="exact"/>
      </w:pPr>
      <w:r>
        <w:rPr>
          <w:rFonts w:ascii="Calibri" w:eastAsia="Calibri"/>
        </w:rPr>
        <w:t>(</w:t>
      </w:r>
      <w:r>
        <w:rPr/>
        <w:t>一</w:t>
      </w:r>
      <w:r>
        <w:rPr>
          <w:rFonts w:ascii="Calibri" w:eastAsia="Calibri"/>
        </w:rPr>
        <w:t>) </w:t>
      </w:r>
      <w:r>
        <w:rPr/>
        <w:t>立即原因</w:t>
      </w:r>
    </w:p>
    <w:p>
      <w:pPr>
        <w:pStyle w:val="BodyText"/>
        <w:spacing w:line="415" w:lineRule="exact"/>
        <w:ind w:left="135"/>
      </w:pPr>
      <w:r>
        <w:rPr/>
        <w:t>立即原因是指在事故發生前，直接導致事故發生的不安全行為與不安全狀況。</w:t>
      </w:r>
    </w:p>
    <w:p>
      <w:pPr>
        <w:pStyle w:val="Heading1"/>
        <w:numPr>
          <w:ilvl w:val="0"/>
          <w:numId w:val="1"/>
        </w:numPr>
        <w:tabs>
          <w:tab w:pos="855" w:val="left" w:leader="none"/>
          <w:tab w:pos="856" w:val="left" w:leader="none"/>
        </w:tabs>
        <w:spacing w:line="428" w:lineRule="exact" w:before="0" w:after="0"/>
        <w:ind w:left="855" w:right="0" w:hanging="360"/>
        <w:jc w:val="left"/>
        <w:rPr>
          <w:rFonts w:ascii="Calibri" w:hAnsi="Calibri" w:eastAsia="Calibri"/>
        </w:rPr>
      </w:pPr>
      <w:r>
        <w:rPr>
          <w:spacing w:val="8"/>
        </w:rPr>
        <w:t>不安全的狀況 </w:t>
      </w:r>
      <w:r>
        <w:rPr>
          <w:rFonts w:ascii="Calibri" w:hAnsi="Calibri" w:eastAsia="Calibri"/>
        </w:rPr>
        <w:t>(Unsafe Conditions):</w:t>
      </w:r>
    </w:p>
    <w:p>
      <w:pPr>
        <w:spacing w:after="0" w:line="428" w:lineRule="exact"/>
        <w:jc w:val="left"/>
        <w:rPr>
          <w:rFonts w:ascii="Calibri" w:hAnsi="Calibri" w:eastAsia="Calibri"/>
        </w:rPr>
        <w:sectPr>
          <w:pgSz w:w="11910" w:h="16840"/>
          <w:pgMar w:top="1420" w:bottom="280" w:left="1140" w:right="1160"/>
        </w:sectPr>
      </w:pPr>
    </w:p>
    <w:p>
      <w:pPr>
        <w:pStyle w:val="ListParagraph"/>
        <w:numPr>
          <w:ilvl w:val="1"/>
          <w:numId w:val="1"/>
        </w:numPr>
        <w:tabs>
          <w:tab w:pos="1576" w:val="left" w:leader="none"/>
        </w:tabs>
        <w:spacing w:line="225" w:lineRule="auto" w:before="47" w:after="0"/>
        <w:ind w:left="1575" w:right="180" w:hanging="360"/>
        <w:jc w:val="left"/>
        <w:rPr>
          <w:sz w:val="24"/>
        </w:rPr>
      </w:pPr>
      <w:r>
        <w:rPr>
          <w:b/>
          <w:sz w:val="24"/>
        </w:rPr>
        <w:t>提供的設備不足： </w:t>
      </w:r>
      <w:r>
        <w:rPr>
          <w:sz w:val="24"/>
        </w:rPr>
        <w:t>所提供的施工架</w:t>
      </w:r>
      <w:r>
        <w:rPr>
          <w:rFonts w:ascii="Calibri" w:eastAsia="Calibri"/>
          <w:sz w:val="24"/>
        </w:rPr>
        <w:t>(3.4</w:t>
      </w:r>
      <w:r>
        <w:rPr>
          <w:rFonts w:ascii="Calibri" w:eastAsia="Calibri"/>
          <w:spacing w:val="6"/>
          <w:sz w:val="24"/>
        </w:rPr>
        <w:t> </w:t>
      </w:r>
      <w:r>
        <w:rPr>
          <w:sz w:val="24"/>
        </w:rPr>
        <w:t>公尺</w:t>
      </w:r>
      <w:r>
        <w:rPr>
          <w:rFonts w:ascii="Calibri" w:eastAsia="Calibri"/>
          <w:sz w:val="24"/>
        </w:rPr>
        <w:t>)</w:t>
      </w:r>
      <w:r>
        <w:rPr>
          <w:sz w:val="24"/>
        </w:rPr>
        <w:t>高度不足以應對作業需求</w:t>
      </w:r>
      <w:r>
        <w:rPr>
          <w:rFonts w:ascii="Calibri" w:eastAsia="Calibri"/>
          <w:spacing w:val="-4"/>
          <w:sz w:val="24"/>
        </w:rPr>
        <w:t>(5.96 </w:t>
      </w:r>
      <w:r>
        <w:rPr>
          <w:sz w:val="24"/>
        </w:rPr>
        <w:t>公尺</w:t>
      </w:r>
      <w:r>
        <w:rPr>
          <w:rFonts w:ascii="Calibri" w:eastAsia="Calibri"/>
          <w:sz w:val="24"/>
        </w:rPr>
        <w:t>)</w:t>
      </w:r>
      <w:r>
        <w:rPr>
          <w:sz w:val="24"/>
        </w:rPr>
        <w:t>，這是導致後續所有不安全行為的源頭。</w:t>
      </w:r>
    </w:p>
    <w:p>
      <w:pPr>
        <w:pStyle w:val="ListParagraph"/>
        <w:numPr>
          <w:ilvl w:val="1"/>
          <w:numId w:val="1"/>
        </w:numPr>
        <w:tabs>
          <w:tab w:pos="1576" w:val="left" w:leader="none"/>
        </w:tabs>
        <w:spacing w:line="225" w:lineRule="auto" w:before="1" w:after="0"/>
        <w:ind w:left="1575" w:right="228" w:hanging="360"/>
        <w:jc w:val="left"/>
        <w:rPr>
          <w:sz w:val="24"/>
        </w:rPr>
      </w:pPr>
      <w:r>
        <w:rPr>
          <w:b/>
          <w:sz w:val="24"/>
        </w:rPr>
        <w:t>工作平台本質不安全： </w:t>
      </w:r>
      <w:r>
        <w:rPr>
          <w:spacing w:val="-1"/>
          <w:sz w:val="24"/>
        </w:rPr>
        <w:t>將移動梯架設於施工架上，形成一個結構上與力學</w:t>
      </w:r>
      <w:r>
        <w:rPr>
          <w:sz w:val="24"/>
        </w:rPr>
        <w:t>上都極不穩定的組合式平台。</w:t>
      </w:r>
    </w:p>
    <w:p>
      <w:pPr>
        <w:pStyle w:val="ListParagraph"/>
        <w:numPr>
          <w:ilvl w:val="1"/>
          <w:numId w:val="1"/>
        </w:numPr>
        <w:tabs>
          <w:tab w:pos="1576" w:val="left" w:leader="none"/>
        </w:tabs>
        <w:spacing w:line="225" w:lineRule="auto" w:before="0" w:after="0"/>
        <w:ind w:left="1575" w:right="228" w:hanging="360"/>
        <w:jc w:val="left"/>
        <w:rPr>
          <w:sz w:val="24"/>
        </w:rPr>
      </w:pPr>
      <w:r>
        <w:rPr>
          <w:b/>
          <w:sz w:val="24"/>
        </w:rPr>
        <w:t>基底不穩固： </w:t>
      </w:r>
      <w:r>
        <w:rPr>
          <w:spacing w:val="-1"/>
          <w:sz w:val="24"/>
        </w:rPr>
        <w:t>施工架直接架設於不平整的樓梯梯級上，未能確保其水平與</w:t>
      </w:r>
      <w:r>
        <w:rPr>
          <w:sz w:val="24"/>
        </w:rPr>
        <w:t>穩定。</w:t>
      </w:r>
    </w:p>
    <w:p>
      <w:pPr>
        <w:pStyle w:val="Heading1"/>
        <w:numPr>
          <w:ilvl w:val="0"/>
          <w:numId w:val="1"/>
        </w:numPr>
        <w:tabs>
          <w:tab w:pos="855" w:val="left" w:leader="none"/>
          <w:tab w:pos="856" w:val="left" w:leader="none"/>
        </w:tabs>
        <w:spacing w:line="410" w:lineRule="exact" w:before="0" w:after="0"/>
        <w:ind w:left="855" w:right="0" w:hanging="360"/>
        <w:jc w:val="left"/>
        <w:rPr>
          <w:rFonts w:ascii="Calibri" w:hAnsi="Calibri" w:eastAsia="Calibri"/>
        </w:rPr>
      </w:pPr>
      <w:r>
        <w:rPr>
          <w:spacing w:val="8"/>
        </w:rPr>
        <w:t>不安全的行為 </w:t>
      </w:r>
      <w:r>
        <w:rPr>
          <w:rFonts w:ascii="Calibri" w:hAnsi="Calibri" w:eastAsia="Calibri"/>
        </w:rPr>
        <w:t>(Unsafe Acts):</w:t>
      </w:r>
    </w:p>
    <w:p>
      <w:pPr>
        <w:pStyle w:val="ListParagraph"/>
        <w:numPr>
          <w:ilvl w:val="0"/>
          <w:numId w:val="17"/>
        </w:numPr>
        <w:tabs>
          <w:tab w:pos="1576" w:val="left" w:leader="none"/>
        </w:tabs>
        <w:spacing w:line="225" w:lineRule="auto" w:before="6" w:after="0"/>
        <w:ind w:left="1575" w:right="228" w:hanging="360"/>
        <w:jc w:val="left"/>
        <w:rPr>
          <w:sz w:val="24"/>
        </w:rPr>
      </w:pPr>
      <w:r>
        <w:rPr>
          <w:b/>
          <w:sz w:val="24"/>
        </w:rPr>
        <w:t>採用極端危險的作業方法： </w:t>
      </w:r>
      <w:r>
        <w:rPr>
          <w:spacing w:val="-1"/>
          <w:sz w:val="24"/>
        </w:rPr>
        <w:t>現場作業人員決定以「施工架上再架梯」的方</w:t>
      </w:r>
      <w:r>
        <w:rPr>
          <w:sz w:val="24"/>
        </w:rPr>
        <w:t>式來彌補設備高度的不足，此為致命的錯誤決策 。</w:t>
      </w:r>
    </w:p>
    <w:p>
      <w:pPr>
        <w:pStyle w:val="ListParagraph"/>
        <w:numPr>
          <w:ilvl w:val="0"/>
          <w:numId w:val="17"/>
        </w:numPr>
        <w:tabs>
          <w:tab w:pos="1576" w:val="left" w:leader="none"/>
        </w:tabs>
        <w:spacing w:line="225" w:lineRule="auto" w:before="0" w:after="0"/>
        <w:ind w:left="1575" w:right="228" w:hanging="360"/>
        <w:jc w:val="left"/>
        <w:rPr>
          <w:sz w:val="24"/>
        </w:rPr>
      </w:pPr>
      <w:r>
        <w:rPr>
          <w:b/>
          <w:sz w:val="24"/>
        </w:rPr>
        <w:t>穩定措施完全無效： </w:t>
      </w:r>
      <w:r>
        <w:rPr>
          <w:spacing w:val="-1"/>
          <w:sz w:val="24"/>
        </w:rPr>
        <w:t>以徒手扶持的方式試圖穩定施工架，此舉無法提供有</w:t>
      </w:r>
      <w:r>
        <w:rPr>
          <w:sz w:val="24"/>
        </w:rPr>
        <w:t>效的支撐或穩定力，反而給予作業者虛假的安全感 。</w:t>
      </w:r>
    </w:p>
    <w:p>
      <w:pPr>
        <w:pStyle w:val="ListParagraph"/>
        <w:numPr>
          <w:ilvl w:val="0"/>
          <w:numId w:val="17"/>
        </w:numPr>
        <w:tabs>
          <w:tab w:pos="1576" w:val="left" w:leader="none"/>
        </w:tabs>
        <w:spacing w:line="225" w:lineRule="auto" w:before="1" w:after="0"/>
        <w:ind w:left="1575" w:right="228" w:hanging="360"/>
        <w:jc w:val="left"/>
        <w:rPr>
          <w:sz w:val="24"/>
        </w:rPr>
      </w:pPr>
      <w:r>
        <w:rPr>
          <w:b/>
          <w:sz w:val="24"/>
        </w:rPr>
        <w:t>未依規定使用個人防護具： </w:t>
      </w:r>
      <w:r>
        <w:rPr>
          <w:spacing w:val="-1"/>
          <w:sz w:val="24"/>
        </w:rPr>
        <w:t>在有墜落之虞的高處作業場所，罹災者未使用</w:t>
      </w:r>
      <w:r>
        <w:rPr>
          <w:sz w:val="24"/>
        </w:rPr>
        <w:t>安全帶等個人防墜護具 </w:t>
      </w:r>
      <w:r>
        <w:rPr>
          <w:rFonts w:ascii="Calibri" w:eastAsia="Calibri"/>
          <w:sz w:val="24"/>
        </w:rPr>
        <w:t>(</w:t>
      </w:r>
      <w:r>
        <w:rPr>
          <w:sz w:val="24"/>
        </w:rPr>
        <w:t>依墜落事實推斷</w:t>
      </w:r>
      <w:r>
        <w:rPr>
          <w:rFonts w:ascii="Calibri" w:eastAsia="Calibri"/>
          <w:sz w:val="24"/>
        </w:rPr>
        <w:t>)</w:t>
      </w:r>
      <w:r>
        <w:rPr>
          <w:sz w:val="24"/>
        </w:rPr>
        <w:t>。</w:t>
      </w:r>
    </w:p>
    <w:p>
      <w:pPr>
        <w:pStyle w:val="Heading1"/>
        <w:spacing w:line="409" w:lineRule="exact"/>
      </w:pPr>
      <w:r>
        <w:rPr>
          <w:rFonts w:ascii="Calibri" w:eastAsia="Calibri"/>
        </w:rPr>
        <w:t>(</w:t>
      </w:r>
      <w:r>
        <w:rPr/>
        <w:t>二</w:t>
      </w:r>
      <w:r>
        <w:rPr>
          <w:rFonts w:ascii="Calibri" w:eastAsia="Calibri"/>
        </w:rPr>
        <w:t>) </w:t>
      </w:r>
      <w:r>
        <w:rPr/>
        <w:t>根本原因</w:t>
      </w:r>
    </w:p>
    <w:p>
      <w:pPr>
        <w:pStyle w:val="BodyText"/>
        <w:spacing w:line="225" w:lineRule="auto" w:before="5"/>
        <w:ind w:left="135" w:right="588"/>
      </w:pPr>
      <w:r>
        <w:rPr/>
        <w:t>根本原因是導致不安全行為與不安全狀況得以存在的、可被矯正的管理系統層級的缺陷。</w:t>
      </w:r>
    </w:p>
    <w:p>
      <w:pPr>
        <w:pStyle w:val="ListParagraph"/>
        <w:numPr>
          <w:ilvl w:val="0"/>
          <w:numId w:val="18"/>
        </w:numPr>
        <w:tabs>
          <w:tab w:pos="856" w:val="left" w:leader="none"/>
        </w:tabs>
        <w:spacing w:line="225" w:lineRule="auto" w:before="1" w:after="0"/>
        <w:ind w:left="855" w:right="228" w:hanging="360"/>
        <w:jc w:val="left"/>
        <w:rPr>
          <w:sz w:val="24"/>
        </w:rPr>
      </w:pPr>
      <w:r>
        <w:rPr>
          <w:b/>
          <w:sz w:val="24"/>
        </w:rPr>
        <w:t>作業規劃與風險評估的完全失敗： </w:t>
      </w:r>
      <w:r>
        <w:rPr>
          <w:sz w:val="24"/>
        </w:rPr>
        <w:t>這是本次事故</w:t>
      </w:r>
      <w:r>
        <w:rPr>
          <w:b/>
          <w:sz w:val="24"/>
        </w:rPr>
        <w:t>最核心的根本原因</w:t>
      </w:r>
      <w:r>
        <w:rPr>
          <w:spacing w:val="-3"/>
          <w:sz w:val="24"/>
        </w:rPr>
        <w:t>。管理階層或</w:t>
      </w:r>
      <w:r>
        <w:rPr>
          <w:sz w:val="24"/>
        </w:rPr>
        <w:t>現場負責人在派工前，完全沒有對此項「非例行性高處作業」進行充分的規劃， 未能辨識出作業高度</w:t>
      </w:r>
      <w:r>
        <w:rPr>
          <w:rFonts w:ascii="Calibri" w:eastAsia="Calibri"/>
          <w:sz w:val="24"/>
        </w:rPr>
        <w:t>(5.96m)</w:t>
      </w:r>
      <w:r>
        <w:rPr>
          <w:sz w:val="24"/>
        </w:rPr>
        <w:t>與所備工具</w:t>
      </w:r>
      <w:r>
        <w:rPr>
          <w:rFonts w:ascii="Calibri" w:eastAsia="Calibri"/>
          <w:sz w:val="24"/>
        </w:rPr>
        <w:t>(3.4m</w:t>
      </w:r>
      <w:r>
        <w:rPr>
          <w:rFonts w:ascii="Calibri" w:eastAsia="Calibri"/>
          <w:spacing w:val="2"/>
          <w:sz w:val="24"/>
        </w:rPr>
        <w:t> </w:t>
      </w:r>
      <w:r>
        <w:rPr>
          <w:sz w:val="24"/>
        </w:rPr>
        <w:t>施工架</w:t>
      </w:r>
      <w:r>
        <w:rPr>
          <w:rFonts w:ascii="Calibri" w:eastAsia="Calibri"/>
          <w:sz w:val="24"/>
        </w:rPr>
        <w:t>)</w:t>
      </w:r>
      <w:r>
        <w:rPr>
          <w:sz w:val="24"/>
        </w:rPr>
        <w:t>之間的巨大落差，也因此完全沒有評估到後續可能衍生的致命風險。</w:t>
      </w:r>
    </w:p>
    <w:p>
      <w:pPr>
        <w:pStyle w:val="ListParagraph"/>
        <w:numPr>
          <w:ilvl w:val="0"/>
          <w:numId w:val="18"/>
        </w:numPr>
        <w:tabs>
          <w:tab w:pos="856" w:val="left" w:leader="none"/>
        </w:tabs>
        <w:spacing w:line="225" w:lineRule="auto" w:before="2" w:after="0"/>
        <w:ind w:left="855" w:right="348" w:hanging="360"/>
        <w:jc w:val="left"/>
        <w:rPr>
          <w:sz w:val="24"/>
        </w:rPr>
      </w:pPr>
      <w:r>
        <w:rPr>
          <w:b/>
          <w:sz w:val="24"/>
        </w:rPr>
        <w:t>安全作業程序與許可制度的闕如： </w:t>
      </w:r>
      <w:r>
        <w:rPr>
          <w:sz w:val="24"/>
        </w:rPr>
        <w:t>公司未建立針對高處作業的</w:t>
      </w:r>
      <w:r>
        <w:rPr>
          <w:b/>
          <w:sz w:val="24"/>
        </w:rPr>
        <w:t>安全作業許可制度</w:t>
      </w:r>
      <w:r>
        <w:rPr>
          <w:sz w:val="24"/>
        </w:rPr>
        <w:t>。若有此制度，作業前就必須檢核設備、方法、人員資格，當發現設備不足 </w:t>
      </w:r>
      <w:r>
        <w:rPr>
          <w:spacing w:val="-1"/>
          <w:sz w:val="24"/>
        </w:rPr>
        <w:t>時，此項作業根本不應被批准執行。同時，也缺乏指導勞工在面對設備不足時應</w:t>
      </w:r>
    </w:p>
    <w:p>
      <w:pPr>
        <w:pStyle w:val="BodyText"/>
        <w:spacing w:line="410" w:lineRule="exact"/>
        <w:ind w:left="855"/>
      </w:pPr>
      <w:r>
        <w:rPr/>
        <w:t>「停止作業並回報」，而非「自行設法解決」的標準程序。</w:t>
      </w:r>
    </w:p>
    <w:p>
      <w:pPr>
        <w:pStyle w:val="ListParagraph"/>
        <w:numPr>
          <w:ilvl w:val="0"/>
          <w:numId w:val="18"/>
        </w:numPr>
        <w:tabs>
          <w:tab w:pos="856" w:val="left" w:leader="none"/>
        </w:tabs>
        <w:spacing w:line="225" w:lineRule="auto" w:before="5" w:after="0"/>
        <w:ind w:left="855" w:right="228" w:hanging="360"/>
        <w:jc w:val="left"/>
        <w:rPr>
          <w:sz w:val="24"/>
        </w:rPr>
      </w:pPr>
      <w:r>
        <w:rPr>
          <w:b/>
          <w:sz w:val="24"/>
        </w:rPr>
        <w:t>現場監督機制的完全失效： </w:t>
      </w:r>
      <w:r>
        <w:rPr>
          <w:spacing w:val="-1"/>
          <w:sz w:val="24"/>
        </w:rPr>
        <w:t>現場雖有另一名同事，但其角色是「協助」執行不安</w:t>
      </w:r>
      <w:r>
        <w:rPr>
          <w:sz w:val="24"/>
        </w:rPr>
        <w:t>全的行為，而非「監督」並制止。這顯示公司未指派具備安全衛生知識、有能力且被賦予權責的現場監督人員來管制高風險作業。</w:t>
      </w:r>
    </w:p>
    <w:p>
      <w:pPr>
        <w:pStyle w:val="ListParagraph"/>
        <w:numPr>
          <w:ilvl w:val="0"/>
          <w:numId w:val="18"/>
        </w:numPr>
        <w:tabs>
          <w:tab w:pos="856" w:val="left" w:leader="none"/>
        </w:tabs>
        <w:spacing w:line="225" w:lineRule="auto" w:before="1" w:after="0"/>
        <w:ind w:left="855" w:right="228" w:hanging="360"/>
        <w:jc w:val="left"/>
        <w:rPr>
          <w:sz w:val="24"/>
        </w:rPr>
      </w:pPr>
      <w:r>
        <w:rPr>
          <w:b/>
          <w:sz w:val="24"/>
        </w:rPr>
        <w:t>安全衛生教育訓練不足或無效： </w:t>
      </w:r>
      <w:r>
        <w:rPr>
          <w:spacing w:val="-1"/>
          <w:sz w:val="24"/>
        </w:rPr>
        <w:t>作業人員對於「架上架」作業的致命危險性認知</w:t>
      </w:r>
      <w:r>
        <w:rPr>
          <w:sz w:val="24"/>
        </w:rPr>
        <w:t>不足，也誤以為徒手扶持是有效的穩定方法，這反映出安全衛生教育訓練未能真正深植於員工的日常作業判斷中。</w:t>
      </w:r>
    </w:p>
    <w:p>
      <w:pPr>
        <w:pStyle w:val="Heading1"/>
        <w:spacing w:line="410" w:lineRule="exact"/>
      </w:pPr>
      <w:r>
        <w:rPr>
          <w:rFonts w:ascii="Calibri" w:eastAsia="Calibri"/>
        </w:rPr>
        <w:t>(</w:t>
      </w:r>
      <w:r>
        <w:rPr/>
        <w:t>三</w:t>
      </w:r>
      <w:r>
        <w:rPr>
          <w:rFonts w:ascii="Calibri" w:eastAsia="Calibri"/>
        </w:rPr>
        <w:t>) </w:t>
      </w:r>
      <w:r>
        <w:rPr/>
        <w:t>矯正改善措施建議</w:t>
      </w:r>
    </w:p>
    <w:p>
      <w:pPr>
        <w:pStyle w:val="BodyText"/>
        <w:spacing w:line="225" w:lineRule="auto" w:before="6"/>
        <w:ind w:left="135" w:right="591"/>
      </w:pPr>
      <w:r>
        <w:rPr/>
        <w:t>依據風險控制階層（消除</w:t>
      </w:r>
      <w:r>
        <w:rPr>
          <w:rFonts w:ascii="Calibri" w:eastAsia="Calibri"/>
        </w:rPr>
        <w:t>&gt;</w:t>
      </w:r>
      <w:r>
        <w:rPr/>
        <w:t>取代</w:t>
      </w:r>
      <w:r>
        <w:rPr>
          <w:rFonts w:ascii="Calibri" w:eastAsia="Calibri"/>
        </w:rPr>
        <w:t>&gt;</w:t>
      </w:r>
      <w:r>
        <w:rPr/>
        <w:t>工程控制</w:t>
      </w:r>
      <w:r>
        <w:rPr>
          <w:rFonts w:ascii="Calibri" w:eastAsia="Calibri"/>
        </w:rPr>
        <w:t>&gt;</w:t>
      </w:r>
      <w:r>
        <w:rPr/>
        <w:t>管理控制</w:t>
      </w:r>
      <w:r>
        <w:rPr>
          <w:rFonts w:ascii="Calibri" w:eastAsia="Calibri"/>
        </w:rPr>
        <w:t>&gt;</w:t>
      </w:r>
      <w:r>
        <w:rPr/>
        <w:t>個人防護具），提出以下矯正措施：</w:t>
      </w:r>
    </w:p>
    <w:p>
      <w:pPr>
        <w:spacing w:after="0" w:line="225" w:lineRule="auto"/>
        <w:sectPr>
          <w:pgSz w:w="11910" w:h="16840"/>
          <w:pgMar w:top="1380" w:bottom="280" w:left="1140" w:right="1160"/>
        </w:sectPr>
      </w:pPr>
    </w:p>
    <w:p>
      <w:pPr>
        <w:pStyle w:val="Heading1"/>
        <w:numPr>
          <w:ilvl w:val="0"/>
          <w:numId w:val="1"/>
        </w:numPr>
        <w:tabs>
          <w:tab w:pos="855" w:val="left" w:leader="none"/>
          <w:tab w:pos="856" w:val="left" w:leader="none"/>
        </w:tabs>
        <w:spacing w:line="428" w:lineRule="exact" w:before="28" w:after="0"/>
        <w:ind w:left="855" w:right="0" w:hanging="360"/>
        <w:jc w:val="left"/>
      </w:pPr>
      <w:r>
        <w:rPr/>
        <w:t>制度</w:t>
      </w:r>
      <w:r>
        <w:rPr>
          <w:rFonts w:ascii="Calibri" w:hAnsi="Calibri" w:eastAsia="Calibri"/>
        </w:rPr>
        <w:t>/</w:t>
      </w:r>
      <w:r>
        <w:rPr>
          <w:spacing w:val="11"/>
        </w:rPr>
        <w:t>管理層面 </w:t>
      </w:r>
      <w:r>
        <w:rPr>
          <w:rFonts w:ascii="Calibri" w:hAnsi="Calibri" w:eastAsia="Calibri"/>
        </w:rPr>
        <w:t>(</w:t>
      </w:r>
      <w:r>
        <w:rPr/>
        <w:t>最優先</w:t>
      </w:r>
      <w:r>
        <w:rPr>
          <w:rFonts w:ascii="Calibri" w:hAnsi="Calibri" w:eastAsia="Calibri"/>
        </w:rPr>
        <w:t>)</w:t>
      </w:r>
      <w:r>
        <w:rPr/>
        <w:t>：</w:t>
      </w:r>
    </w:p>
    <w:p>
      <w:pPr>
        <w:pStyle w:val="ListParagraph"/>
        <w:numPr>
          <w:ilvl w:val="1"/>
          <w:numId w:val="18"/>
        </w:numPr>
        <w:tabs>
          <w:tab w:pos="1576" w:val="left" w:leader="none"/>
        </w:tabs>
        <w:spacing w:line="225" w:lineRule="auto" w:before="6" w:after="0"/>
        <w:ind w:left="1575" w:right="227" w:hanging="360"/>
        <w:jc w:val="left"/>
        <w:rPr>
          <w:sz w:val="24"/>
        </w:rPr>
      </w:pPr>
      <w:r>
        <w:rPr>
          <w:b/>
          <w:sz w:val="24"/>
        </w:rPr>
        <w:t>立即建立並嚴格執行「高處作業許可制度」： </w:t>
      </w:r>
      <w:r>
        <w:rPr>
          <w:sz w:val="24"/>
        </w:rPr>
        <w:t>規定凡於 </w:t>
      </w:r>
      <w:r>
        <w:rPr>
          <w:rFonts w:ascii="Calibri" w:eastAsia="Calibri"/>
          <w:sz w:val="24"/>
        </w:rPr>
        <w:t>2</w:t>
      </w:r>
      <w:r>
        <w:rPr>
          <w:rFonts w:ascii="Calibri" w:eastAsia="Calibri"/>
          <w:spacing w:val="5"/>
          <w:sz w:val="24"/>
        </w:rPr>
        <w:t> </w:t>
      </w:r>
      <w:r>
        <w:rPr>
          <w:spacing w:val="-3"/>
          <w:sz w:val="24"/>
        </w:rPr>
        <w:t>公尺以上高處進</w:t>
      </w:r>
      <w:r>
        <w:rPr>
          <w:sz w:val="24"/>
        </w:rPr>
        <w:t>行作業，皆必須事前申請「作業許可」。許可單上應詳列作業方法、使用設備、風險評估結果、控制措施、作業人員資格及現場監督人員，經權責主管審核批准後方可施工。</w:t>
      </w:r>
    </w:p>
    <w:p>
      <w:pPr>
        <w:pStyle w:val="ListParagraph"/>
        <w:numPr>
          <w:ilvl w:val="1"/>
          <w:numId w:val="18"/>
        </w:numPr>
        <w:tabs>
          <w:tab w:pos="1576" w:val="left" w:leader="none"/>
        </w:tabs>
        <w:spacing w:line="225" w:lineRule="auto" w:before="0" w:after="0"/>
        <w:ind w:left="1575" w:right="303" w:hanging="360"/>
        <w:jc w:val="both"/>
        <w:rPr>
          <w:sz w:val="24"/>
        </w:rPr>
      </w:pPr>
      <w:r>
        <w:rPr>
          <w:b/>
          <w:sz w:val="24"/>
        </w:rPr>
        <w:t>強制落實「作業前危害辨識與風險評估</w:t>
      </w:r>
      <w:r>
        <w:rPr>
          <w:rFonts w:ascii="Calibri" w:eastAsia="Calibri"/>
          <w:b/>
          <w:sz w:val="24"/>
        </w:rPr>
        <w:t>(HIRA)</w:t>
      </w:r>
      <w:r>
        <w:rPr>
          <w:b/>
          <w:spacing w:val="19"/>
          <w:sz w:val="24"/>
        </w:rPr>
        <w:t>」： </w:t>
      </w:r>
      <w:r>
        <w:rPr>
          <w:spacing w:val="-2"/>
          <w:sz w:val="24"/>
        </w:rPr>
        <w:t>將風險評估列為所有作</w:t>
      </w:r>
      <w:r>
        <w:rPr>
          <w:sz w:val="24"/>
        </w:rPr>
        <w:t>業（特別是非例行性作業）的標準前置步驟。評估應由具備資格的人員執行，並確保評估結果能直接用於決定採用的設備與作業方法。</w:t>
      </w:r>
    </w:p>
    <w:p>
      <w:pPr>
        <w:pStyle w:val="ListParagraph"/>
        <w:numPr>
          <w:ilvl w:val="1"/>
          <w:numId w:val="18"/>
        </w:numPr>
        <w:tabs>
          <w:tab w:pos="1576" w:val="left" w:leader="none"/>
        </w:tabs>
        <w:spacing w:line="225" w:lineRule="auto" w:before="1" w:after="0"/>
        <w:ind w:left="1575" w:right="228" w:hanging="360"/>
        <w:jc w:val="left"/>
        <w:rPr>
          <w:sz w:val="24"/>
        </w:rPr>
      </w:pPr>
      <w:r>
        <w:rPr>
          <w:b/>
          <w:sz w:val="24"/>
        </w:rPr>
        <w:t>修訂承攬管理程序： </w:t>
      </w:r>
      <w:r>
        <w:rPr>
          <w:spacing w:val="-1"/>
          <w:sz w:val="24"/>
        </w:rPr>
        <w:t>若涉及承攬商，必須將「施工計畫」與「風險評估報</w:t>
      </w:r>
      <w:r>
        <w:rPr>
          <w:sz w:val="24"/>
        </w:rPr>
        <w:t>告」列為承攬合約的必要審查文件。業主或原事業單位應在作業前審查其安全性，並負起共同作業的指揮、協調與監督之責。</w:t>
      </w:r>
    </w:p>
    <w:p>
      <w:pPr>
        <w:pStyle w:val="Heading1"/>
        <w:numPr>
          <w:ilvl w:val="0"/>
          <w:numId w:val="1"/>
        </w:numPr>
        <w:tabs>
          <w:tab w:pos="855" w:val="left" w:leader="none"/>
          <w:tab w:pos="856" w:val="left" w:leader="none"/>
        </w:tabs>
        <w:spacing w:line="410" w:lineRule="exact" w:before="0" w:after="0"/>
        <w:ind w:left="855" w:right="0" w:hanging="360"/>
        <w:jc w:val="left"/>
      </w:pPr>
      <w:r>
        <w:rPr/>
        <w:t>規劃</w:t>
      </w:r>
      <w:r>
        <w:rPr>
          <w:rFonts w:ascii="Calibri" w:hAnsi="Calibri" w:eastAsia="Calibri"/>
        </w:rPr>
        <w:t>/</w:t>
      </w:r>
      <w:r>
        <w:rPr/>
        <w:t>工程控制層面：</w:t>
      </w:r>
    </w:p>
    <w:p>
      <w:pPr>
        <w:pStyle w:val="ListParagraph"/>
        <w:numPr>
          <w:ilvl w:val="0"/>
          <w:numId w:val="19"/>
        </w:numPr>
        <w:tabs>
          <w:tab w:pos="1576" w:val="left" w:leader="none"/>
        </w:tabs>
        <w:spacing w:line="225" w:lineRule="auto" w:before="7" w:after="0"/>
        <w:ind w:left="1575" w:right="228" w:hanging="360"/>
        <w:jc w:val="left"/>
        <w:rPr>
          <w:sz w:val="24"/>
        </w:rPr>
      </w:pPr>
      <w:r>
        <w:rPr>
          <w:b/>
          <w:sz w:val="24"/>
        </w:rPr>
        <w:t>建立安全的設備請購與管理程序： </w:t>
      </w:r>
      <w:r>
        <w:rPr>
          <w:spacing w:val="-1"/>
          <w:sz w:val="24"/>
        </w:rPr>
        <w:t>確保所有作業的設備採購或調度，均須</w:t>
      </w:r>
      <w:r>
        <w:rPr>
          <w:sz w:val="24"/>
        </w:rPr>
        <w:t>基於風險評估的結果。應建立設備清單，確保能為常見的高風險作業提供合適、充足的安全設備（如不同高度的合梯、施工架、高空作業車等）。</w:t>
      </w:r>
    </w:p>
    <w:p>
      <w:pPr>
        <w:pStyle w:val="ListParagraph"/>
        <w:numPr>
          <w:ilvl w:val="0"/>
          <w:numId w:val="19"/>
        </w:numPr>
        <w:tabs>
          <w:tab w:pos="1576" w:val="left" w:leader="none"/>
        </w:tabs>
        <w:spacing w:line="225" w:lineRule="auto" w:before="0" w:after="0"/>
        <w:ind w:left="1575" w:right="228" w:hanging="360"/>
        <w:jc w:val="left"/>
        <w:rPr>
          <w:sz w:val="24"/>
        </w:rPr>
      </w:pPr>
      <w:r>
        <w:rPr>
          <w:b/>
          <w:sz w:val="24"/>
        </w:rPr>
        <w:t>源頭管理： </w:t>
      </w:r>
      <w:r>
        <w:rPr>
          <w:spacing w:val="-1"/>
          <w:sz w:val="24"/>
        </w:rPr>
        <w:t>在承接工程或規劃作業時，就應將施工安全方法與成本納入考</w:t>
      </w:r>
      <w:r>
        <w:rPr>
          <w:sz w:val="24"/>
        </w:rPr>
        <w:t>量，避免因預算或時程壓力，導致現場人員使用不安全的替代方案。</w:t>
      </w:r>
    </w:p>
    <w:p>
      <w:pPr>
        <w:pStyle w:val="Heading1"/>
        <w:numPr>
          <w:ilvl w:val="0"/>
          <w:numId w:val="1"/>
        </w:numPr>
        <w:tabs>
          <w:tab w:pos="855" w:val="left" w:leader="none"/>
          <w:tab w:pos="856" w:val="left" w:leader="none"/>
        </w:tabs>
        <w:spacing w:line="410" w:lineRule="exact" w:before="0" w:after="0"/>
        <w:ind w:left="855" w:right="0" w:hanging="360"/>
        <w:jc w:val="left"/>
      </w:pPr>
      <w:r>
        <w:rPr/>
        <w:t>人員層面：</w:t>
      </w:r>
    </w:p>
    <w:p>
      <w:pPr>
        <w:pStyle w:val="ListParagraph"/>
        <w:numPr>
          <w:ilvl w:val="0"/>
          <w:numId w:val="20"/>
        </w:numPr>
        <w:tabs>
          <w:tab w:pos="1576" w:val="left" w:leader="none"/>
        </w:tabs>
        <w:spacing w:line="225" w:lineRule="auto" w:before="5" w:after="0"/>
        <w:ind w:left="1575" w:right="228" w:hanging="360"/>
        <w:jc w:val="left"/>
        <w:rPr>
          <w:sz w:val="24"/>
        </w:rPr>
      </w:pPr>
      <w:r>
        <w:rPr>
          <w:b/>
          <w:sz w:val="24"/>
        </w:rPr>
        <w:t>實施專項高處作業安全再訓練： </w:t>
      </w:r>
      <w:r>
        <w:rPr>
          <w:spacing w:val="-1"/>
          <w:sz w:val="24"/>
        </w:rPr>
        <w:t>立即將本次事故作為活教材，對全體員工</w:t>
      </w:r>
      <w:r>
        <w:rPr>
          <w:sz w:val="24"/>
        </w:rPr>
        <w:t>進行專項訓練。訓練重點應包含：</w:t>
      </w:r>
      <w:r>
        <w:rPr>
          <w:rFonts w:ascii="Calibri" w:eastAsia="Calibri"/>
          <w:sz w:val="24"/>
        </w:rPr>
        <w:t>(1)</w:t>
      </w:r>
      <w:r>
        <w:rPr>
          <w:sz w:val="24"/>
        </w:rPr>
        <w:t>辨識何為不安全的作業方法與設備；</w:t>
      </w:r>
    </w:p>
    <w:p>
      <w:pPr>
        <w:spacing w:line="225" w:lineRule="auto" w:before="1"/>
        <w:ind w:left="1575" w:right="321" w:firstLine="0"/>
        <w:jc w:val="left"/>
        <w:rPr>
          <w:sz w:val="24"/>
        </w:rPr>
      </w:pPr>
      <w:r>
        <w:rPr>
          <w:rFonts w:ascii="Calibri" w:eastAsia="Calibri"/>
          <w:sz w:val="24"/>
        </w:rPr>
        <w:t>(2)</w:t>
      </w:r>
      <w:r>
        <w:rPr>
          <w:sz w:val="24"/>
        </w:rPr>
        <w:t>強調在設備或程序不明確時，</w:t>
      </w:r>
      <w:r>
        <w:rPr>
          <w:b/>
          <w:sz w:val="24"/>
        </w:rPr>
        <w:t>勞工有權利與責任「停止作業」並向主管報告</w:t>
      </w:r>
      <w:r>
        <w:rPr>
          <w:sz w:val="24"/>
        </w:rPr>
        <w:t>；</w:t>
      </w:r>
      <w:r>
        <w:rPr>
          <w:rFonts w:ascii="Calibri" w:eastAsia="Calibri"/>
          <w:sz w:val="24"/>
        </w:rPr>
        <w:t>(3)</w:t>
      </w:r>
      <w:r>
        <w:rPr>
          <w:sz w:val="24"/>
        </w:rPr>
        <w:t>個人防墜護具的正確使用方法。</w:t>
      </w:r>
    </w:p>
    <w:p>
      <w:pPr>
        <w:pStyle w:val="ListParagraph"/>
        <w:numPr>
          <w:ilvl w:val="0"/>
          <w:numId w:val="20"/>
        </w:numPr>
        <w:tabs>
          <w:tab w:pos="1576" w:val="left" w:leader="none"/>
        </w:tabs>
        <w:spacing w:line="225" w:lineRule="auto" w:before="1" w:after="0"/>
        <w:ind w:left="1575" w:right="228" w:hanging="360"/>
        <w:jc w:val="left"/>
        <w:rPr>
          <w:sz w:val="24"/>
        </w:rPr>
      </w:pPr>
      <w:r>
        <w:rPr>
          <w:b/>
          <w:sz w:val="24"/>
        </w:rPr>
        <w:t>明確現場作業負責人與監督者之職權： </w:t>
      </w:r>
      <w:r>
        <w:rPr>
          <w:spacing w:val="-2"/>
          <w:sz w:val="24"/>
        </w:rPr>
        <w:t>對指派的現場負責人、監督人員進</w:t>
      </w:r>
      <w:r>
        <w:rPr>
          <w:sz w:val="24"/>
        </w:rPr>
        <w:t>行專門訓練，授予其「立即停止不安全作業」的權力與責任，並進行有效的績效考核。</w:t>
      </w:r>
    </w:p>
    <w:sectPr>
      <w:pgSz w:w="11910" w:h="16840"/>
      <w:pgMar w:top="1380" w:bottom="280" w:left="114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微軟正黑體">
    <w:altName w:val="微軟正黑體"/>
    <w:charset w:val="88"/>
    <w:family w:val="swiss"/>
    <w:pitch w:val="variable"/>
  </w:font>
  <w:font w:name="Symbol">
    <w:altName w:val="Symbol"/>
    <w:charset w:val="2"/>
    <w:family w:val="roman"/>
    <w:pitch w:val="variable"/>
  </w:font>
  <w:font w:name="Segoe UI">
    <w:altName w:val="Segoe U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"/>
      <w:numFmt w:val="decimal"/>
      <w:lvlText w:val="%1."/>
      <w:lvlJc w:val="left"/>
      <w:pPr>
        <w:ind w:left="1575" w:hanging="360"/>
        <w:jc w:val="left"/>
      </w:pPr>
      <w:rPr>
        <w:rFonts w:hint="default" w:ascii="Calibri" w:hAnsi="Calibri" w:eastAsia="Calibri" w:cs="Calibri"/>
        <w:spacing w:val="-16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8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8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9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01" w:hanging="360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575" w:hanging="360"/>
        <w:jc w:val="left"/>
      </w:pPr>
      <w:rPr>
        <w:rFonts w:hint="default" w:ascii="Calibri" w:hAnsi="Calibri" w:eastAsia="Calibri" w:cs="Calibri"/>
        <w:spacing w:val="-16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8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8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9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01" w:hanging="360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855" w:hanging="360"/>
        <w:jc w:val="left"/>
      </w:pPr>
      <w:rPr>
        <w:rFonts w:hint="default" w:ascii="Calibri" w:hAnsi="Calibri" w:eastAsia="Calibri" w:cs="Calibri"/>
        <w:spacing w:val="-16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1575" w:hanging="360"/>
        <w:jc w:val="left"/>
      </w:pPr>
      <w:rPr>
        <w:rFonts w:hint="default" w:ascii="Calibri" w:hAnsi="Calibri" w:eastAsia="Calibri" w:cs="Calibri"/>
        <w:spacing w:val="-16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7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3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2" w:hanging="360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575" w:hanging="360"/>
        <w:jc w:val="left"/>
      </w:pPr>
      <w:rPr>
        <w:rFonts w:hint="default" w:ascii="Calibri" w:hAnsi="Calibri" w:eastAsia="Calibri" w:cs="Calibri"/>
        <w:spacing w:val="-16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8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8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9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01" w:hanging="360"/>
      </w:pPr>
      <w:rPr>
        <w:rFonts w:hint="default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291" w:hanging="183"/>
      </w:pPr>
      <w:rPr>
        <w:rFonts w:hint="default" w:ascii="Segoe UI" w:hAnsi="Segoe UI" w:eastAsia="Segoe UI" w:cs="Segoe UI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27" w:hanging="1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54" w:hanging="1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81" w:hanging="1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08" w:hanging="1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35" w:hanging="1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62" w:hanging="1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89" w:hanging="1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16" w:hanging="183"/>
      </w:pPr>
      <w:rPr>
        <w:rFonts w:hint="default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290" w:hanging="183"/>
      </w:pPr>
      <w:rPr>
        <w:rFonts w:hint="default" w:ascii="Segoe UI" w:hAnsi="Segoe UI" w:eastAsia="Segoe UI" w:cs="Segoe UI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440" w:hanging="1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0" w:hanging="1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60" w:hanging="1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00" w:hanging="1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40" w:hanging="1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80" w:hanging="1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20" w:hanging="183"/>
      </w:pPr>
      <w:rPr>
        <w:rFonts w:hint="default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108" w:hanging="183"/>
      </w:pPr>
      <w:rPr>
        <w:rFonts w:hint="default" w:ascii="Segoe UI" w:hAnsi="Segoe UI" w:eastAsia="Segoe UI" w:cs="Segoe UI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47" w:hanging="1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4" w:hanging="1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41" w:hanging="1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88" w:hanging="1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35" w:hanging="1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82" w:hanging="1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29" w:hanging="1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76" w:hanging="183"/>
      </w:pPr>
      <w:rPr>
        <w:rFonts w:hint="default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290" w:hanging="183"/>
      </w:pPr>
      <w:rPr>
        <w:rFonts w:hint="default" w:ascii="Segoe UI" w:hAnsi="Segoe UI" w:eastAsia="Segoe UI" w:cs="Segoe UI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440" w:hanging="1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0" w:hanging="1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0" w:hanging="1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60" w:hanging="1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00" w:hanging="1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40" w:hanging="1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80" w:hanging="1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20" w:hanging="183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08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47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4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41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88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35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82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29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76" w:hanging="252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360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494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8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62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96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30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64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98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32" w:hanging="252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08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78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56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34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2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90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68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46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24" w:hanging="252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07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04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08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2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16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20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24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28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32" w:hanging="252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08" w:hanging="183"/>
      </w:pPr>
      <w:rPr>
        <w:rFonts w:hint="default" w:ascii="Segoe UI" w:hAnsi="Segoe UI" w:eastAsia="Segoe UI" w:cs="Segoe UI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47" w:hanging="1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4" w:hanging="1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41" w:hanging="1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88" w:hanging="1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35" w:hanging="1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82" w:hanging="1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29" w:hanging="1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76" w:hanging="183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08" w:hanging="183"/>
      </w:pPr>
      <w:rPr>
        <w:rFonts w:hint="default" w:ascii="Segoe UI" w:hAnsi="Segoe UI" w:eastAsia="Segoe UI" w:cs="Segoe UI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60" w:hanging="1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0" w:hanging="1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0" w:hanging="1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0" w:hanging="1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0" w:hanging="1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60" w:hanging="1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20" w:hanging="1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80" w:hanging="183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0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411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03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95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86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78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70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61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53" w:hanging="252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6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95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1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6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2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77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73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68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64" w:hanging="252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6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16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3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50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6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83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00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16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33" w:hanging="252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6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95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1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6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2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77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73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68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64" w:hanging="25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58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50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41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32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22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13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04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94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85" w:hanging="25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55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1575" w:hanging="360"/>
        <w:jc w:val="left"/>
      </w:pPr>
      <w:rPr>
        <w:rFonts w:hint="default" w:ascii="Calibri" w:hAnsi="Calibri" w:eastAsia="Calibri" w:cs="Calibri"/>
        <w:spacing w:val="-4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7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3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2" w:hanging="360"/>
      </w:pPr>
      <w:rPr>
        <w:rFonts w:hint="default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</w:rPr>
  </w:style>
  <w:style w:styleId="BodyText" w:type="paragraph">
    <w:name w:val="Body Text"/>
    <w:basedOn w:val="Normal"/>
    <w:uiPriority w:val="1"/>
    <w:qFormat/>
    <w:pPr/>
    <w:rPr>
      <w:rFonts w:ascii="微軟正黑體" w:hAnsi="微軟正黑體" w:eastAsia="微軟正黑體" w:cs="微軟正黑體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428" w:lineRule="exact"/>
      <w:ind w:left="135"/>
      <w:outlineLvl w:val="1"/>
    </w:pPr>
    <w:rPr>
      <w:rFonts w:ascii="微軟正黑體" w:hAnsi="微軟正黑體" w:eastAsia="微軟正黑體" w:cs="微軟正黑體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55" w:hanging="360"/>
    </w:pPr>
    <w:rPr>
      <w:rFonts w:ascii="微軟正黑體" w:hAnsi="微軟正黑體" w:eastAsia="微軟正黑體" w:cs="微軟正黑體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微軟正黑體" w:hAnsi="微軟正黑體" w:eastAsia="微軟正黑體" w:cs="微軟正黑體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</dc:creator>
  <dcterms:created xsi:type="dcterms:W3CDTF">2025-07-25T00:49:57Z</dcterms:created>
  <dcterms:modified xsi:type="dcterms:W3CDTF">2025-07-25T00:49:57Z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2025-07-25T00:00:00Z</vt:filetime>
  </property>
</Properties>
</file>