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SOA Summary Request</w:t>
      </w:r>
    </w:p>
    <w:p>
      <w:r>
        <w:rPr>
          <w:color w:val="666666"/>
          <w:sz w:val="18"/>
        </w:rPr>
        <w:t>Date: 01 March 2026</w:t>
      </w:r>
    </w:p>
    <w:p/>
    <w:p>
      <w:pPr>
        <w:pStyle w:val="Heading2"/>
      </w:pPr>
      <w:r>
        <w:t>Entities Receiving Advice</w:t>
      </w:r>
    </w:p>
    <w:tbl>
      <w:tblPr>
        <w:tblStyle w:val="TableGrid"/>
        <w:tblW w:type="auto" w:w="0"/>
        <w:jc w:val="left"/>
        <w:tblLook w:firstColumn="1" w:firstRow="1" w:lastColumn="0" w:lastRow="0" w:noHBand="0" w:noVBand="1" w:val="04A0"/>
      </w:tblPr>
      <w:tblGrid>
        <w:gridCol w:w="4986"/>
        <w:gridCol w:w="4986"/>
      </w:tblGrid>
      <w:tr>
        <w:tc>
          <w:tcPr>
            <w:tcW w:type="dxa" w:w="4986"/>
            <w:shd w:fill="1F3864" w:val="clear"/>
          </w:tcPr>
          <w:p>
            <w:pPr>
              <w:jc w:val="left"/>
            </w:pPr>
            <w:r>
              <w:rPr>
                <w:rFonts w:ascii="Calibri" w:hAnsi="Calibri"/>
                <w:b/>
                <w:color w:val="FFFFFF"/>
                <w:sz w:val="18"/>
              </w:rPr>
            </w:r>
            <w:r>
              <w:rPr>
                <w:rFonts w:ascii="Calibri" w:hAnsi="Calibri"/>
                <w:b/>
                <w:color w:val="FFFFFF"/>
                <w:sz w:val="18"/>
              </w:rPr>
              <w:t>Client / Entity</w:t>
            </w:r>
          </w:p>
        </w:tc>
        <w:tc>
          <w:tcPr>
            <w:tcW w:type="dxa" w:w="4986"/>
            <w:shd w:fill="1F3864" w:val="clear"/>
          </w:tcPr>
          <w:p>
            <w:pPr>
              <w:jc w:val="left"/>
            </w:pPr>
            <w:r>
              <w:rPr>
                <w:rFonts w:ascii="Calibri" w:hAnsi="Calibri"/>
                <w:b/>
                <w:color w:val="FFFFFF"/>
                <w:sz w:val="18"/>
              </w:rPr>
            </w:r>
            <w:r>
              <w:rPr>
                <w:rFonts w:ascii="Calibri" w:hAnsi="Calibri"/>
                <w:b/>
                <w:color w:val="FFFFFF"/>
                <w:sz w:val="18"/>
              </w:rPr>
              <w:t>Receiving Advice</w:t>
            </w:r>
          </w:p>
        </w:tc>
      </w:tr>
      <w:tr>
        <w:tc>
          <w:tcPr>
            <w:tcW w:type="dxa" w:w="4986"/>
          </w:tcPr>
          <w:p>
            <w:pPr>
              <w:jc w:val="left"/>
            </w:pPr>
            <w:r/>
            <w:r>
              <w:rPr>
                <w:rFonts w:ascii="Calibri" w:hAnsi="Calibri"/>
                <w:sz w:val="18"/>
              </w:rPr>
              <w:t>Client [Surname]</w:t>
            </w:r>
          </w:p>
        </w:tc>
        <w:tc>
          <w:tcPr>
            <w:tcW w:type="dxa" w:w="4986"/>
          </w:tcPr>
          <w:p>
            <w:pPr>
              <w:jc w:val="left"/>
            </w:pPr>
            <w:r/>
            <w:r>
              <w:rPr>
                <w:rFonts w:ascii="Calibri" w:hAnsi="Calibri"/>
                <w:sz w:val="18"/>
              </w:rPr>
              <w:t>Yes</w:t>
            </w:r>
          </w:p>
        </w:tc>
      </w:tr>
    </w:tbl>
    <w:p/>
    <w:p>
      <w:pPr>
        <w:pStyle w:val="Heading2"/>
      </w:pPr>
      <w:r>
        <w:t>Summary of Advice</w:t>
      </w:r>
    </w:p>
    <w:tbl>
      <w:tblPr>
        <w:tblStyle w:val="TableGrid"/>
        <w:tblW w:type="auto" w:w="0"/>
        <w:jc w:val="left"/>
        <w:tblLook w:firstColumn="1" w:firstRow="1" w:lastColumn="0" w:lastRow="0" w:noHBand="0" w:noVBand="1" w:val="04A0"/>
      </w:tblPr>
      <w:tblGrid>
        <w:gridCol w:w="4986"/>
        <w:gridCol w:w="4986"/>
      </w:tblGrid>
      <w:tr>
        <w:tc>
          <w:tcPr>
            <w:tcW w:type="dxa" w:w="4986"/>
            <w:shd w:fill="1F3864" w:val="clear"/>
          </w:tcPr>
          <w:p>
            <w:pPr>
              <w:jc w:val="left"/>
            </w:pPr>
            <w:r>
              <w:rPr>
                <w:rFonts w:ascii="Calibri" w:hAnsi="Calibri"/>
                <w:b/>
                <w:color w:val="FFFFFF"/>
                <w:sz w:val="18"/>
              </w:rPr>
            </w:r>
            <w:r>
              <w:rPr>
                <w:rFonts w:ascii="Calibri" w:hAnsi="Calibri"/>
                <w:b/>
                <w:color w:val="FFFFFF"/>
                <w:sz w:val="18"/>
              </w:rPr>
              <w:t>#</w:t>
            </w:r>
          </w:p>
        </w:tc>
        <w:tc>
          <w:tcPr>
            <w:tcW w:type="dxa" w:w="4986"/>
            <w:shd w:fill="1F3864" w:val="clear"/>
          </w:tcPr>
          <w:p>
            <w:pPr>
              <w:jc w:val="left"/>
            </w:pPr>
            <w:r>
              <w:rPr>
                <w:rFonts w:ascii="Calibri" w:hAnsi="Calibri"/>
                <w:b/>
                <w:color w:val="FFFFFF"/>
                <w:sz w:val="18"/>
              </w:rPr>
            </w:r>
            <w:r>
              <w:rPr>
                <w:rFonts w:ascii="Calibri" w:hAnsi="Calibri"/>
                <w:b/>
                <w:color w:val="FFFFFF"/>
                <w:sz w:val="18"/>
              </w:rPr>
              <w:t>Item</w:t>
            </w:r>
          </w:p>
        </w:tc>
      </w:tr>
      <w:tr>
        <w:tc>
          <w:tcPr>
            <w:tcW w:type="dxa" w:w="4986"/>
          </w:tcPr>
          <w:p>
            <w:pPr>
              <w:jc w:val="left"/>
            </w:pPr>
            <w:r/>
            <w:r>
              <w:rPr>
                <w:rFonts w:ascii="Calibri" w:hAnsi="Calibri"/>
                <w:sz w:val="18"/>
              </w:rPr>
              <w:t>1</w:t>
            </w:r>
          </w:p>
        </w:tc>
        <w:tc>
          <w:tcPr>
            <w:tcW w:type="dxa" w:w="4986"/>
          </w:tcPr>
          <w:p>
            <w:pPr>
              <w:jc w:val="left"/>
            </w:pPr>
            <w:r/>
            <w:r>
              <w:rPr>
                <w:rFonts w:ascii="Calibri" w:hAnsi="Calibri"/>
                <w:sz w:val="18"/>
              </w:rPr>
              <w:t>Pay out car loan ($63,460) from offset account. Eliminates non-deductible debt at elevated interest rate and frees $876 per month ($10,512 p.a.) in cashflow. Offset balance reduces from $370,000 to $306,540.</w:t>
            </w:r>
          </w:p>
        </w:tc>
      </w:tr>
      <w:tr>
        <w:tc>
          <w:tcPr>
            <w:tcW w:type="dxa" w:w="4986"/>
          </w:tcPr>
          <w:p>
            <w:pPr>
              <w:jc w:val="left"/>
            </w:pPr>
            <w:r/>
            <w:r>
              <w:rPr>
                <w:rFonts w:ascii="Calibri" w:hAnsi="Calibri"/>
                <w:sz w:val="18"/>
              </w:rPr>
              <w:t>2</w:t>
            </w:r>
          </w:p>
        </w:tc>
        <w:tc>
          <w:tcPr>
            <w:tcW w:type="dxa" w:w="4986"/>
          </w:tcPr>
          <w:p>
            <w:pPr>
              <w:jc w:val="left"/>
            </w:pPr>
            <w:r/>
            <w:r>
              <w:rPr>
                <w:rFonts w:ascii="Calibri" w:hAnsi="Calibri"/>
                <w:sz w:val="18"/>
              </w:rPr>
              <w:t>Lodge s290-170 notice of intent to claim a tax deduction with Australian Super on $3,600 of the $50,000 personal contribution made in 2025-26 FY. This converts $3,600 from NCC to concessional contribution, utilising remaining CC cap after employer SG. Must be lodged and acknowledged before lodging 2025-26 tax return. Remaining $46,400 stays as NCC. Tax saving: $864.</w:t>
            </w:r>
          </w:p>
        </w:tc>
      </w:tr>
      <w:tr>
        <w:tc>
          <w:tcPr>
            <w:tcW w:type="dxa" w:w="4986"/>
          </w:tcPr>
          <w:p>
            <w:pPr>
              <w:jc w:val="left"/>
            </w:pPr>
            <w:r/>
            <w:r>
              <w:rPr>
                <w:rFonts w:ascii="Calibri" w:hAnsi="Calibri"/>
                <w:sz w:val="18"/>
              </w:rPr>
              <w:t>3</w:t>
            </w:r>
          </w:p>
        </w:tc>
        <w:tc>
          <w:tcPr>
            <w:tcW w:type="dxa" w:w="4986"/>
          </w:tcPr>
          <w:p>
            <w:pPr>
              <w:jc w:val="left"/>
            </w:pPr>
            <w:r/>
            <w:r>
              <w:rPr>
                <w:rFonts w:ascii="Calibri" w:hAnsi="Calibri"/>
                <w:sz w:val="18"/>
              </w:rPr>
              <w:t>Rebuild offset account to $370,000 from monthly surplus. Estimated 14 months at $4,629 per month. Offset reduces effective mortgage interest to $0 once balance reaches loan balance. Priority is restoring liquidity buffer before directing surplus to super.</w:t>
            </w:r>
          </w:p>
        </w:tc>
      </w:tr>
      <w:tr>
        <w:tc>
          <w:tcPr>
            <w:tcW w:type="dxa" w:w="4986"/>
          </w:tcPr>
          <w:p>
            <w:pPr>
              <w:jc w:val="left"/>
            </w:pPr>
            <w:r/>
            <w:r>
              <w:rPr>
                <w:rFonts w:ascii="Calibri" w:hAnsi="Calibri"/>
                <w:sz w:val="18"/>
              </w:rPr>
              <w:t>4</w:t>
            </w:r>
          </w:p>
        </w:tc>
        <w:tc>
          <w:tcPr>
            <w:tcW w:type="dxa" w:w="4986"/>
          </w:tcPr>
          <w:p>
            <w:pPr>
              <w:jc w:val="left"/>
            </w:pPr>
            <w:r/>
            <w:r>
              <w:rPr>
                <w:rFonts w:ascii="Calibri" w:hAnsi="Calibri"/>
                <w:sz w:val="18"/>
              </w:rPr>
              <w:t>Roll over Australian Super accumulation balance to [Platform] super accumulation account. Paraplanning to determine lowest total cost platform. Insurance position must be confirmed by specialist before rollover proceeds. Retain $10,000 cash in Australian Super if insurance continuity requires it pending specialist review.</w:t>
            </w:r>
          </w:p>
        </w:tc>
      </w:tr>
      <w:tr>
        <w:tc>
          <w:tcPr>
            <w:tcW w:type="dxa" w:w="4986"/>
          </w:tcPr>
          <w:p>
            <w:pPr>
              <w:jc w:val="left"/>
            </w:pPr>
            <w:r/>
            <w:r>
              <w:rPr>
                <w:rFonts w:ascii="Calibri" w:hAnsi="Calibri"/>
                <w:sz w:val="18"/>
              </w:rPr>
              <w:t>5</w:t>
            </w:r>
          </w:p>
        </w:tc>
        <w:tc>
          <w:tcPr>
            <w:tcW w:type="dxa" w:w="4986"/>
          </w:tcPr>
          <w:p>
            <w:pPr>
              <w:jc w:val="left"/>
            </w:pPr>
            <w:r/>
            <w:r>
              <w:rPr>
                <w:rFonts w:ascii="Calibri" w:hAnsi="Calibri"/>
                <w:sz w:val="18"/>
              </w:rPr>
              <w:t>Establish Akambo SMA CA-C (Balanced Growth, 60/40 growth/defensive) inside platform super accumulation account. 3 to 5 year pre-retirement horizon. No drawdown requirement. Growth allocation supported by $350,000+ defensive buffer outside super (offset and cash).</w:t>
            </w:r>
          </w:p>
        </w:tc>
      </w:tr>
      <w:tr>
        <w:tc>
          <w:tcPr>
            <w:tcW w:type="dxa" w:w="4986"/>
          </w:tcPr>
          <w:p>
            <w:pPr>
              <w:jc w:val="left"/>
            </w:pPr>
            <w:r/>
            <w:r>
              <w:rPr>
                <w:rFonts w:ascii="Calibri" w:hAnsi="Calibri"/>
                <w:sz w:val="18"/>
              </w:rPr>
              <w:t>6</w:t>
            </w:r>
          </w:p>
        </w:tc>
        <w:tc>
          <w:tcPr>
            <w:tcW w:type="dxa" w:w="4986"/>
          </w:tcPr>
          <w:p>
            <w:pPr>
              <w:jc w:val="left"/>
            </w:pPr>
            <w:r/>
            <w:r>
              <w:rPr>
                <w:rFonts w:ascii="Calibri" w:hAnsi="Calibri"/>
                <w:sz w:val="18"/>
              </w:rPr>
              <w:t>Once offset rebuilt to $370,000 (estimated FY2027-28), redirect monthly surplus to super contributions: personal deductible contribution up to CC cap headroom (approximately $3,600 p.a. after SG) and NCC from remaining surplus. Contribution amounts to be confirmed at annual review based on updated salary, SG, and cap indexation.</w:t>
            </w:r>
          </w:p>
        </w:tc>
      </w:tr>
      <w:tr>
        <w:tc>
          <w:tcPr>
            <w:tcW w:type="dxa" w:w="4986"/>
          </w:tcPr>
          <w:p>
            <w:pPr>
              <w:jc w:val="left"/>
            </w:pPr>
            <w:r/>
            <w:r>
              <w:rPr>
                <w:rFonts w:ascii="Calibri" w:hAnsi="Calibri"/>
                <w:sz w:val="18"/>
              </w:rPr>
              <w:t>7</w:t>
            </w:r>
          </w:p>
        </w:tc>
        <w:tc>
          <w:tcPr>
            <w:tcW w:type="dxa" w:w="4986"/>
          </w:tcPr>
          <w:p>
            <w:pPr>
              <w:jc w:val="left"/>
            </w:pPr>
            <w:r/>
            <w:r>
              <w:rPr>
                <w:rFonts w:ascii="Calibri" w:hAnsi="Calibri"/>
                <w:sz w:val="18"/>
              </w:rPr>
              <w:t>Continue mortgage repayments at current $2,385 per month (P&amp;I). Once offset balance matches or exceeds loan balance, interest charges reduce to nil and repayments are applied entirely to principal. No additional voluntary repayments recommended while surplus is directed to offset rebuild and then super.</w:t>
            </w:r>
          </w:p>
        </w:tc>
      </w:tr>
      <w:tr>
        <w:tc>
          <w:tcPr>
            <w:tcW w:type="dxa" w:w="4986"/>
          </w:tcPr>
          <w:p>
            <w:pPr>
              <w:jc w:val="left"/>
            </w:pPr>
            <w:r/>
            <w:r>
              <w:rPr>
                <w:rFonts w:ascii="Calibri" w:hAnsi="Calibri"/>
                <w:sz w:val="18"/>
              </w:rPr>
              <w:t>8</w:t>
            </w:r>
          </w:p>
        </w:tc>
        <w:tc>
          <w:tcPr>
            <w:tcW w:type="dxa" w:w="4986"/>
          </w:tcPr>
          <w:p>
            <w:pPr>
              <w:jc w:val="left"/>
            </w:pPr>
            <w:r/>
            <w:r>
              <w:rPr>
                <w:rFonts w:ascii="Calibri" w:hAnsi="Calibri"/>
                <w:sz w:val="18"/>
              </w:rPr>
              <w:t>Insurance: referred to Akambo Insurance (specialist). Income protection is currently held inside Australian Super. No comment on suitability. Model premium cashflow drag only for projection purposes. Confirm insurance position before actioning rollover (Item 4).</w:t>
            </w:r>
          </w:p>
        </w:tc>
      </w:tr>
    </w:tbl>
    <w:p/>
    <w:p>
      <w:pPr>
        <w:pStyle w:val="Heading2"/>
      </w:pPr>
      <w:r>
        <w:t>Alternative Strategies (Considered and Dismissed)</w:t>
      </w:r>
    </w:p>
    <w:tbl>
      <w:tblPr>
        <w:tblStyle w:val="TableGrid"/>
        <w:tblW w:type="auto" w:w="0"/>
        <w:jc w:val="left"/>
        <w:tblLook w:firstColumn="1" w:firstRow="1" w:lastColumn="0" w:lastRow="0" w:noHBand="0" w:noVBand="1" w:val="04A0"/>
      </w:tblPr>
      <w:tblGrid>
        <w:gridCol w:w="9972"/>
      </w:tblGrid>
      <w:tr>
        <w:tc>
          <w:tcPr>
            <w:tcW w:type="dxa" w:w="9972"/>
            <w:shd w:fill="1F3864" w:val="clear"/>
          </w:tcPr>
          <w:p>
            <w:pPr>
              <w:jc w:val="left"/>
            </w:pPr>
            <w:r>
              <w:rPr>
                <w:rFonts w:ascii="Calibri" w:hAnsi="Calibri"/>
                <w:b/>
                <w:color w:val="FFFFFF"/>
                <w:sz w:val="18"/>
              </w:rPr>
            </w:r>
            <w:r>
              <w:rPr>
                <w:rFonts w:ascii="Calibri" w:hAnsi="Calibri"/>
                <w:b/>
                <w:color w:val="FFFFFF"/>
                <w:sz w:val="18"/>
              </w:rPr>
              <w:t>Alternative (Heading + Explanation + Dismissal)</w:t>
            </w:r>
          </w:p>
        </w:tc>
      </w:tr>
      <w:tr>
        <w:tc>
          <w:tcPr>
            <w:tcW w:type="dxa" w:w="9972"/>
          </w:tcPr>
          <w:p>
            <w:pPr>
              <w:jc w:val="left"/>
            </w:pPr>
            <w:r/>
            <w:r>
              <w:rPr>
                <w:rFonts w:ascii="Calibri" w:hAnsi="Calibri"/>
                <w:sz w:val="18"/>
              </w:rPr>
              <w:t>Transition to Retirement (TTR) pension. The client has reached preservation age (60) and could commence a TTR pension to draw tax-free income (over 60) while continuing to work. The TTR income could accelerate the offset rebuild and mortgage payoff by approximately 8 months. However, the client's concessional contribution cap is already consumed by employer SG ($26,400 of $30,000). The classic TTR benefit depends on salary sacrificing additional concessional contributions to replace the pension drawdown at a tax advantage (15% in vs 0% out). Without meaningful CC cap headroom, TTR simply depletes super earlier for a 4.00% guaranteed return (offset interest saved) versus an expected 5.95% after-tax return inside super. The acceleration benefit does not justify the lower compounding on the drawn funds. Dismissed.</w:t>
            </w:r>
          </w:p>
        </w:tc>
      </w:tr>
      <w:tr>
        <w:tc>
          <w:tcPr>
            <w:tcW w:type="dxa" w:w="9972"/>
          </w:tcPr>
          <w:p>
            <w:pPr>
              <w:jc w:val="left"/>
            </w:pPr>
            <w:r/>
            <w:r>
              <w:rPr>
                <w:rFonts w:ascii="Calibri" w:hAnsi="Calibri"/>
                <w:sz w:val="18"/>
              </w:rPr>
              <w:t>Debt recycling. Converting non-deductible mortgage debt to deductible investment debt via a split loan and recycled investment portfolio is a viable wealth-building strategy. However, debt recycling requires a minimum 10-year time horizon to manage sequence risk and allow the investment portfolio to compound through market cycles. The client is 62 with a 3 to 5 year retirement horizon. The timeframe is too short to justify the complexity, establishment costs, and market risk. Maximising super contributions in the remaining working years is more appropriate. Dismissed.</w:t>
            </w:r>
          </w:p>
        </w:tc>
      </w:tr>
      <w:tr>
        <w:tc>
          <w:tcPr>
            <w:tcW w:type="dxa" w:w="9972"/>
          </w:tcPr>
          <w:p>
            <w:pPr>
              <w:jc w:val="left"/>
            </w:pPr>
            <w:r/>
            <w:r>
              <w:rPr>
                <w:rFonts w:ascii="Calibri" w:hAnsi="Calibri"/>
                <w:sz w:val="18"/>
              </w:rPr>
              <w:t>Non-super investing (personal investment portfolio). The client could invest surplus cashflow outside super for flexibility and no preservation restrictions. However, at a 39% marginal tax rate (including Medicare levy), earnings outside super are taxed significantly more than inside super (15% on earnings in accumulation, 0% in pension phase after meeting a condition of release). The client has already reached preservation age and can access super once retired. Flexibility benefit is minimal. Super is materially more tax-effective for retirement savings at this marginal rate. Dismissed.</w:t>
            </w:r>
          </w:p>
        </w:tc>
      </w:tr>
    </w:tbl>
    <w:p/>
    <w:p>
      <w:pPr>
        <w:pStyle w:val="Heading2"/>
      </w:pPr>
      <w:r>
        <w:t>Alternative Product Considerations</w:t>
      </w:r>
    </w:p>
    <w:tbl>
      <w:tblPr>
        <w:tblStyle w:val="TableGrid"/>
        <w:tblW w:type="auto" w:w="0"/>
        <w:jc w:val="left"/>
        <w:tblLook w:firstColumn="1" w:firstRow="1" w:lastColumn="0" w:lastRow="0" w:noHBand="0" w:noVBand="1" w:val="04A0"/>
      </w:tblPr>
      <w:tblGrid>
        <w:gridCol w:w="9972"/>
      </w:tblGrid>
      <w:tr>
        <w:tc>
          <w:tcPr>
            <w:tcW w:type="dxa" w:w="9972"/>
            <w:shd w:fill="1F3864" w:val="clear"/>
          </w:tcPr>
          <w:p>
            <w:pPr>
              <w:jc w:val="left"/>
            </w:pPr>
            <w:r>
              <w:rPr>
                <w:rFonts w:ascii="Calibri" w:hAnsi="Calibri"/>
                <w:b/>
                <w:color w:val="FFFFFF"/>
                <w:sz w:val="18"/>
              </w:rPr>
            </w:r>
            <w:r>
              <w:rPr>
                <w:rFonts w:ascii="Calibri" w:hAnsi="Calibri"/>
                <w:b/>
                <w:color w:val="FFFFFF"/>
                <w:sz w:val="18"/>
              </w:rPr>
              <w:t>Alternative Product (Heading + Explanation + Dismissal)</w:t>
            </w:r>
          </w:p>
        </w:tc>
      </w:tr>
      <w:tr>
        <w:tc>
          <w:tcPr>
            <w:tcW w:type="dxa" w:w="9972"/>
          </w:tcPr>
          <w:p>
            <w:pPr>
              <w:jc w:val="left"/>
            </w:pPr>
            <w:r/>
            <w:r>
              <w:rPr>
                <w:rFonts w:ascii="Calibri" w:hAnsi="Calibri"/>
                <w:sz w:val="18"/>
              </w:rPr>
              <w:t>Retain Australian Super. AustralianSuper offers low administration fees and strong default investment options. However, it operates as a pooled trust. The client holds units in a commingled pool with no control over which parcels are sold, CGT timing, or tax lot selection. Embedded capital gains are socialised across unitholders. Rebalancing occurs at fund level with no adviser visibility. Platform SMA via Akambo provides beneficial ownership in the client's name, full tax lot control, specialist-managed exposures within the First Financial execution framework, and real-time transparency. As the client approaches retirement and will transition to pension phase, beneficial ownership and CGT control become increasingly important. Dismissed in favour of platform rollover.</w:t>
            </w:r>
          </w:p>
        </w:tc>
      </w:tr>
      <w:tr>
        <w:tc>
          <w:tcPr>
            <w:tcW w:type="dxa" w:w="9972"/>
          </w:tcPr>
          <w:p>
            <w:pPr>
              <w:jc w:val="left"/>
            </w:pPr>
            <w:r/>
            <w:r>
              <w:rPr>
                <w:rFonts w:ascii="Calibri" w:hAnsi="Calibri"/>
                <w:sz w:val="18"/>
              </w:rPr>
              <w:t>Index funds or passive ETFs (VAS, IOZ, VGS) as standalone holdings. Low cost and broadly diversified. However, not aligned with the First Financial execution framework. The framework delivers dynamic portfolio management with tactical overlay, quality-filtered asset selection, and continuous risk management via the SMA. Index funds provide static market exposure without active oversight, tactical adjustment, or drawdown targeting. The SMA may use ETFs as building blocks within the managed portfolio, but that is an implementation decision within the framework, not a client-level recommendation. Dismissed.</w:t>
            </w:r>
          </w:p>
        </w:tc>
      </w:tr>
    </w:tbl>
    <w:p/>
    <w:p>
      <w:pPr>
        <w:pStyle w:val="Heading2"/>
      </w:pPr>
      <w:r>
        <w:t>Projection Parameters / Requests / Assumptions</w:t>
      </w:r>
    </w:p>
    <w:tbl>
      <w:tblPr>
        <w:tblStyle w:val="TableGrid"/>
        <w:tblW w:type="auto" w:w="0"/>
        <w:jc w:val="left"/>
        <w:tblLook w:firstColumn="1" w:firstRow="1" w:lastColumn="0" w:lastRow="0" w:noHBand="0" w:noVBand="1" w:val="04A0"/>
      </w:tblPr>
      <w:tblGrid>
        <w:gridCol w:w="4986"/>
        <w:gridCol w:w="4986"/>
      </w:tblGrid>
      <w:tr>
        <w:tc>
          <w:tcPr>
            <w:tcW w:type="dxa" w:w="4986"/>
            <w:shd w:fill="1F3864" w:val="clear"/>
          </w:tcPr>
          <w:p>
            <w:pPr>
              <w:jc w:val="left"/>
            </w:pPr>
            <w:r>
              <w:rPr>
                <w:rFonts w:ascii="Calibri" w:hAnsi="Calibri"/>
                <w:b/>
                <w:color w:val="FFFFFF"/>
                <w:sz w:val="18"/>
              </w:rPr>
            </w:r>
            <w:r>
              <w:rPr>
                <w:rFonts w:ascii="Calibri" w:hAnsi="Calibri"/>
                <w:b/>
                <w:color w:val="FFFFFF"/>
                <w:sz w:val="18"/>
              </w:rPr>
              <w:t>Parameter</w:t>
            </w:r>
          </w:p>
        </w:tc>
        <w:tc>
          <w:tcPr>
            <w:tcW w:type="dxa" w:w="4986"/>
            <w:shd w:fill="1F3864" w:val="clear"/>
          </w:tcPr>
          <w:p>
            <w:pPr>
              <w:jc w:val="left"/>
            </w:pPr>
            <w:r>
              <w:rPr>
                <w:rFonts w:ascii="Calibri" w:hAnsi="Calibri"/>
                <w:b/>
                <w:color w:val="FFFFFF"/>
                <w:sz w:val="18"/>
              </w:rPr>
            </w:r>
            <w:r>
              <w:rPr>
                <w:rFonts w:ascii="Calibri" w:hAnsi="Calibri"/>
                <w:b/>
                <w:color w:val="FFFFFF"/>
                <w:sz w:val="18"/>
              </w:rPr>
              <w:t>Value</w:t>
            </w:r>
          </w:p>
        </w:tc>
      </w:tr>
      <w:tr>
        <w:tc>
          <w:tcPr>
            <w:tcW w:type="dxa" w:w="4986"/>
          </w:tcPr>
          <w:p>
            <w:pPr>
              <w:jc w:val="left"/>
            </w:pPr>
            <w:r/>
            <w:r>
              <w:rPr>
                <w:rFonts w:ascii="Calibri" w:hAnsi="Calibri"/>
                <w:sz w:val="18"/>
              </w:rPr>
              <w:t>Salary (ex-super)</w:t>
            </w:r>
          </w:p>
        </w:tc>
        <w:tc>
          <w:tcPr>
            <w:tcW w:type="dxa" w:w="4986"/>
          </w:tcPr>
          <w:p>
            <w:pPr>
              <w:jc w:val="left"/>
            </w:pPr>
            <w:r/>
            <w:r>
              <w:rPr>
                <w:rFonts w:ascii="Calibri" w:hAnsi="Calibri"/>
                <w:sz w:val="18"/>
              </w:rPr>
              <w:t>$220,000 p.a.</w:t>
            </w:r>
          </w:p>
        </w:tc>
      </w:tr>
      <w:tr>
        <w:tc>
          <w:tcPr>
            <w:tcW w:type="dxa" w:w="4986"/>
          </w:tcPr>
          <w:p>
            <w:pPr>
              <w:jc w:val="left"/>
            </w:pPr>
            <w:r/>
            <w:r>
              <w:rPr>
                <w:rFonts w:ascii="Calibri" w:hAnsi="Calibri"/>
                <w:sz w:val="18"/>
              </w:rPr>
              <w:t>Employer SG rate</w:t>
            </w:r>
          </w:p>
        </w:tc>
        <w:tc>
          <w:tcPr>
            <w:tcW w:type="dxa" w:w="4986"/>
          </w:tcPr>
          <w:p>
            <w:pPr>
              <w:jc w:val="left"/>
            </w:pPr>
            <w:r/>
            <w:r>
              <w:rPr>
                <w:rFonts w:ascii="Calibri" w:hAnsi="Calibri"/>
                <w:sz w:val="18"/>
              </w:rPr>
              <w:t>12% (2025-26 FY)</w:t>
            </w:r>
          </w:p>
        </w:tc>
      </w:tr>
      <w:tr>
        <w:tc>
          <w:tcPr>
            <w:tcW w:type="dxa" w:w="4986"/>
          </w:tcPr>
          <w:p>
            <w:pPr>
              <w:jc w:val="left"/>
            </w:pPr>
            <w:r/>
            <w:r>
              <w:rPr>
                <w:rFonts w:ascii="Calibri" w:hAnsi="Calibri"/>
                <w:sz w:val="18"/>
              </w:rPr>
              <w:t>Employer SG (full year)</w:t>
            </w:r>
          </w:p>
        </w:tc>
        <w:tc>
          <w:tcPr>
            <w:tcW w:type="dxa" w:w="4986"/>
          </w:tcPr>
          <w:p>
            <w:pPr>
              <w:jc w:val="left"/>
            </w:pPr>
            <w:r/>
            <w:r>
              <w:rPr>
                <w:rFonts w:ascii="Calibri" w:hAnsi="Calibri"/>
                <w:sz w:val="18"/>
              </w:rPr>
              <w:t>$26,400</w:t>
            </w:r>
          </w:p>
        </w:tc>
      </w:tr>
      <w:tr>
        <w:tc>
          <w:tcPr>
            <w:tcW w:type="dxa" w:w="4986"/>
          </w:tcPr>
          <w:p>
            <w:pPr>
              <w:jc w:val="left"/>
            </w:pPr>
            <w:r/>
            <w:r>
              <w:rPr>
                <w:rFonts w:ascii="Calibri" w:hAnsi="Calibri"/>
                <w:sz w:val="18"/>
              </w:rPr>
              <w:t>SG received to 18/2/26</w:t>
            </w:r>
          </w:p>
        </w:tc>
        <w:tc>
          <w:tcPr>
            <w:tcW w:type="dxa" w:w="4986"/>
          </w:tcPr>
          <w:p>
            <w:pPr>
              <w:jc w:val="left"/>
            </w:pPr>
            <w:r/>
            <w:r>
              <w:rPr>
                <w:rFonts w:ascii="Calibri" w:hAnsi="Calibri"/>
                <w:sz w:val="18"/>
              </w:rPr>
              <w:t>$17,308.72</w:t>
            </w:r>
          </w:p>
        </w:tc>
      </w:tr>
      <w:tr>
        <w:tc>
          <w:tcPr>
            <w:tcW w:type="dxa" w:w="4986"/>
          </w:tcPr>
          <w:p>
            <w:pPr>
              <w:jc w:val="left"/>
            </w:pPr>
            <w:r/>
            <w:r>
              <w:rPr>
                <w:rFonts w:ascii="Calibri" w:hAnsi="Calibri"/>
                <w:sz w:val="18"/>
              </w:rPr>
              <w:t>SG remaining (Mar to Jun)</w:t>
            </w:r>
          </w:p>
        </w:tc>
        <w:tc>
          <w:tcPr>
            <w:tcW w:type="dxa" w:w="4986"/>
          </w:tcPr>
          <w:p>
            <w:pPr>
              <w:jc w:val="left"/>
            </w:pPr>
            <w:r/>
            <w:r>
              <w:rPr>
                <w:rFonts w:ascii="Calibri" w:hAnsi="Calibri"/>
                <w:sz w:val="18"/>
              </w:rPr>
              <w:t>Approximately $9,091</w:t>
            </w:r>
          </w:p>
        </w:tc>
      </w:tr>
      <w:tr>
        <w:tc>
          <w:tcPr>
            <w:tcW w:type="dxa" w:w="4986"/>
          </w:tcPr>
          <w:p>
            <w:pPr>
              <w:jc w:val="left"/>
            </w:pPr>
            <w:r/>
            <w:r>
              <w:rPr>
                <w:rFonts w:ascii="Calibri" w:hAnsi="Calibri"/>
                <w:sz w:val="18"/>
              </w:rPr>
              <w:t>Super balance (Australian Super)</w:t>
            </w:r>
          </w:p>
        </w:tc>
        <w:tc>
          <w:tcPr>
            <w:tcW w:type="dxa" w:w="4986"/>
          </w:tcPr>
          <w:p>
            <w:pPr>
              <w:jc w:val="left"/>
            </w:pPr>
            <w:r/>
            <w:r>
              <w:rPr>
                <w:rFonts w:ascii="Calibri" w:hAnsi="Calibri"/>
                <w:sz w:val="18"/>
              </w:rPr>
              <w:t>$663,565</w:t>
            </w:r>
          </w:p>
        </w:tc>
      </w:tr>
      <w:tr>
        <w:tc>
          <w:tcPr>
            <w:tcW w:type="dxa" w:w="4986"/>
          </w:tcPr>
          <w:p>
            <w:pPr>
              <w:jc w:val="left"/>
            </w:pPr>
            <w:r/>
            <w:r>
              <w:rPr>
                <w:rFonts w:ascii="Calibri" w:hAnsi="Calibri"/>
                <w:sz w:val="18"/>
              </w:rPr>
              <w:t>Personal contribution made 2025-26 FY</w:t>
            </w:r>
          </w:p>
        </w:tc>
        <w:tc>
          <w:tcPr>
            <w:tcW w:type="dxa" w:w="4986"/>
          </w:tcPr>
          <w:p>
            <w:pPr>
              <w:jc w:val="left"/>
            </w:pPr>
            <w:r/>
            <w:r>
              <w:rPr>
                <w:rFonts w:ascii="Calibri" w:hAnsi="Calibri"/>
                <w:sz w:val="18"/>
              </w:rPr>
              <w:t>$50,000 (one-off, connected to property sale, no deduction claimed)</w:t>
            </w:r>
          </w:p>
        </w:tc>
      </w:tr>
      <w:tr>
        <w:tc>
          <w:tcPr>
            <w:tcW w:type="dxa" w:w="4986"/>
          </w:tcPr>
          <w:p>
            <w:pPr>
              <w:jc w:val="left"/>
            </w:pPr>
            <w:r/>
            <w:r>
              <w:rPr>
                <w:rFonts w:ascii="Calibri" w:hAnsi="Calibri"/>
                <w:sz w:val="18"/>
              </w:rPr>
              <w:t>CC cap 2025-26</w:t>
            </w:r>
          </w:p>
        </w:tc>
        <w:tc>
          <w:tcPr>
            <w:tcW w:type="dxa" w:w="4986"/>
          </w:tcPr>
          <w:p>
            <w:pPr>
              <w:jc w:val="left"/>
            </w:pPr>
            <w:r/>
            <w:r>
              <w:rPr>
                <w:rFonts w:ascii="Calibri" w:hAnsi="Calibri"/>
                <w:sz w:val="18"/>
              </w:rPr>
              <w:t>$30,000</w:t>
            </w:r>
          </w:p>
        </w:tc>
      </w:tr>
      <w:tr>
        <w:tc>
          <w:tcPr>
            <w:tcW w:type="dxa" w:w="4986"/>
          </w:tcPr>
          <w:p>
            <w:pPr>
              <w:jc w:val="left"/>
            </w:pPr>
            <w:r/>
            <w:r>
              <w:rPr>
                <w:rFonts w:ascii="Calibri" w:hAnsi="Calibri"/>
                <w:sz w:val="18"/>
              </w:rPr>
              <w:t>CC cap space for personal deductible</w:t>
            </w:r>
          </w:p>
        </w:tc>
        <w:tc>
          <w:tcPr>
            <w:tcW w:type="dxa" w:w="4986"/>
          </w:tcPr>
          <w:p>
            <w:pPr>
              <w:jc w:val="left"/>
            </w:pPr>
            <w:r/>
            <w:r>
              <w:rPr>
                <w:rFonts w:ascii="Calibri" w:hAnsi="Calibri"/>
                <w:sz w:val="18"/>
              </w:rPr>
              <w:t>$3,600 ($30,000 less $26,400 SG)</w:t>
            </w:r>
          </w:p>
        </w:tc>
      </w:tr>
      <w:tr>
        <w:tc>
          <w:tcPr>
            <w:tcW w:type="dxa" w:w="4986"/>
          </w:tcPr>
          <w:p>
            <w:pPr>
              <w:jc w:val="left"/>
            </w:pPr>
            <w:r/>
            <w:r>
              <w:rPr>
                <w:rFonts w:ascii="Calibri" w:hAnsi="Calibri"/>
                <w:sz w:val="18"/>
              </w:rPr>
              <w:t>TSB at prior 30 June</w:t>
            </w:r>
          </w:p>
        </w:tc>
        <w:tc>
          <w:tcPr>
            <w:tcW w:type="dxa" w:w="4986"/>
          </w:tcPr>
          <w:p>
            <w:pPr>
              <w:jc w:val="left"/>
            </w:pPr>
            <w:r/>
            <w:r>
              <w:rPr>
                <w:rFonts w:ascii="Calibri" w:hAnsi="Calibri"/>
                <w:sz w:val="18"/>
              </w:rPr>
              <w:t>Greater than $500,000</w:t>
            </w:r>
          </w:p>
        </w:tc>
      </w:tr>
      <w:tr>
        <w:tc>
          <w:tcPr>
            <w:tcW w:type="dxa" w:w="4986"/>
          </w:tcPr>
          <w:p>
            <w:pPr>
              <w:jc w:val="left"/>
            </w:pPr>
            <w:r/>
            <w:r>
              <w:rPr>
                <w:rFonts w:ascii="Calibri" w:hAnsi="Calibri"/>
                <w:sz w:val="18"/>
              </w:rPr>
              <w:t>Carry-forward available</w:t>
            </w:r>
          </w:p>
        </w:tc>
        <w:tc>
          <w:tcPr>
            <w:tcW w:type="dxa" w:w="4986"/>
          </w:tcPr>
          <w:p>
            <w:pPr>
              <w:jc w:val="left"/>
            </w:pPr>
            <w:r/>
            <w:r>
              <w:rPr>
                <w:rFonts w:ascii="Calibri" w:hAnsi="Calibri"/>
                <w:sz w:val="18"/>
              </w:rPr>
              <w:t>No. TSB exceeds $500,000 threshold</w:t>
            </w:r>
          </w:p>
        </w:tc>
      </w:tr>
      <w:tr>
        <w:tc>
          <w:tcPr>
            <w:tcW w:type="dxa" w:w="4986"/>
          </w:tcPr>
          <w:p>
            <w:pPr>
              <w:jc w:val="left"/>
            </w:pPr>
            <w:r/>
            <w:r>
              <w:rPr>
                <w:rFonts w:ascii="Calibri" w:hAnsi="Calibri"/>
                <w:sz w:val="18"/>
              </w:rPr>
              <w:t>NCC classification (remaining personal contribution)</w:t>
            </w:r>
          </w:p>
        </w:tc>
        <w:tc>
          <w:tcPr>
            <w:tcW w:type="dxa" w:w="4986"/>
          </w:tcPr>
          <w:p>
            <w:pPr>
              <w:jc w:val="left"/>
            </w:pPr>
            <w:r/>
            <w:r>
              <w:rPr>
                <w:rFonts w:ascii="Calibri" w:hAnsi="Calibri"/>
                <w:sz w:val="18"/>
              </w:rPr>
              <w:t>$46,400 (within $120,000 annual NCC cap)</w:t>
            </w:r>
          </w:p>
        </w:tc>
      </w:tr>
      <w:tr>
        <w:tc>
          <w:tcPr>
            <w:tcW w:type="dxa" w:w="4986"/>
          </w:tcPr>
          <w:p>
            <w:pPr>
              <w:jc w:val="left"/>
            </w:pPr>
            <w:r/>
            <w:r>
              <w:rPr>
                <w:rFonts w:ascii="Calibri" w:hAnsi="Calibri"/>
                <w:sz w:val="18"/>
              </w:rPr>
              <w:t>Cash at bank</w:t>
            </w:r>
          </w:p>
        </w:tc>
        <w:tc>
          <w:tcPr>
            <w:tcW w:type="dxa" w:w="4986"/>
          </w:tcPr>
          <w:p>
            <w:pPr>
              <w:jc w:val="left"/>
            </w:pPr>
            <w:r/>
            <w:r>
              <w:rPr>
                <w:rFonts w:ascii="Calibri" w:hAnsi="Calibri"/>
                <w:sz w:val="18"/>
              </w:rPr>
              <w:t>$47,000</w:t>
            </w:r>
          </w:p>
        </w:tc>
      </w:tr>
      <w:tr>
        <w:tc>
          <w:tcPr>
            <w:tcW w:type="dxa" w:w="4986"/>
          </w:tcPr>
          <w:p>
            <w:pPr>
              <w:jc w:val="left"/>
            </w:pPr>
            <w:r/>
            <w:r>
              <w:rPr>
                <w:rFonts w:ascii="Calibri" w:hAnsi="Calibri"/>
                <w:sz w:val="18"/>
              </w:rPr>
              <w:t>Offset account balance</w:t>
            </w:r>
          </w:p>
        </w:tc>
        <w:tc>
          <w:tcPr>
            <w:tcW w:type="dxa" w:w="4986"/>
          </w:tcPr>
          <w:p>
            <w:pPr>
              <w:jc w:val="left"/>
            </w:pPr>
            <w:r/>
            <w:r>
              <w:rPr>
                <w:rFonts w:ascii="Calibri" w:hAnsi="Calibri"/>
                <w:sz w:val="18"/>
              </w:rPr>
              <w:t>$370,000</w:t>
            </w:r>
          </w:p>
        </w:tc>
      </w:tr>
      <w:tr>
        <w:tc>
          <w:tcPr>
            <w:tcW w:type="dxa" w:w="4986"/>
          </w:tcPr>
          <w:p>
            <w:pPr>
              <w:jc w:val="left"/>
            </w:pPr>
            <w:r/>
            <w:r>
              <w:rPr>
                <w:rFonts w:ascii="Calibri" w:hAnsi="Calibri"/>
                <w:sz w:val="18"/>
              </w:rPr>
              <w:t>Residential property value</w:t>
            </w:r>
          </w:p>
        </w:tc>
        <w:tc>
          <w:tcPr>
            <w:tcW w:type="dxa" w:w="4986"/>
          </w:tcPr>
          <w:p>
            <w:pPr>
              <w:jc w:val="left"/>
            </w:pPr>
            <w:r/>
            <w:r>
              <w:rPr>
                <w:rFonts w:ascii="Calibri" w:hAnsi="Calibri"/>
                <w:sz w:val="18"/>
              </w:rPr>
              <w:t>$2,200,000</w:t>
            </w:r>
          </w:p>
        </w:tc>
      </w:tr>
      <w:tr>
        <w:tc>
          <w:tcPr>
            <w:tcW w:type="dxa" w:w="4986"/>
          </w:tcPr>
          <w:p>
            <w:pPr>
              <w:jc w:val="left"/>
            </w:pPr>
            <w:r/>
            <w:r>
              <w:rPr>
                <w:rFonts w:ascii="Calibri" w:hAnsi="Calibri"/>
                <w:sz w:val="18"/>
              </w:rPr>
              <w:t>Mortgage balance</w:t>
            </w:r>
          </w:p>
        </w:tc>
        <w:tc>
          <w:tcPr>
            <w:tcW w:type="dxa" w:w="4986"/>
          </w:tcPr>
          <w:p>
            <w:pPr>
              <w:jc w:val="left"/>
            </w:pPr>
            <w:r/>
            <w:r>
              <w:rPr>
                <w:rFonts w:ascii="Calibri" w:hAnsi="Calibri"/>
                <w:sz w:val="18"/>
              </w:rPr>
              <w:t>$416,000 (P&amp;I, 4.00%)</w:t>
            </w:r>
          </w:p>
        </w:tc>
      </w:tr>
      <w:tr>
        <w:tc>
          <w:tcPr>
            <w:tcW w:type="dxa" w:w="4986"/>
          </w:tcPr>
          <w:p>
            <w:pPr>
              <w:jc w:val="left"/>
            </w:pPr>
            <w:r/>
            <w:r>
              <w:rPr>
                <w:rFonts w:ascii="Calibri" w:hAnsi="Calibri"/>
                <w:sz w:val="18"/>
              </w:rPr>
              <w:t>Effective mortgage (balance less offset)</w:t>
            </w:r>
          </w:p>
        </w:tc>
        <w:tc>
          <w:tcPr>
            <w:tcW w:type="dxa" w:w="4986"/>
          </w:tcPr>
          <w:p>
            <w:pPr>
              <w:jc w:val="left"/>
            </w:pPr>
            <w:r/>
            <w:r>
              <w:rPr>
                <w:rFonts w:ascii="Calibri" w:hAnsi="Calibri"/>
                <w:sz w:val="18"/>
              </w:rPr>
              <w:t>$46,000</w:t>
            </w:r>
          </w:p>
        </w:tc>
      </w:tr>
      <w:tr>
        <w:tc>
          <w:tcPr>
            <w:tcW w:type="dxa" w:w="4986"/>
          </w:tcPr>
          <w:p>
            <w:pPr>
              <w:jc w:val="left"/>
            </w:pPr>
            <w:r/>
            <w:r>
              <w:rPr>
                <w:rFonts w:ascii="Calibri" w:hAnsi="Calibri"/>
                <w:sz w:val="18"/>
              </w:rPr>
              <w:t>Mortgage repayment</w:t>
            </w:r>
          </w:p>
        </w:tc>
        <w:tc>
          <w:tcPr>
            <w:tcW w:type="dxa" w:w="4986"/>
          </w:tcPr>
          <w:p>
            <w:pPr>
              <w:jc w:val="left"/>
            </w:pPr>
            <w:r/>
            <w:r>
              <w:rPr>
                <w:rFonts w:ascii="Calibri" w:hAnsi="Calibri"/>
                <w:sz w:val="18"/>
              </w:rPr>
              <w:t>$2,385 per month</w:t>
            </w:r>
          </w:p>
        </w:tc>
      </w:tr>
      <w:tr>
        <w:tc>
          <w:tcPr>
            <w:tcW w:type="dxa" w:w="4986"/>
          </w:tcPr>
          <w:p>
            <w:pPr>
              <w:jc w:val="left"/>
            </w:pPr>
            <w:r/>
            <w:r>
              <w:rPr>
                <w:rFonts w:ascii="Calibri" w:hAnsi="Calibri"/>
                <w:sz w:val="18"/>
              </w:rPr>
              <w:t>Car loan balance</w:t>
            </w:r>
          </w:p>
        </w:tc>
        <w:tc>
          <w:tcPr>
            <w:tcW w:type="dxa" w:w="4986"/>
          </w:tcPr>
          <w:p>
            <w:pPr>
              <w:jc w:val="left"/>
            </w:pPr>
            <w:r/>
            <w:r>
              <w:rPr>
                <w:rFonts w:ascii="Calibri" w:hAnsi="Calibri"/>
                <w:sz w:val="18"/>
              </w:rPr>
              <w:t>$63,460</w:t>
            </w:r>
          </w:p>
        </w:tc>
      </w:tr>
      <w:tr>
        <w:tc>
          <w:tcPr>
            <w:tcW w:type="dxa" w:w="4986"/>
          </w:tcPr>
          <w:p>
            <w:pPr>
              <w:jc w:val="left"/>
            </w:pPr>
            <w:r/>
            <w:r>
              <w:rPr>
                <w:rFonts w:ascii="Calibri" w:hAnsi="Calibri"/>
                <w:sz w:val="18"/>
              </w:rPr>
              <w:t>Car loan repayment</w:t>
            </w:r>
          </w:p>
        </w:tc>
        <w:tc>
          <w:tcPr>
            <w:tcW w:type="dxa" w:w="4986"/>
          </w:tcPr>
          <w:p>
            <w:pPr>
              <w:jc w:val="left"/>
            </w:pPr>
            <w:r/>
            <w:r>
              <w:rPr>
                <w:rFonts w:ascii="Calibri" w:hAnsi="Calibri"/>
                <w:sz w:val="18"/>
              </w:rPr>
              <w:t>$876 per month</w:t>
            </w:r>
          </w:p>
        </w:tc>
      </w:tr>
      <w:tr>
        <w:tc>
          <w:tcPr>
            <w:tcW w:type="dxa" w:w="4986"/>
          </w:tcPr>
          <w:p>
            <w:pPr>
              <w:jc w:val="left"/>
            </w:pPr>
            <w:r/>
            <w:r>
              <w:rPr>
                <w:rFonts w:ascii="Calibri" w:hAnsi="Calibri"/>
                <w:sz w:val="18"/>
              </w:rPr>
              <w:t>Car loan interest rate</w:t>
            </w:r>
          </w:p>
        </w:tc>
        <w:tc>
          <w:tcPr>
            <w:tcW w:type="dxa" w:w="4986"/>
          </w:tcPr>
          <w:p>
            <w:pPr>
              <w:jc w:val="left"/>
            </w:pPr>
            <w:r/>
            <w:r>
              <w:rPr>
                <w:rFonts w:ascii="Calibri" w:hAnsi="Calibri"/>
                <w:sz w:val="18"/>
              </w:rPr>
              <w:t>To be confirmed. Assumed approximately 7% for comparison purposes</w:t>
            </w:r>
          </w:p>
        </w:tc>
      </w:tr>
      <w:tr>
        <w:tc>
          <w:tcPr>
            <w:tcW w:type="dxa" w:w="4986"/>
          </w:tcPr>
          <w:p>
            <w:pPr>
              <w:jc w:val="left"/>
            </w:pPr>
            <w:r/>
            <w:r>
              <w:rPr>
                <w:rFonts w:ascii="Calibri" w:hAnsi="Calibri"/>
                <w:sz w:val="18"/>
              </w:rPr>
              <w:t>Living expenses (excluding mortgage and car loan)</w:t>
            </w:r>
          </w:p>
        </w:tc>
        <w:tc>
          <w:tcPr>
            <w:tcW w:type="dxa" w:w="4986"/>
          </w:tcPr>
          <w:p>
            <w:pPr>
              <w:jc w:val="left"/>
            </w:pPr>
            <w:r/>
            <w:r>
              <w:rPr>
                <w:rFonts w:ascii="Calibri" w:hAnsi="Calibri"/>
                <w:sz w:val="18"/>
              </w:rPr>
              <w:t>$5,000 per month ($60,000 p.a.)</w:t>
            </w:r>
          </w:p>
        </w:tc>
      </w:tr>
      <w:tr>
        <w:tc>
          <w:tcPr>
            <w:tcW w:type="dxa" w:w="4986"/>
          </w:tcPr>
          <w:p>
            <w:pPr>
              <w:jc w:val="left"/>
            </w:pPr>
            <w:r/>
            <w:r>
              <w:rPr>
                <w:rFonts w:ascii="Calibri" w:hAnsi="Calibri"/>
                <w:sz w:val="18"/>
              </w:rPr>
              <w:t>Travel goal</w:t>
            </w:r>
          </w:p>
        </w:tc>
        <w:tc>
          <w:tcPr>
            <w:tcW w:type="dxa" w:w="4986"/>
          </w:tcPr>
          <w:p>
            <w:pPr>
              <w:jc w:val="left"/>
            </w:pPr>
            <w:r/>
            <w:r>
              <w:rPr>
                <w:rFonts w:ascii="Calibri" w:hAnsi="Calibri"/>
                <w:sz w:val="18"/>
              </w:rPr>
              <w:t>$10,000 p.a. (two trips per year)</w:t>
            </w:r>
          </w:p>
        </w:tc>
      </w:tr>
      <w:tr>
        <w:tc>
          <w:tcPr>
            <w:tcW w:type="dxa" w:w="4986"/>
          </w:tcPr>
          <w:p>
            <w:pPr>
              <w:jc w:val="left"/>
            </w:pPr>
            <w:r/>
            <w:r>
              <w:rPr>
                <w:rFonts w:ascii="Calibri" w:hAnsi="Calibri"/>
                <w:sz w:val="18"/>
              </w:rPr>
              <w:t>Total pre-retirement spend</w:t>
            </w:r>
          </w:p>
        </w:tc>
        <w:tc>
          <w:tcPr>
            <w:tcW w:type="dxa" w:w="4986"/>
          </w:tcPr>
          <w:p>
            <w:pPr>
              <w:jc w:val="left"/>
            </w:pPr>
            <w:r/>
            <w:r>
              <w:rPr>
                <w:rFonts w:ascii="Calibri" w:hAnsi="Calibri"/>
                <w:sz w:val="18"/>
              </w:rPr>
              <w:t>$70,000 p.a. ($60,000 living plus $10,000 travel)</w:t>
            </w:r>
          </w:p>
        </w:tc>
      </w:tr>
      <w:tr>
        <w:tc>
          <w:tcPr>
            <w:tcW w:type="dxa" w:w="4986"/>
          </w:tcPr>
          <w:p>
            <w:pPr>
              <w:jc w:val="left"/>
            </w:pPr>
            <w:r/>
            <w:r>
              <w:rPr>
                <w:rFonts w:ascii="Calibri" w:hAnsi="Calibri"/>
                <w:sz w:val="18"/>
              </w:rPr>
              <w:t>Retirement spend target</w:t>
            </w:r>
          </w:p>
        </w:tc>
        <w:tc>
          <w:tcPr>
            <w:tcW w:type="dxa" w:w="4986"/>
          </w:tcPr>
          <w:p>
            <w:pPr>
              <w:jc w:val="left"/>
            </w:pPr>
            <w:r/>
            <w:r>
              <w:rPr>
                <w:rFonts w:ascii="Calibri" w:hAnsi="Calibri"/>
                <w:sz w:val="18"/>
              </w:rPr>
              <w:t>$70,000 p.a. (in today's dollars)</w:t>
            </w:r>
          </w:p>
        </w:tc>
      </w:tr>
      <w:tr>
        <w:tc>
          <w:tcPr>
            <w:tcW w:type="dxa" w:w="4986"/>
          </w:tcPr>
          <w:p>
            <w:pPr>
              <w:jc w:val="left"/>
            </w:pPr>
            <w:r/>
            <w:r>
              <w:rPr>
                <w:rFonts w:ascii="Calibri" w:hAnsi="Calibri"/>
                <w:sz w:val="18"/>
              </w:rPr>
              <w:t>Net salary (after tax and Medicare, estimated)</w:t>
            </w:r>
          </w:p>
        </w:tc>
        <w:tc>
          <w:tcPr>
            <w:tcW w:type="dxa" w:w="4986"/>
          </w:tcPr>
          <w:p>
            <w:pPr>
              <w:jc w:val="left"/>
            </w:pPr>
            <w:r/>
            <w:r>
              <w:rPr>
                <w:rFonts w:ascii="Calibri" w:hAnsi="Calibri"/>
                <w:sz w:val="18"/>
              </w:rPr>
              <w:t>$12,847 per month ($154,168 p.a.)</w:t>
            </w:r>
          </w:p>
        </w:tc>
      </w:tr>
      <w:tr>
        <w:tc>
          <w:tcPr>
            <w:tcW w:type="dxa" w:w="4986"/>
          </w:tcPr>
          <w:p>
            <w:pPr>
              <w:jc w:val="left"/>
            </w:pPr>
            <w:r/>
            <w:r>
              <w:rPr>
                <w:rFonts w:ascii="Calibri" w:hAnsi="Calibri"/>
                <w:sz w:val="18"/>
              </w:rPr>
              <w:t>Monthly surplus (after car loan eliminated)</w:t>
            </w:r>
          </w:p>
        </w:tc>
        <w:tc>
          <w:tcPr>
            <w:tcW w:type="dxa" w:w="4986"/>
          </w:tcPr>
          <w:p>
            <w:pPr>
              <w:jc w:val="left"/>
            </w:pPr>
            <w:r/>
            <w:r>
              <w:rPr>
                <w:rFonts w:ascii="Calibri" w:hAnsi="Calibri"/>
                <w:sz w:val="18"/>
              </w:rPr>
              <w:t>$4,629 per month ($55,548 p.a.)</w:t>
            </w:r>
          </w:p>
        </w:tc>
      </w:tr>
      <w:tr>
        <w:tc>
          <w:tcPr>
            <w:tcW w:type="dxa" w:w="4986"/>
          </w:tcPr>
          <w:p>
            <w:pPr>
              <w:jc w:val="left"/>
            </w:pPr>
            <w:r/>
            <w:r>
              <w:rPr>
                <w:rFonts w:ascii="Calibri" w:hAnsi="Calibri"/>
                <w:sz w:val="18"/>
              </w:rPr>
              <w:t>Liquidity floor</w:t>
            </w:r>
          </w:p>
        </w:tc>
        <w:tc>
          <w:tcPr>
            <w:tcW w:type="dxa" w:w="4986"/>
          </w:tcPr>
          <w:p>
            <w:pPr>
              <w:jc w:val="left"/>
            </w:pPr>
            <w:r/>
            <w:r>
              <w:rPr>
                <w:rFonts w:ascii="Calibri" w:hAnsi="Calibri"/>
                <w:sz w:val="18"/>
              </w:rPr>
              <w:t>Approximately $15,000 (3 months expenses at $5,000 per month)</w:t>
            </w:r>
          </w:p>
        </w:tc>
      </w:tr>
      <w:tr>
        <w:tc>
          <w:tcPr>
            <w:tcW w:type="dxa" w:w="4986"/>
          </w:tcPr>
          <w:p>
            <w:pPr>
              <w:jc w:val="left"/>
            </w:pPr>
            <w:r/>
            <w:r>
              <w:rPr>
                <w:rFonts w:ascii="Calibri" w:hAnsi="Calibri"/>
                <w:sz w:val="18"/>
              </w:rPr>
              <w:t>Risk score / Selected profile</w:t>
            </w:r>
          </w:p>
        </w:tc>
        <w:tc>
          <w:tcPr>
            <w:tcW w:type="dxa" w:w="4986"/>
          </w:tcPr>
          <w:p>
            <w:pPr>
              <w:jc w:val="left"/>
            </w:pPr>
            <w:r/>
            <w:r>
              <w:rPr>
                <w:rFonts w:ascii="Calibri" w:hAnsi="Calibri"/>
                <w:sz w:val="18"/>
              </w:rPr>
              <w:t>To be confirmed. CA-C (60/40) selected based on 3 to 5 year pre-retirement horizon</w:t>
            </w:r>
          </w:p>
        </w:tc>
      </w:tr>
      <w:tr>
        <w:tc>
          <w:tcPr>
            <w:tcW w:type="dxa" w:w="4986"/>
          </w:tcPr>
          <w:p>
            <w:pPr>
              <w:jc w:val="left"/>
            </w:pPr>
            <w:r/>
            <w:r>
              <w:rPr>
                <w:rFonts w:ascii="Calibri" w:hAnsi="Calibri"/>
                <w:sz w:val="18"/>
              </w:rPr>
              <w:t>Investment return assumption (super, balanced)</w:t>
            </w:r>
          </w:p>
        </w:tc>
        <w:tc>
          <w:tcPr>
            <w:tcW w:type="dxa" w:w="4986"/>
          </w:tcPr>
          <w:p>
            <w:pPr>
              <w:jc w:val="left"/>
            </w:pPr>
            <w:r/>
            <w:r>
              <w:rPr>
                <w:rFonts w:ascii="Calibri" w:hAnsi="Calibri"/>
                <w:sz w:val="18"/>
              </w:rPr>
              <w:t>7% gross</w:t>
            </w:r>
          </w:p>
        </w:tc>
      </w:tr>
      <w:tr>
        <w:tc>
          <w:tcPr>
            <w:tcW w:type="dxa" w:w="4986"/>
          </w:tcPr>
          <w:p>
            <w:pPr>
              <w:jc w:val="left"/>
            </w:pPr>
            <w:r/>
            <w:r>
              <w:rPr>
                <w:rFonts w:ascii="Calibri" w:hAnsi="Calibri"/>
                <w:sz w:val="18"/>
              </w:rPr>
              <w:t>SMA</w:t>
            </w:r>
          </w:p>
        </w:tc>
        <w:tc>
          <w:tcPr>
            <w:tcW w:type="dxa" w:w="4986"/>
          </w:tcPr>
          <w:p>
            <w:pPr>
              <w:jc w:val="left"/>
            </w:pPr>
            <w:r/>
            <w:r>
              <w:rPr>
                <w:rFonts w:ascii="Calibri" w:hAnsi="Calibri"/>
                <w:sz w:val="18"/>
              </w:rPr>
              <w:t>Akambo CA-C (Balanced Growth, 60/40 growth/defensive)</w:t>
            </w:r>
          </w:p>
        </w:tc>
      </w:tr>
      <w:tr>
        <w:tc>
          <w:tcPr>
            <w:tcW w:type="dxa" w:w="4986"/>
          </w:tcPr>
          <w:p>
            <w:pPr>
              <w:jc w:val="left"/>
            </w:pPr>
            <w:r/>
            <w:r>
              <w:rPr>
                <w:rFonts w:ascii="Calibri" w:hAnsi="Calibri"/>
                <w:sz w:val="18"/>
              </w:rPr>
              <w:t>Insurance handling</w:t>
            </w:r>
          </w:p>
        </w:tc>
        <w:tc>
          <w:tcPr>
            <w:tcW w:type="dxa" w:w="4986"/>
          </w:tcPr>
          <w:p>
            <w:pPr>
              <w:jc w:val="left"/>
            </w:pPr>
            <w:r/>
            <w:r>
              <w:rPr>
                <w:rFonts w:ascii="Calibri" w:hAnsi="Calibri"/>
                <w:sz w:val="18"/>
              </w:rPr>
              <w:t>Referred to Akambo Insurance. Model premium drag only. IP currently inside Australian Super</w:t>
            </w:r>
          </w:p>
        </w:tc>
      </w:tr>
      <w:tr>
        <w:tc>
          <w:tcPr>
            <w:tcW w:type="dxa" w:w="4986"/>
          </w:tcPr>
          <w:p>
            <w:pPr>
              <w:jc w:val="left"/>
            </w:pPr>
            <w:r/>
            <w:r>
              <w:rPr>
                <w:rFonts w:ascii="Calibri" w:hAnsi="Calibri"/>
                <w:sz w:val="18"/>
              </w:rPr>
              <w:t>Retirement age</w:t>
            </w:r>
          </w:p>
        </w:tc>
        <w:tc>
          <w:tcPr>
            <w:tcW w:type="dxa" w:w="4986"/>
          </w:tcPr>
          <w:p>
            <w:pPr>
              <w:jc w:val="left"/>
            </w:pPr>
            <w:r/>
            <w:r>
              <w:rPr>
                <w:rFonts w:ascii="Calibri" w:hAnsi="Calibri"/>
                <w:sz w:val="18"/>
              </w:rPr>
              <w:t>Target 65 to 67</w:t>
            </w:r>
          </w:p>
        </w:tc>
      </w:tr>
      <w:tr>
        <w:tc>
          <w:tcPr>
            <w:tcW w:type="dxa" w:w="4986"/>
          </w:tcPr>
          <w:p>
            <w:pPr>
              <w:jc w:val="left"/>
            </w:pPr>
            <w:r/>
            <w:r>
              <w:rPr>
                <w:rFonts w:ascii="Calibri" w:hAnsi="Calibri"/>
                <w:sz w:val="18"/>
              </w:rPr>
              <w:t>Preservation age</w:t>
            </w:r>
          </w:p>
        </w:tc>
        <w:tc>
          <w:tcPr>
            <w:tcW w:type="dxa" w:w="4986"/>
          </w:tcPr>
          <w:p>
            <w:pPr>
              <w:jc w:val="left"/>
            </w:pPr>
            <w:r/>
            <w:r>
              <w:rPr>
                <w:rFonts w:ascii="Calibri" w:hAnsi="Calibri"/>
                <w:sz w:val="18"/>
              </w:rPr>
              <w:t>60 (reached)</w:t>
            </w:r>
          </w:p>
        </w:tc>
      </w:tr>
      <w:tr>
        <w:tc>
          <w:tcPr>
            <w:tcW w:type="dxa" w:w="4986"/>
          </w:tcPr>
          <w:p>
            <w:pPr>
              <w:jc w:val="left"/>
            </w:pPr>
            <w:r/>
            <w:r>
              <w:rPr>
                <w:rFonts w:ascii="Calibri" w:hAnsi="Calibri"/>
                <w:sz w:val="18"/>
              </w:rPr>
              <w:t>Age pension eligibility</w:t>
            </w:r>
          </w:p>
        </w:tc>
        <w:tc>
          <w:tcPr>
            <w:tcW w:type="dxa" w:w="4986"/>
          </w:tcPr>
          <w:p>
            <w:pPr>
              <w:jc w:val="left"/>
            </w:pPr>
            <w:r/>
            <w:r>
              <w:rPr>
                <w:rFonts w:ascii="Calibri" w:hAnsi="Calibri"/>
                <w:sz w:val="18"/>
              </w:rPr>
              <w:t>67</w:t>
            </w:r>
          </w:p>
        </w:tc>
      </w:tr>
      <w:tr>
        <w:tc>
          <w:tcPr>
            <w:tcW w:type="dxa" w:w="4986"/>
          </w:tcPr>
          <w:p>
            <w:pPr>
              <w:jc w:val="left"/>
            </w:pPr>
            <w:r/>
            <w:r>
              <w:rPr>
                <w:rFonts w:ascii="Calibri" w:hAnsi="Calibri"/>
                <w:sz w:val="18"/>
              </w:rPr>
              <w:t>Marital status</w:t>
            </w:r>
          </w:p>
        </w:tc>
        <w:tc>
          <w:tcPr>
            <w:tcW w:type="dxa" w:w="4986"/>
          </w:tcPr>
          <w:p>
            <w:pPr>
              <w:jc w:val="left"/>
            </w:pPr>
            <w:r/>
            <w:r>
              <w:rPr>
                <w:rFonts w:ascii="Calibri" w:hAnsi="Calibri"/>
                <w:sz w:val="18"/>
              </w:rPr>
              <w:t>Divorced (fully settled)</w:t>
            </w:r>
          </w:p>
        </w:tc>
      </w:tr>
      <w:tr>
        <w:tc>
          <w:tcPr>
            <w:tcW w:type="dxa" w:w="4986"/>
          </w:tcPr>
          <w:p>
            <w:pPr>
              <w:jc w:val="left"/>
            </w:pPr>
            <w:r/>
            <w:r>
              <w:rPr>
                <w:rFonts w:ascii="Calibri" w:hAnsi="Calibri"/>
                <w:sz w:val="18"/>
              </w:rPr>
              <w:t>Dependants</w:t>
            </w:r>
          </w:p>
        </w:tc>
        <w:tc>
          <w:tcPr>
            <w:tcW w:type="dxa" w:w="4986"/>
          </w:tcPr>
          <w:p>
            <w:pPr>
              <w:jc w:val="left"/>
            </w:pPr>
            <w:r/>
            <w:r>
              <w:rPr>
                <w:rFonts w:ascii="Calibri" w:hAnsi="Calibri"/>
                <w:sz w:val="18"/>
              </w:rPr>
              <w:t>3 adult independent children</w:t>
            </w:r>
          </w:p>
        </w:tc>
      </w:tr>
      <w:tr>
        <w:tc>
          <w:tcPr>
            <w:tcW w:type="dxa" w:w="4986"/>
          </w:tcPr>
          <w:p>
            <w:pPr>
              <w:jc w:val="left"/>
            </w:pPr>
            <w:r/>
            <w:r>
              <w:rPr>
                <w:rFonts w:ascii="Calibri" w:hAnsi="Calibri"/>
                <w:sz w:val="18"/>
              </w:rPr>
              <w:t>Stress test: +3.0% interest rate</w:t>
            </w:r>
          </w:p>
        </w:tc>
        <w:tc>
          <w:tcPr>
            <w:tcW w:type="dxa" w:w="4986"/>
          </w:tcPr>
          <w:p>
            <w:pPr>
              <w:jc w:val="left"/>
            </w:pPr>
            <w:r/>
            <w:r>
              <w:rPr>
                <w:rFonts w:ascii="Calibri" w:hAnsi="Calibri"/>
                <w:sz w:val="18"/>
              </w:rPr>
              <w:t>Mortgage at 7.00%: effective mortgage interest on $46,000 = $3,220 p.a. (current) or $109,460 post car loan payoff = $7,662 p.a. Surplus remains positive. Strategy tolerates rate increase</w:t>
            </w:r>
          </w:p>
        </w:tc>
      </w:tr>
      <w:tr>
        <w:tc>
          <w:tcPr>
            <w:tcW w:type="dxa" w:w="4986"/>
          </w:tcPr>
          <w:p>
            <w:pPr>
              <w:jc w:val="left"/>
            </w:pPr>
            <w:r/>
            <w:r>
              <w:rPr>
                <w:rFonts w:ascii="Calibri" w:hAnsi="Calibri"/>
                <w:sz w:val="18"/>
              </w:rPr>
              <w:t>Contributions and Timing</w:t>
            </w:r>
          </w:p>
        </w:tc>
        <w:tc>
          <w:tcPr>
            <w:tcW w:type="dxa" w:w="4986"/>
          </w:tcPr>
          <w:p>
            <w:pPr>
              <w:jc w:val="left"/>
            </w:pPr>
            <w:r/>
            <w:r>
              <w:rPr>
                <w:rFonts w:ascii="Calibri" w:hAnsi="Calibri"/>
                <w:sz w:val="18"/>
              </w:rPr>
              <w:t>Detail</w:t>
            </w:r>
          </w:p>
        </w:tc>
      </w:tr>
      <w:tr>
        <w:tc>
          <w:tcPr>
            <w:tcW w:type="dxa" w:w="4986"/>
          </w:tcPr>
          <w:p>
            <w:pPr>
              <w:jc w:val="left"/>
            </w:pPr>
            <w:r/>
            <w:r>
              <w:rPr>
                <w:rFonts w:ascii="Calibri" w:hAnsi="Calibri"/>
                <w:sz w:val="18"/>
              </w:rPr>
              <w:t>This FY (2025-26)</w:t>
            </w:r>
          </w:p>
        </w:tc>
        <w:tc>
          <w:tcPr>
            <w:tcW w:type="dxa" w:w="4986"/>
          </w:tcPr>
          <w:p>
            <w:pPr>
              <w:jc w:val="left"/>
            </w:pPr>
            <w:r/>
            <w:r>
              <w:rPr>
                <w:rFonts w:ascii="Calibri" w:hAnsi="Calibri"/>
                <w:sz w:val="18"/>
              </w:rPr>
              <w:t>SG: $26,400 (full year). Personal deductible: $3,600 (claim on existing $50,000 contribution). NCC: $46,400 (remaining personal contribution). No further contributions this FY</w:t>
            </w:r>
          </w:p>
        </w:tc>
      </w:tr>
      <w:tr>
        <w:tc>
          <w:tcPr>
            <w:tcW w:type="dxa" w:w="4986"/>
          </w:tcPr>
          <w:p>
            <w:pPr>
              <w:jc w:val="left"/>
            </w:pPr>
            <w:r/>
            <w:r>
              <w:rPr>
                <w:rFonts w:ascii="Calibri" w:hAnsi="Calibri"/>
                <w:sz w:val="18"/>
              </w:rPr>
              <w:t>Next FY (2026-27)</w:t>
            </w:r>
          </w:p>
        </w:tc>
        <w:tc>
          <w:tcPr>
            <w:tcW w:type="dxa" w:w="4986"/>
          </w:tcPr>
          <w:p>
            <w:pPr>
              <w:jc w:val="left"/>
            </w:pPr>
            <w:r/>
            <w:r>
              <w:rPr>
                <w:rFonts w:ascii="Calibri" w:hAnsi="Calibri"/>
                <w:sz w:val="18"/>
              </w:rPr>
              <w:t>SG: $26,400 (12% of $220,000). Personal deductible: up to CC cap headroom (approximately $3,600 if cap and SG unchanged). NCC: from surplus once offset rebuilt. Amount to be confirmed at annual review</w:t>
            </w:r>
          </w:p>
        </w:tc>
      </w:tr>
      <w:tr>
        <w:tc>
          <w:tcPr>
            <w:tcW w:type="dxa" w:w="4986"/>
          </w:tcPr>
          <w:p>
            <w:pPr>
              <w:jc w:val="left"/>
            </w:pPr>
            <w:r/>
            <w:r>
              <w:rPr>
                <w:rFonts w:ascii="Calibri" w:hAnsi="Calibri"/>
                <w:sz w:val="18"/>
              </w:rPr>
              <w:t>Carry-forward</w:t>
            </w:r>
          </w:p>
        </w:tc>
        <w:tc>
          <w:tcPr>
            <w:tcW w:type="dxa" w:w="4986"/>
          </w:tcPr>
          <w:p>
            <w:pPr>
              <w:jc w:val="left"/>
            </w:pPr>
            <w:r/>
            <w:r>
              <w:rPr>
                <w:rFonts w:ascii="Calibri" w:hAnsi="Calibri"/>
                <w:sz w:val="18"/>
              </w:rPr>
              <w:t>Not available. TSB exceeds $500,000 at prior 30 June</w:t>
            </w:r>
          </w:p>
        </w:tc>
      </w:tr>
    </w:tbl>
    <w:p/>
    <w:p>
      <w:pPr>
        <w:pStyle w:val="Heading2"/>
      </w:pPr>
      <w:r>
        <w:t>Retirement Projection (Summary)</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1662"/>
            <w:shd w:fill="1F3864" w:val="clear"/>
          </w:tcPr>
          <w:p>
            <w:pPr>
              <w:jc w:val="left"/>
            </w:pPr>
            <w:r>
              <w:rPr>
                <w:rFonts w:ascii="Calibri" w:hAnsi="Calibri"/>
                <w:b/>
                <w:color w:val="FFFFFF"/>
                <w:sz w:val="18"/>
              </w:rPr>
            </w:r>
            <w:r>
              <w:rPr>
                <w:rFonts w:ascii="Calibri" w:hAnsi="Calibri"/>
                <w:b/>
                <w:color w:val="FFFFFF"/>
                <w:sz w:val="18"/>
              </w:rPr>
              <w:t>Year</w:t>
            </w:r>
          </w:p>
        </w:tc>
        <w:tc>
          <w:tcPr>
            <w:tcW w:type="dxa" w:w="1662"/>
            <w:shd w:fill="1F3864" w:val="clear"/>
          </w:tcPr>
          <w:p>
            <w:pPr>
              <w:jc w:val="left"/>
            </w:pPr>
            <w:r>
              <w:rPr>
                <w:rFonts w:ascii="Calibri" w:hAnsi="Calibri"/>
                <w:b/>
                <w:color w:val="FFFFFF"/>
                <w:sz w:val="18"/>
              </w:rPr>
            </w:r>
            <w:r>
              <w:rPr>
                <w:rFonts w:ascii="Calibri" w:hAnsi="Calibri"/>
                <w:b/>
                <w:color w:val="FFFFFF"/>
                <w:sz w:val="18"/>
              </w:rPr>
              <w:t>Age</w:t>
            </w:r>
          </w:p>
        </w:tc>
        <w:tc>
          <w:tcPr>
            <w:tcW w:type="dxa" w:w="1662"/>
            <w:shd w:fill="1F3864" w:val="clear"/>
          </w:tcPr>
          <w:p>
            <w:pPr>
              <w:jc w:val="left"/>
            </w:pPr>
            <w:r>
              <w:rPr>
                <w:rFonts w:ascii="Calibri" w:hAnsi="Calibri"/>
                <w:b/>
                <w:color w:val="FFFFFF"/>
                <w:sz w:val="18"/>
              </w:rPr>
            </w:r>
            <w:r>
              <w:rPr>
                <w:rFonts w:ascii="Calibri" w:hAnsi="Calibri"/>
                <w:b/>
                <w:color w:val="FFFFFF"/>
                <w:sz w:val="18"/>
              </w:rPr>
              <w:t>Event</w:t>
            </w:r>
          </w:p>
        </w:tc>
        <w:tc>
          <w:tcPr>
            <w:tcW w:type="dxa" w:w="1662"/>
            <w:shd w:fill="1F3864" w:val="clear"/>
          </w:tcPr>
          <w:p>
            <w:pPr>
              <w:jc w:val="left"/>
            </w:pPr>
            <w:r>
              <w:rPr>
                <w:rFonts w:ascii="Calibri" w:hAnsi="Calibri"/>
                <w:b/>
                <w:color w:val="FFFFFF"/>
                <w:sz w:val="18"/>
              </w:rPr>
            </w:r>
            <w:r>
              <w:rPr>
                <w:rFonts w:ascii="Calibri" w:hAnsi="Calibri"/>
                <w:b/>
                <w:color w:val="FFFFFF"/>
                <w:sz w:val="18"/>
              </w:rPr>
              <w:t>Super Balance (est.)</w:t>
            </w:r>
          </w:p>
        </w:tc>
        <w:tc>
          <w:tcPr>
            <w:tcW w:type="dxa" w:w="1662"/>
            <w:shd w:fill="1F3864" w:val="clear"/>
          </w:tcPr>
          <w:p>
            <w:pPr>
              <w:jc w:val="left"/>
            </w:pPr>
            <w:r>
              <w:rPr>
                <w:rFonts w:ascii="Calibri" w:hAnsi="Calibri"/>
                <w:b/>
                <w:color w:val="FFFFFF"/>
                <w:sz w:val="18"/>
              </w:rPr>
            </w:r>
            <w:r>
              <w:rPr>
                <w:rFonts w:ascii="Calibri" w:hAnsi="Calibri"/>
                <w:b/>
                <w:color w:val="FFFFFF"/>
                <w:sz w:val="18"/>
              </w:rPr>
              <w:t>Offset/Cash</w:t>
            </w:r>
          </w:p>
        </w:tc>
        <w:tc>
          <w:tcPr>
            <w:tcW w:type="dxa" w:w="1662"/>
            <w:shd w:fill="1F3864" w:val="clear"/>
          </w:tcPr>
          <w:p>
            <w:pPr>
              <w:jc w:val="left"/>
            </w:pPr>
            <w:r>
              <w:rPr>
                <w:rFonts w:ascii="Calibri" w:hAnsi="Calibri"/>
                <w:b/>
                <w:color w:val="FFFFFF"/>
                <w:sz w:val="18"/>
              </w:rPr>
            </w:r>
            <w:r>
              <w:rPr>
                <w:rFonts w:ascii="Calibri" w:hAnsi="Calibri"/>
                <w:b/>
                <w:color w:val="FFFFFF"/>
                <w:sz w:val="18"/>
              </w:rPr>
              <w:t>Effective Debt</w:t>
            </w:r>
          </w:p>
        </w:tc>
      </w:tr>
      <w:tr>
        <w:tc>
          <w:tcPr>
            <w:tcW w:type="dxa" w:w="1662"/>
          </w:tcPr>
          <w:p>
            <w:pPr>
              <w:jc w:val="left"/>
            </w:pPr>
            <w:r/>
            <w:r>
              <w:rPr>
                <w:rFonts w:ascii="Calibri" w:hAnsi="Calibri"/>
                <w:sz w:val="18"/>
              </w:rPr>
              <w:t>2026</w:t>
            </w:r>
          </w:p>
        </w:tc>
        <w:tc>
          <w:tcPr>
            <w:tcW w:type="dxa" w:w="1662"/>
          </w:tcPr>
          <w:p>
            <w:pPr>
              <w:jc w:val="left"/>
            </w:pPr>
            <w:r/>
            <w:r>
              <w:rPr>
                <w:rFonts w:ascii="Calibri" w:hAnsi="Calibri"/>
                <w:sz w:val="18"/>
              </w:rPr>
              <w:t>62</w:t>
            </w:r>
          </w:p>
        </w:tc>
        <w:tc>
          <w:tcPr>
            <w:tcW w:type="dxa" w:w="1662"/>
          </w:tcPr>
          <w:p>
            <w:pPr>
              <w:jc w:val="left"/>
            </w:pPr>
            <w:r/>
            <w:r>
              <w:rPr>
                <w:rFonts w:ascii="Calibri" w:hAnsi="Calibri"/>
                <w:sz w:val="18"/>
              </w:rPr>
              <w:t>Current position</w:t>
            </w:r>
          </w:p>
        </w:tc>
        <w:tc>
          <w:tcPr>
            <w:tcW w:type="dxa" w:w="1662"/>
          </w:tcPr>
          <w:p>
            <w:pPr>
              <w:jc w:val="left"/>
            </w:pPr>
            <w:r/>
            <w:r>
              <w:rPr>
                <w:rFonts w:ascii="Calibri" w:hAnsi="Calibri"/>
                <w:sz w:val="18"/>
              </w:rPr>
              <w:t>$663,565</w:t>
            </w:r>
          </w:p>
        </w:tc>
        <w:tc>
          <w:tcPr>
            <w:tcW w:type="dxa" w:w="1662"/>
          </w:tcPr>
          <w:p>
            <w:pPr>
              <w:jc w:val="left"/>
            </w:pPr>
            <w:r/>
            <w:r>
              <w:rPr>
                <w:rFonts w:ascii="Calibri" w:hAnsi="Calibri"/>
                <w:sz w:val="18"/>
              </w:rPr>
              <w:t>$417,000</w:t>
            </w:r>
          </w:p>
        </w:tc>
        <w:tc>
          <w:tcPr>
            <w:tcW w:type="dxa" w:w="1662"/>
          </w:tcPr>
          <w:p>
            <w:pPr>
              <w:jc w:val="left"/>
            </w:pPr>
            <w:r/>
            <w:r>
              <w:rPr>
                <w:rFonts w:ascii="Calibri" w:hAnsi="Calibri"/>
                <w:sz w:val="18"/>
              </w:rPr>
              <w:t>$109,460</w:t>
            </w:r>
          </w:p>
        </w:tc>
      </w:tr>
      <w:tr>
        <w:tc>
          <w:tcPr>
            <w:tcW w:type="dxa" w:w="1662"/>
          </w:tcPr>
          <w:p>
            <w:pPr>
              <w:jc w:val="left"/>
            </w:pPr>
            <w:r/>
            <w:r>
              <w:rPr>
                <w:rFonts w:ascii="Calibri" w:hAnsi="Calibri"/>
                <w:sz w:val="18"/>
              </w:rPr>
              <w:t>2026</w:t>
            </w:r>
          </w:p>
        </w:tc>
        <w:tc>
          <w:tcPr>
            <w:tcW w:type="dxa" w:w="1662"/>
          </w:tcPr>
          <w:p>
            <w:pPr>
              <w:jc w:val="left"/>
            </w:pPr>
            <w:r/>
            <w:r>
              <w:rPr>
                <w:rFonts w:ascii="Calibri" w:hAnsi="Calibri"/>
                <w:sz w:val="18"/>
              </w:rPr>
              <w:t>62</w:t>
            </w:r>
          </w:p>
        </w:tc>
        <w:tc>
          <w:tcPr>
            <w:tcW w:type="dxa" w:w="1662"/>
          </w:tcPr>
          <w:p>
            <w:pPr>
              <w:jc w:val="left"/>
            </w:pPr>
            <w:r/>
            <w:r>
              <w:rPr>
                <w:rFonts w:ascii="Calibri" w:hAnsi="Calibri"/>
                <w:sz w:val="18"/>
              </w:rPr>
              <w:t>Car loan paid from offset</w:t>
            </w:r>
          </w:p>
        </w:tc>
        <w:tc>
          <w:tcPr>
            <w:tcW w:type="dxa" w:w="1662"/>
          </w:tcPr>
          <w:p>
            <w:pPr>
              <w:jc w:val="left"/>
            </w:pPr>
            <w:r/>
            <w:r>
              <w:rPr>
                <w:rFonts w:ascii="Calibri" w:hAnsi="Calibri"/>
                <w:sz w:val="18"/>
              </w:rPr>
              <w:t>$663,565</w:t>
            </w:r>
          </w:p>
        </w:tc>
        <w:tc>
          <w:tcPr>
            <w:tcW w:type="dxa" w:w="1662"/>
          </w:tcPr>
          <w:p>
            <w:pPr>
              <w:jc w:val="left"/>
            </w:pPr>
            <w:r/>
            <w:r>
              <w:rPr>
                <w:rFonts w:ascii="Calibri" w:hAnsi="Calibri"/>
                <w:sz w:val="18"/>
              </w:rPr>
              <w:t>$353,540</w:t>
            </w:r>
          </w:p>
        </w:tc>
        <w:tc>
          <w:tcPr>
            <w:tcW w:type="dxa" w:w="1662"/>
          </w:tcPr>
          <w:p>
            <w:pPr>
              <w:jc w:val="left"/>
            </w:pPr>
            <w:r/>
            <w:r>
              <w:rPr>
                <w:rFonts w:ascii="Calibri" w:hAnsi="Calibri"/>
                <w:sz w:val="18"/>
              </w:rPr>
              <w:t>$172,920</w:t>
            </w:r>
          </w:p>
        </w:tc>
      </w:tr>
      <w:tr>
        <w:tc>
          <w:tcPr>
            <w:tcW w:type="dxa" w:w="1662"/>
          </w:tcPr>
          <w:p>
            <w:pPr>
              <w:jc w:val="left"/>
            </w:pPr>
            <w:r/>
            <w:r>
              <w:rPr>
                <w:rFonts w:ascii="Calibri" w:hAnsi="Calibri"/>
                <w:sz w:val="18"/>
              </w:rPr>
              <w:t>2027</w:t>
            </w:r>
          </w:p>
        </w:tc>
        <w:tc>
          <w:tcPr>
            <w:tcW w:type="dxa" w:w="1662"/>
          </w:tcPr>
          <w:p>
            <w:pPr>
              <w:jc w:val="left"/>
            </w:pPr>
            <w:r/>
            <w:r>
              <w:rPr>
                <w:rFonts w:ascii="Calibri" w:hAnsi="Calibri"/>
                <w:sz w:val="18"/>
              </w:rPr>
              <w:t>63</w:t>
            </w:r>
          </w:p>
        </w:tc>
        <w:tc>
          <w:tcPr>
            <w:tcW w:type="dxa" w:w="1662"/>
          </w:tcPr>
          <w:p>
            <w:pPr>
              <w:jc w:val="left"/>
            </w:pPr>
            <w:r/>
            <w:r>
              <w:rPr>
                <w:rFonts w:ascii="Calibri" w:hAnsi="Calibri"/>
                <w:sz w:val="18"/>
              </w:rPr>
              <w:t>Offset rebuilding, SG contributions only</w:t>
            </w:r>
          </w:p>
        </w:tc>
        <w:tc>
          <w:tcPr>
            <w:tcW w:type="dxa" w:w="1662"/>
          </w:tcPr>
          <w:p>
            <w:pPr>
              <w:jc w:val="left"/>
            </w:pPr>
            <w:r/>
            <w:r>
              <w:rPr>
                <w:rFonts w:ascii="Calibri" w:hAnsi="Calibri"/>
                <w:sz w:val="18"/>
              </w:rPr>
              <w:t>Approximately $740,000</w:t>
            </w:r>
          </w:p>
        </w:tc>
        <w:tc>
          <w:tcPr>
            <w:tcW w:type="dxa" w:w="1662"/>
          </w:tcPr>
          <w:p>
            <w:pPr>
              <w:jc w:val="left"/>
            </w:pPr>
            <w:r/>
            <w:r>
              <w:rPr>
                <w:rFonts w:ascii="Calibri" w:hAnsi="Calibri"/>
                <w:sz w:val="18"/>
              </w:rPr>
              <w:t>Approximately $409,000</w:t>
            </w:r>
          </w:p>
        </w:tc>
        <w:tc>
          <w:tcPr>
            <w:tcW w:type="dxa" w:w="1662"/>
          </w:tcPr>
          <w:p>
            <w:pPr>
              <w:jc w:val="left"/>
            </w:pPr>
            <w:r/>
            <w:r>
              <w:rPr>
                <w:rFonts w:ascii="Calibri" w:hAnsi="Calibri"/>
                <w:sz w:val="18"/>
              </w:rPr>
              <w:t>Approximately $70,000</w:t>
            </w:r>
          </w:p>
        </w:tc>
      </w:tr>
      <w:tr>
        <w:tc>
          <w:tcPr>
            <w:tcW w:type="dxa" w:w="1662"/>
          </w:tcPr>
          <w:p>
            <w:pPr>
              <w:jc w:val="left"/>
            </w:pPr>
            <w:r/>
            <w:r>
              <w:rPr>
                <w:rFonts w:ascii="Calibri" w:hAnsi="Calibri"/>
                <w:sz w:val="18"/>
              </w:rPr>
              <w:t>2028</w:t>
            </w:r>
          </w:p>
        </w:tc>
        <w:tc>
          <w:tcPr>
            <w:tcW w:type="dxa" w:w="1662"/>
          </w:tcPr>
          <w:p>
            <w:pPr>
              <w:jc w:val="left"/>
            </w:pPr>
            <w:r/>
            <w:r>
              <w:rPr>
                <w:rFonts w:ascii="Calibri" w:hAnsi="Calibri"/>
                <w:sz w:val="18"/>
              </w:rPr>
              <w:t>64</w:t>
            </w:r>
          </w:p>
        </w:tc>
        <w:tc>
          <w:tcPr>
            <w:tcW w:type="dxa" w:w="1662"/>
          </w:tcPr>
          <w:p>
            <w:pPr>
              <w:jc w:val="left"/>
            </w:pPr>
            <w:r/>
            <w:r>
              <w:rPr>
                <w:rFonts w:ascii="Calibri" w:hAnsi="Calibri"/>
                <w:sz w:val="18"/>
              </w:rPr>
              <w:t>Offset rebuilt, surplus to super commences</w:t>
            </w:r>
          </w:p>
        </w:tc>
        <w:tc>
          <w:tcPr>
            <w:tcW w:type="dxa" w:w="1662"/>
          </w:tcPr>
          <w:p>
            <w:pPr>
              <w:jc w:val="left"/>
            </w:pPr>
            <w:r/>
            <w:r>
              <w:rPr>
                <w:rFonts w:ascii="Calibri" w:hAnsi="Calibri"/>
                <w:sz w:val="18"/>
              </w:rPr>
              <w:t>Approximately $825,000</w:t>
            </w:r>
          </w:p>
        </w:tc>
        <w:tc>
          <w:tcPr>
            <w:tcW w:type="dxa" w:w="1662"/>
          </w:tcPr>
          <w:p>
            <w:pPr>
              <w:jc w:val="left"/>
            </w:pPr>
            <w:r/>
            <w:r>
              <w:rPr>
                <w:rFonts w:ascii="Calibri" w:hAnsi="Calibri"/>
                <w:sz w:val="18"/>
              </w:rPr>
              <w:t>Approximately $380,000</w:t>
            </w:r>
          </w:p>
        </w:tc>
        <w:tc>
          <w:tcPr>
            <w:tcW w:type="dxa" w:w="1662"/>
          </w:tcPr>
          <w:p>
            <w:pPr>
              <w:jc w:val="left"/>
            </w:pPr>
            <w:r/>
            <w:r>
              <w:rPr>
                <w:rFonts w:ascii="Calibri" w:hAnsi="Calibri"/>
                <w:sz w:val="18"/>
              </w:rPr>
              <w:t>Approximately $36,000</w:t>
            </w:r>
          </w:p>
        </w:tc>
      </w:tr>
      <w:tr>
        <w:tc>
          <w:tcPr>
            <w:tcW w:type="dxa" w:w="1662"/>
          </w:tcPr>
          <w:p>
            <w:pPr>
              <w:jc w:val="left"/>
            </w:pPr>
            <w:r/>
            <w:r>
              <w:rPr>
                <w:rFonts w:ascii="Calibri" w:hAnsi="Calibri"/>
                <w:sz w:val="18"/>
              </w:rPr>
              <w:t>2029</w:t>
            </w:r>
          </w:p>
        </w:tc>
        <w:tc>
          <w:tcPr>
            <w:tcW w:type="dxa" w:w="1662"/>
          </w:tcPr>
          <w:p>
            <w:pPr>
              <w:jc w:val="left"/>
            </w:pPr>
            <w:r/>
            <w:r>
              <w:rPr>
                <w:rFonts w:ascii="Calibri" w:hAnsi="Calibri"/>
                <w:sz w:val="18"/>
              </w:rPr>
              <w:t>65</w:t>
            </w:r>
          </w:p>
        </w:tc>
        <w:tc>
          <w:tcPr>
            <w:tcW w:type="dxa" w:w="1662"/>
          </w:tcPr>
          <w:p>
            <w:pPr>
              <w:jc w:val="left"/>
            </w:pPr>
            <w:r/>
            <w:r>
              <w:rPr>
                <w:rFonts w:ascii="Calibri" w:hAnsi="Calibri"/>
                <w:sz w:val="18"/>
              </w:rPr>
              <w:t>Retirement option 1</w:t>
            </w:r>
          </w:p>
        </w:tc>
        <w:tc>
          <w:tcPr>
            <w:tcW w:type="dxa" w:w="1662"/>
          </w:tcPr>
          <w:p>
            <w:pPr>
              <w:jc w:val="left"/>
            </w:pPr>
            <w:r/>
            <w:r>
              <w:rPr>
                <w:rFonts w:ascii="Calibri" w:hAnsi="Calibri"/>
                <w:sz w:val="18"/>
              </w:rPr>
              <w:t>Approximately $935,000</w:t>
            </w:r>
          </w:p>
        </w:tc>
        <w:tc>
          <w:tcPr>
            <w:tcW w:type="dxa" w:w="1662"/>
          </w:tcPr>
          <w:p>
            <w:pPr>
              <w:jc w:val="left"/>
            </w:pPr>
            <w:r/>
            <w:r>
              <w:rPr>
                <w:rFonts w:ascii="Calibri" w:hAnsi="Calibri"/>
                <w:sz w:val="18"/>
              </w:rPr>
              <w:t>Approximately $400,000</w:t>
            </w:r>
          </w:p>
        </w:tc>
        <w:tc>
          <w:tcPr>
            <w:tcW w:type="dxa" w:w="1662"/>
          </w:tcPr>
          <w:p>
            <w:pPr>
              <w:jc w:val="left"/>
            </w:pPr>
            <w:r/>
            <w:r>
              <w:rPr>
                <w:rFonts w:ascii="Calibri" w:hAnsi="Calibri"/>
                <w:sz w:val="18"/>
              </w:rPr>
              <w:t>Nil to minimal</w:t>
            </w:r>
          </w:p>
        </w:tc>
      </w:tr>
      <w:tr>
        <w:tc>
          <w:tcPr>
            <w:tcW w:type="dxa" w:w="1662"/>
          </w:tcPr>
          <w:p>
            <w:pPr>
              <w:jc w:val="left"/>
            </w:pPr>
            <w:r/>
            <w:r>
              <w:rPr>
                <w:rFonts w:ascii="Calibri" w:hAnsi="Calibri"/>
                <w:sz w:val="18"/>
              </w:rPr>
              <w:t>2031</w:t>
            </w:r>
          </w:p>
        </w:tc>
        <w:tc>
          <w:tcPr>
            <w:tcW w:type="dxa" w:w="1662"/>
          </w:tcPr>
          <w:p>
            <w:pPr>
              <w:jc w:val="left"/>
            </w:pPr>
            <w:r/>
            <w:r>
              <w:rPr>
                <w:rFonts w:ascii="Calibri" w:hAnsi="Calibri"/>
                <w:sz w:val="18"/>
              </w:rPr>
              <w:t>67</w:t>
            </w:r>
          </w:p>
        </w:tc>
        <w:tc>
          <w:tcPr>
            <w:tcW w:type="dxa" w:w="1662"/>
          </w:tcPr>
          <w:p>
            <w:pPr>
              <w:jc w:val="left"/>
            </w:pPr>
            <w:r/>
            <w:r>
              <w:rPr>
                <w:rFonts w:ascii="Calibri" w:hAnsi="Calibri"/>
                <w:sz w:val="18"/>
              </w:rPr>
              <w:t>Retirement option 2</w:t>
            </w:r>
          </w:p>
        </w:tc>
        <w:tc>
          <w:tcPr>
            <w:tcW w:type="dxa" w:w="1662"/>
          </w:tcPr>
          <w:p>
            <w:pPr>
              <w:jc w:val="left"/>
            </w:pPr>
            <w:r/>
            <w:r>
              <w:rPr>
                <w:rFonts w:ascii="Calibri" w:hAnsi="Calibri"/>
                <w:sz w:val="18"/>
              </w:rPr>
              <w:t>Approximately $1,135,000</w:t>
            </w:r>
          </w:p>
        </w:tc>
        <w:tc>
          <w:tcPr>
            <w:tcW w:type="dxa" w:w="1662"/>
          </w:tcPr>
          <w:p>
            <w:pPr>
              <w:jc w:val="left"/>
            </w:pPr>
            <w:r/>
            <w:r>
              <w:rPr>
                <w:rFonts w:ascii="Calibri" w:hAnsi="Calibri"/>
                <w:sz w:val="18"/>
              </w:rPr>
              <w:t>Approximately $430,000</w:t>
            </w:r>
          </w:p>
        </w:tc>
        <w:tc>
          <w:tcPr>
            <w:tcW w:type="dxa" w:w="1662"/>
          </w:tcPr>
          <w:p>
            <w:pPr>
              <w:jc w:val="left"/>
            </w:pPr>
            <w:r/>
            <w:r>
              <w:rPr>
                <w:rFonts w:ascii="Calibri" w:hAnsi="Calibri"/>
                <w:sz w:val="18"/>
              </w:rPr>
              <w:t>Nil</w:t>
            </w:r>
          </w:p>
        </w:tc>
      </w:tr>
    </w:tbl>
    <w:p/>
    <w:p>
      <w:pPr/>
      <w:r>
        <w:t>Paraplanning to model detailed retirement projection using platform modelling tool. Key inputs above. Drawdown rate at $70,000 p.a.: 7.5% at 65, 6.2% at 67. Age pension eligibility at 67 supplements income.</w:t>
      </w:r>
    </w:p>
    <w:p>
      <w:pPr/>
      <w:r>
        <w:t>Downsizer contribution note: if the client sells or downsizes the $2,200,000 property at or after 55, she can contribute up to $300,000 into super as a downsizer contribution. Not counted against CC or NCC caps. Counted for Age Pension assets test from day one. Not modelled as a current recommendation but noted as a future option.</w:t>
      </w:r>
    </w:p>
    <w:p>
      <w:pPr>
        <w:pStyle w:val="Heading2"/>
      </w:pPr>
      <w:r>
        <w:t>TMD</w:t>
      </w:r>
    </w:p>
    <w:tbl>
      <w:tblPr>
        <w:tblStyle w:val="TableGrid"/>
        <w:tblW w:type="auto" w:w="0"/>
        <w:jc w:val="left"/>
        <w:tblLook w:firstColumn="1" w:firstRow="1" w:lastColumn="0" w:lastRow="0" w:noHBand="0" w:noVBand="1" w:val="04A0"/>
      </w:tblPr>
      <w:tblGrid>
        <w:gridCol w:w="4986"/>
        <w:gridCol w:w="4986"/>
      </w:tblGrid>
      <w:tr>
        <w:tc>
          <w:tcPr>
            <w:tcW w:type="dxa" w:w="4986"/>
            <w:shd w:fill="1F3864" w:val="clear"/>
          </w:tcPr>
          <w:p>
            <w:pPr>
              <w:jc w:val="left"/>
            </w:pPr>
            <w:r>
              <w:rPr>
                <w:rFonts w:ascii="Calibri" w:hAnsi="Calibri"/>
                <w:b/>
                <w:color w:val="FFFFFF"/>
                <w:sz w:val="18"/>
              </w:rPr>
            </w:r>
            <w:r>
              <w:rPr>
                <w:rFonts w:ascii="Calibri" w:hAnsi="Calibri"/>
                <w:b/>
                <w:color w:val="FFFFFF"/>
                <w:sz w:val="18"/>
              </w:rPr>
              <w:t>Client / Entity</w:t>
            </w:r>
          </w:p>
        </w:tc>
        <w:tc>
          <w:tcPr>
            <w:tcW w:type="dxa" w:w="4986"/>
            <w:shd w:fill="1F3864" w:val="clear"/>
          </w:tcPr>
          <w:p>
            <w:pPr>
              <w:jc w:val="left"/>
            </w:pPr>
            <w:r>
              <w:rPr>
                <w:rFonts w:ascii="Calibri" w:hAnsi="Calibri"/>
                <w:b/>
                <w:color w:val="FFFFFF"/>
                <w:sz w:val="18"/>
              </w:rPr>
            </w:r>
            <w:r>
              <w:rPr>
                <w:rFonts w:ascii="Calibri" w:hAnsi="Calibri"/>
                <w:b/>
                <w:color w:val="FFFFFF"/>
                <w:sz w:val="18"/>
              </w:rPr>
              <w:t>Confirmation</w:t>
            </w:r>
          </w:p>
        </w:tc>
      </w:tr>
      <w:tr>
        <w:tc>
          <w:tcPr>
            <w:tcW w:type="dxa" w:w="4986"/>
          </w:tcPr>
          <w:p>
            <w:pPr>
              <w:jc w:val="left"/>
            </w:pPr>
            <w:r/>
            <w:r>
              <w:rPr>
                <w:rFonts w:ascii="Calibri" w:hAnsi="Calibri"/>
                <w:sz w:val="18"/>
              </w:rPr>
              <w:t>Client [Surname]</w:t>
            </w:r>
          </w:p>
        </w:tc>
        <w:tc>
          <w:tcPr>
            <w:tcW w:type="dxa" w:w="4986"/>
          </w:tcPr>
          <w:p>
            <w:pPr>
              <w:jc w:val="left"/>
            </w:pPr>
            <w:r/>
            <w:r>
              <w:rPr>
                <w:rFonts w:ascii="Calibri" w:hAnsi="Calibri"/>
                <w:sz w:val="18"/>
              </w:rPr>
              <w:t>To be confirmed by paraplanning</w:t>
            </w:r>
          </w:p>
        </w:tc>
      </w:tr>
    </w:tbl>
    <w:p/>
    <w:p>
      <w:pPr>
        <w:pStyle w:val="Heading2"/>
      </w:pPr>
      <w:r>
        <w:t>Notes to AA or Paraplanning</w:t>
      </w:r>
    </w:p>
    <w:tbl>
      <w:tblPr>
        <w:tblStyle w:val="TableGrid"/>
        <w:tblW w:type="auto" w:w="0"/>
        <w:jc w:val="left"/>
        <w:tblLook w:firstColumn="1" w:firstRow="1" w:lastColumn="0" w:lastRow="0" w:noHBand="0" w:noVBand="1" w:val="04A0"/>
      </w:tblPr>
      <w:tblGrid>
        <w:gridCol w:w="9972"/>
      </w:tblGrid>
      <w:tr>
        <w:tc>
          <w:tcPr>
            <w:tcW w:type="dxa" w:w="9972"/>
            <w:shd w:fill="1F3864" w:val="clear"/>
          </w:tcPr>
          <w:p>
            <w:pPr>
              <w:jc w:val="left"/>
            </w:pPr>
            <w:r>
              <w:rPr>
                <w:rFonts w:ascii="Calibri" w:hAnsi="Calibri"/>
                <w:b/>
                <w:color w:val="FFFFFF"/>
                <w:sz w:val="18"/>
              </w:rPr>
            </w:r>
            <w:r>
              <w:rPr>
                <w:rFonts w:ascii="Calibri" w:hAnsi="Calibri"/>
                <w:b/>
                <w:color w:val="FFFFFF"/>
                <w:sz w:val="18"/>
              </w:rPr>
              <w:t>Notes</w:t>
            </w:r>
          </w:p>
        </w:tc>
      </w:tr>
      <w:tr>
        <w:tc>
          <w:tcPr>
            <w:tcW w:type="dxa" w:w="9972"/>
          </w:tcPr>
          <w:p>
            <w:pPr>
              <w:jc w:val="left"/>
            </w:pPr>
            <w:r/>
            <w:r>
              <w:rPr>
                <w:rFonts w:ascii="Calibri" w:hAnsi="Calibri"/>
                <w:sz w:val="18"/>
              </w:rPr>
              <w:t>Risk profile: to be confirmed. CA-C (60/40) selected based on 3 to 5 year pre-retirement horizon and existing defensive buffer outside super. Confirm risk profiling tool has been completed. If mismatch, document rationale per CONVENTIONS.md</w:t>
            </w:r>
          </w:p>
        </w:tc>
      </w:tr>
      <w:tr>
        <w:tc>
          <w:tcPr>
            <w:tcW w:type="dxa" w:w="9972"/>
          </w:tcPr>
          <w:p>
            <w:pPr>
              <w:jc w:val="left"/>
            </w:pPr>
            <w:r/>
            <w:r>
              <w:rPr>
                <w:rFonts w:ascii="Calibri" w:hAnsi="Calibri"/>
                <w:sz w:val="18"/>
              </w:rPr>
              <w:t>Car loan interest rate: to be confirmed from loan statement. Assumed approximately 7% for comparison analysis. Update interest saving calculation if rate differs materially</w:t>
            </w:r>
          </w:p>
        </w:tc>
      </w:tr>
      <w:tr>
        <w:tc>
          <w:tcPr>
            <w:tcW w:type="dxa" w:w="9972"/>
          </w:tcPr>
          <w:p>
            <w:pPr>
              <w:jc w:val="left"/>
            </w:pPr>
            <w:r/>
            <w:r>
              <w:rPr>
                <w:rFonts w:ascii="Calibri" w:hAnsi="Calibri"/>
                <w:sz w:val="18"/>
              </w:rPr>
              <w:t>Insurance: referred to Akambo Insurance. Do not action rollover (Item 4) until insurance position confirmed. If cover needs to be maintained during transition, retain $10,000 in Australian Super for continuity</w:t>
            </w:r>
          </w:p>
        </w:tc>
      </w:tr>
      <w:tr>
        <w:tc>
          <w:tcPr>
            <w:tcW w:type="dxa" w:w="9972"/>
          </w:tcPr>
          <w:p>
            <w:pPr>
              <w:jc w:val="left"/>
            </w:pPr>
            <w:r/>
            <w:r>
              <w:rPr>
                <w:rFonts w:ascii="Calibri" w:hAnsi="Calibri"/>
                <w:sz w:val="18"/>
              </w:rPr>
              <w:t>TSB at prior 30 June: confirm exact figure from ATO portal. Value is confirmed above $500,000 (carry-forward not available) but exact figure needed for NCC eligibility check and projections</w:t>
            </w:r>
          </w:p>
        </w:tc>
      </w:tr>
      <w:tr>
        <w:tc>
          <w:tcPr>
            <w:tcW w:type="dxa" w:w="9972"/>
          </w:tcPr>
          <w:p>
            <w:pPr>
              <w:jc w:val="left"/>
            </w:pPr>
            <w:r/>
            <w:r>
              <w:rPr>
                <w:rFonts w:ascii="Calibri" w:hAnsi="Calibri"/>
                <w:sz w:val="18"/>
              </w:rPr>
              <w:t>Carry-forward concessional cap: not available (TSB exceeds $500,000). No further verification required</w:t>
            </w:r>
          </w:p>
        </w:tc>
      </w:tr>
      <w:tr>
        <w:tc>
          <w:tcPr>
            <w:tcW w:type="dxa" w:w="9972"/>
          </w:tcPr>
          <w:p>
            <w:pPr>
              <w:jc w:val="left"/>
            </w:pPr>
            <w:r/>
            <w:r>
              <w:rPr>
                <w:rFonts w:ascii="Calibri" w:hAnsi="Calibri"/>
                <w:sz w:val="18"/>
              </w:rPr>
              <w:t>Recent NCC: the $50,000 personal contribution in 2025-26 FY is a one-off connected to a property sale. $3,600 to be claimed as concessional (s290-170). $46,400 remains NCC. No bring-forward triggered (under $120,000 annual cap). Confirm no NCC in prior FYs that would affect the position</w:t>
            </w:r>
          </w:p>
        </w:tc>
      </w:tr>
      <w:tr>
        <w:tc>
          <w:tcPr>
            <w:tcW w:type="dxa" w:w="9972"/>
          </w:tcPr>
          <w:p>
            <w:pPr>
              <w:jc w:val="left"/>
            </w:pPr>
            <w:r/>
            <w:r>
              <w:rPr>
                <w:rFonts w:ascii="Calibri" w:hAnsi="Calibri"/>
                <w:sz w:val="18"/>
              </w:rPr>
              <w:t>Beneficiary nominations: confirm current nomination type, percentages, and expiry for Australian Super. Update as part of rollover to platform. Three adult independent children are non-tax dependants for super death benefit purposes. Note tax implications in SOA</w:t>
            </w:r>
          </w:p>
        </w:tc>
      </w:tr>
      <w:tr>
        <w:tc>
          <w:tcPr>
            <w:tcW w:type="dxa" w:w="9972"/>
          </w:tcPr>
          <w:p>
            <w:pPr>
              <w:jc w:val="left"/>
            </w:pPr>
            <w:r/>
            <w:r>
              <w:rPr>
                <w:rFonts w:ascii="Calibri" w:hAnsi="Calibri"/>
                <w:sz w:val="18"/>
              </w:rPr>
              <w:t>Platform selection: paraplanning to determine lowest total cost platform for accumulation account. Akambo CA-C SMA required</w:t>
            </w:r>
          </w:p>
        </w:tc>
      </w:tr>
      <w:tr>
        <w:tc>
          <w:tcPr>
            <w:tcW w:type="dxa" w:w="9972"/>
          </w:tcPr>
          <w:p>
            <w:pPr>
              <w:jc w:val="left"/>
            </w:pPr>
            <w:r/>
            <w:r>
              <w:rPr>
                <w:rFonts w:ascii="Calibri" w:hAnsi="Calibri"/>
                <w:sz w:val="18"/>
              </w:rPr>
              <w:t>Downsizer contribution: flagged as future consideration only. Not a current recommendation. Include in Future Considerations section of SOA file note</w:t>
            </w:r>
          </w:p>
        </w:tc>
      </w:tr>
      <w:tr>
        <w:tc>
          <w:tcPr>
            <w:tcW w:type="dxa" w:w="9972"/>
          </w:tcPr>
          <w:p>
            <w:pPr>
              <w:jc w:val="left"/>
            </w:pPr>
            <w:r/>
            <w:r>
              <w:rPr>
                <w:rFonts w:ascii="Calibri" w:hAnsi="Calibri"/>
                <w:sz w:val="18"/>
              </w:rPr>
              <w:t>s290-170 notice: must be lodged with Australian Super and acknowledgement received before lodging 2025-26 tax return or processing any rollover. Sequence: lodge notice first, receive acknowledgement, then proceed with rollover</w:t>
            </w:r>
          </w:p>
        </w:tc>
      </w:tr>
      <w:tr>
        <w:tc>
          <w:tcPr>
            <w:tcW w:type="dxa" w:w="9972"/>
          </w:tcPr>
          <w:p>
            <w:pPr>
              <w:jc w:val="left"/>
            </w:pPr>
            <w:r/>
            <w:r>
              <w:rPr>
                <w:rFonts w:ascii="Calibri" w:hAnsi="Calibri"/>
                <w:sz w:val="18"/>
              </w:rPr>
              <w:t>Source-of-truth: salary from payslips, super balance from fund statement, contributions from payslips/ATO portal, property value from recent sale comparables or client estimate. Paraplanning to log source documents per CONVENTIONS.md</w:t>
            </w:r>
          </w:p>
        </w:tc>
      </w:tr>
    </w:tbl>
    <w:p/>
    <w:p>
      <w:pPr>
        <w:pStyle w:val="Heading2"/>
      </w:pPr>
      <w:r>
        <w:t>Future Considerations (File Note, Not for SOA)</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1F3864" w:val="clear"/>
          </w:tcPr>
          <w:p>
            <w:pPr>
              <w:jc w:val="left"/>
            </w:pPr>
            <w:r>
              <w:rPr>
                <w:rFonts w:ascii="Calibri" w:hAnsi="Calibri"/>
                <w:b/>
                <w:color w:val="FFFFFF"/>
                <w:sz w:val="18"/>
              </w:rPr>
            </w:r>
            <w:r>
              <w:rPr>
                <w:rFonts w:ascii="Calibri" w:hAnsi="Calibri"/>
                <w:b/>
                <w:color w:val="FFFFFF"/>
                <w:sz w:val="18"/>
              </w:rPr>
              <w:t>FY / Period</w:t>
            </w:r>
          </w:p>
        </w:tc>
        <w:tc>
          <w:tcPr>
            <w:tcW w:type="dxa" w:w="3324"/>
            <w:shd w:fill="1F3864" w:val="clear"/>
          </w:tcPr>
          <w:p>
            <w:pPr>
              <w:jc w:val="left"/>
            </w:pPr>
            <w:r>
              <w:rPr>
                <w:rFonts w:ascii="Calibri" w:hAnsi="Calibri"/>
                <w:b/>
                <w:color w:val="FFFFFF"/>
                <w:sz w:val="18"/>
              </w:rPr>
            </w:r>
            <w:r>
              <w:rPr>
                <w:rFonts w:ascii="Calibri" w:hAnsi="Calibri"/>
                <w:b/>
                <w:color w:val="FFFFFF"/>
                <w:sz w:val="18"/>
              </w:rPr>
              <w:t>Consideration</w:t>
            </w:r>
          </w:p>
        </w:tc>
        <w:tc>
          <w:tcPr>
            <w:tcW w:type="dxa" w:w="3324"/>
            <w:shd w:fill="1F3864" w:val="clear"/>
          </w:tcPr>
          <w:p>
            <w:pPr>
              <w:jc w:val="left"/>
            </w:pPr>
            <w:r>
              <w:rPr>
                <w:rFonts w:ascii="Calibri" w:hAnsi="Calibri"/>
                <w:b/>
                <w:color w:val="FFFFFF"/>
                <w:sz w:val="18"/>
              </w:rPr>
            </w:r>
            <w:r>
              <w:rPr>
                <w:rFonts w:ascii="Calibri" w:hAnsi="Calibri"/>
                <w:b/>
                <w:color w:val="FFFFFF"/>
                <w:sz w:val="18"/>
              </w:rPr>
              <w:t>Depends On</w:t>
            </w:r>
          </w:p>
        </w:tc>
      </w:tr>
      <w:tr>
        <w:tc>
          <w:tcPr>
            <w:tcW w:type="dxa" w:w="3324"/>
          </w:tcPr>
          <w:p>
            <w:pPr>
              <w:jc w:val="left"/>
            </w:pPr>
            <w:r/>
            <w:r>
              <w:rPr>
                <w:rFonts w:ascii="Calibri" w:hAnsi="Calibri"/>
                <w:sz w:val="18"/>
              </w:rPr>
              <w:t>FY2027-28</w:t>
            </w:r>
          </w:p>
        </w:tc>
        <w:tc>
          <w:tcPr>
            <w:tcW w:type="dxa" w:w="3324"/>
          </w:tcPr>
          <w:p>
            <w:pPr>
              <w:jc w:val="left"/>
            </w:pPr>
            <w:r/>
            <w:r>
              <w:rPr>
                <w:rFonts w:ascii="Calibri" w:hAnsi="Calibri"/>
                <w:sz w:val="18"/>
              </w:rPr>
              <w:t>Once offset rebuilt to $370,000, commence regular NCC contributions to super from monthly surplus. Target amount to be confirmed at annual review based on updated salary, SG, cap indexation, and cashflow</w:t>
            </w:r>
          </w:p>
        </w:tc>
        <w:tc>
          <w:tcPr>
            <w:tcW w:type="dxa" w:w="3324"/>
          </w:tcPr>
          <w:p>
            <w:pPr>
              <w:jc w:val="left"/>
            </w:pPr>
            <w:r/>
            <w:r>
              <w:rPr>
                <w:rFonts w:ascii="Calibri" w:hAnsi="Calibri"/>
                <w:sz w:val="18"/>
              </w:rPr>
              <w:t>Offset fully rebuilt. Car loan eliminated. Surplus confirmed</w:t>
            </w:r>
          </w:p>
        </w:tc>
      </w:tr>
      <w:tr>
        <w:tc>
          <w:tcPr>
            <w:tcW w:type="dxa" w:w="3324"/>
          </w:tcPr>
          <w:p>
            <w:pPr>
              <w:jc w:val="left"/>
            </w:pPr>
            <w:r/>
            <w:r>
              <w:rPr>
                <w:rFonts w:ascii="Calibri" w:hAnsi="Calibri"/>
                <w:sz w:val="18"/>
              </w:rPr>
              <w:t>FY2028-29</w:t>
            </w:r>
          </w:p>
        </w:tc>
        <w:tc>
          <w:tcPr>
            <w:tcW w:type="dxa" w:w="3324"/>
          </w:tcPr>
          <w:p>
            <w:pPr>
              <w:jc w:val="left"/>
            </w:pPr>
            <w:r/>
            <w:r>
              <w:rPr>
                <w:rFonts w:ascii="Calibri" w:hAnsi="Calibri"/>
                <w:sz w:val="18"/>
              </w:rPr>
              <w:t>Review SMA allocation. If retiring at 65 (FY2028-29), transition from CA-C (60/40) to drawdown-appropriate CA portfolio based on income needs. If pension income of $70,000 p.a. from approximately $935,000, initial drawdown rate is 7.5%, suggesting CA6 or CA8</w:t>
            </w:r>
          </w:p>
        </w:tc>
        <w:tc>
          <w:tcPr>
            <w:tcW w:type="dxa" w:w="3324"/>
          </w:tcPr>
          <w:p>
            <w:pPr>
              <w:jc w:val="left"/>
            </w:pPr>
            <w:r/>
            <w:r>
              <w:rPr>
                <w:rFonts w:ascii="Calibri" w:hAnsi="Calibri"/>
                <w:sz w:val="18"/>
              </w:rPr>
              <w:t>Confirmed retirement date. Updated super balance. Risk profile review</w:t>
            </w:r>
          </w:p>
        </w:tc>
      </w:tr>
      <w:tr>
        <w:tc>
          <w:tcPr>
            <w:tcW w:type="dxa" w:w="3324"/>
          </w:tcPr>
          <w:p>
            <w:pPr>
              <w:jc w:val="left"/>
            </w:pPr>
            <w:r/>
            <w:r>
              <w:rPr>
                <w:rFonts w:ascii="Calibri" w:hAnsi="Calibri"/>
                <w:sz w:val="18"/>
              </w:rPr>
              <w:t>FY2028-29 or FY2030-31</w:t>
            </w:r>
          </w:p>
        </w:tc>
        <w:tc>
          <w:tcPr>
            <w:tcW w:type="dxa" w:w="3324"/>
          </w:tcPr>
          <w:p>
            <w:pPr>
              <w:jc w:val="left"/>
            </w:pPr>
            <w:r/>
            <w:r>
              <w:rPr>
                <w:rFonts w:ascii="Calibri" w:hAnsi="Calibri"/>
                <w:sz w:val="18"/>
              </w:rPr>
              <w:t>Convert accumulation to account-based pension on retirement. Transfer up to TBC ($1.9 million or personal cap). Pension earnings become tax-free on meeting condition of release (retirement before 65) or automatically at 65</w:t>
            </w:r>
          </w:p>
        </w:tc>
        <w:tc>
          <w:tcPr>
            <w:tcW w:type="dxa" w:w="3324"/>
          </w:tcPr>
          <w:p>
            <w:pPr>
              <w:jc w:val="left"/>
            </w:pPr>
            <w:r/>
            <w:r>
              <w:rPr>
                <w:rFonts w:ascii="Calibri" w:hAnsi="Calibri"/>
                <w:sz w:val="18"/>
              </w:rPr>
              <w:t>Retirement confirmed. Insurance position finalised. Rollover complete</w:t>
            </w:r>
          </w:p>
        </w:tc>
      </w:tr>
      <w:tr>
        <w:tc>
          <w:tcPr>
            <w:tcW w:type="dxa" w:w="3324"/>
          </w:tcPr>
          <w:p>
            <w:pPr>
              <w:jc w:val="left"/>
            </w:pPr>
            <w:r/>
            <w:r>
              <w:rPr>
                <w:rFonts w:ascii="Calibri" w:hAnsi="Calibri"/>
                <w:sz w:val="18"/>
              </w:rPr>
              <w:t>FY2030-31</w:t>
            </w:r>
          </w:p>
        </w:tc>
        <w:tc>
          <w:tcPr>
            <w:tcW w:type="dxa" w:w="3324"/>
          </w:tcPr>
          <w:p>
            <w:pPr>
              <w:jc w:val="left"/>
            </w:pPr>
            <w:r/>
            <w:r>
              <w:rPr>
                <w:rFonts w:ascii="Calibri" w:hAnsi="Calibri"/>
                <w:sz w:val="18"/>
              </w:rPr>
              <w:t>Age pension eligibility at 67. Assess entitlement based on assets test (super pension balance plus non-super assets) and income test (deemed income on financial assets plus any other income). Model impact of downsizer contribution if property sale is being considered</w:t>
            </w:r>
          </w:p>
        </w:tc>
        <w:tc>
          <w:tcPr>
            <w:tcW w:type="dxa" w:w="3324"/>
          </w:tcPr>
          <w:p>
            <w:pPr>
              <w:jc w:val="left"/>
            </w:pPr>
            <w:r/>
            <w:r>
              <w:rPr>
                <w:rFonts w:ascii="Calibri" w:hAnsi="Calibri"/>
                <w:sz w:val="18"/>
              </w:rPr>
              <w:t>Reaching age 67. Updated asset position</w:t>
            </w:r>
          </w:p>
        </w:tc>
      </w:tr>
      <w:tr>
        <w:tc>
          <w:tcPr>
            <w:tcW w:type="dxa" w:w="3324"/>
          </w:tcPr>
          <w:p>
            <w:pPr>
              <w:jc w:val="left"/>
            </w:pPr>
            <w:r/>
            <w:r>
              <w:rPr>
                <w:rFonts w:ascii="Calibri" w:hAnsi="Calibri"/>
                <w:sz w:val="18"/>
              </w:rPr>
              <w:t>Ongoing</w:t>
            </w:r>
          </w:p>
        </w:tc>
        <w:tc>
          <w:tcPr>
            <w:tcW w:type="dxa" w:w="3324"/>
          </w:tcPr>
          <w:p>
            <w:pPr>
              <w:jc w:val="left"/>
            </w:pPr>
            <w:r/>
            <w:r>
              <w:rPr>
                <w:rFonts w:ascii="Calibri" w:hAnsi="Calibri"/>
                <w:sz w:val="18"/>
              </w:rPr>
              <w:t>Downsizer contribution. If the client downsizes the $2,200,000 property, up to $300,000 can be contributed to super (not counted against caps). Model Age Pension impact before contributing as downsizer amounts count for assets test from day one</w:t>
            </w:r>
          </w:p>
        </w:tc>
        <w:tc>
          <w:tcPr>
            <w:tcW w:type="dxa" w:w="3324"/>
          </w:tcPr>
          <w:p>
            <w:pPr>
              <w:jc w:val="left"/>
            </w:pPr>
            <w:r/>
            <w:r>
              <w:rPr>
                <w:rFonts w:ascii="Calibri" w:hAnsi="Calibri"/>
                <w:sz w:val="18"/>
              </w:rPr>
              <w:t>Property sale decision. Updated super balance relative to TBC</w:t>
            </w:r>
          </w:p>
        </w:tc>
      </w:tr>
      <w:tr>
        <w:tc>
          <w:tcPr>
            <w:tcW w:type="dxa" w:w="3324"/>
          </w:tcPr>
          <w:p>
            <w:pPr>
              <w:jc w:val="left"/>
            </w:pPr>
            <w:r/>
            <w:r>
              <w:rPr>
                <w:rFonts w:ascii="Calibri" w:hAnsi="Calibri"/>
                <w:sz w:val="18"/>
              </w:rPr>
              <w:t>Ongoing</w:t>
            </w:r>
          </w:p>
        </w:tc>
        <w:tc>
          <w:tcPr>
            <w:tcW w:type="dxa" w:w="3324"/>
          </w:tcPr>
          <w:p>
            <w:pPr>
              <w:jc w:val="left"/>
            </w:pPr>
            <w:r/>
            <w:r>
              <w:rPr>
                <w:rFonts w:ascii="Calibri" w:hAnsi="Calibri"/>
                <w:sz w:val="18"/>
              </w:rPr>
              <w:t>Estate planning review. Three adult children are non-tax dependants for super death benefit purposes. Review BDBN type (binding vs non-binding, lapsing vs non-lapsing), will, and power of attorney. Consider testamentary trust structures if estate planning objectives require it</w:t>
            </w:r>
          </w:p>
        </w:tc>
        <w:tc>
          <w:tcPr>
            <w:tcW w:type="dxa" w:w="3324"/>
          </w:tcPr>
          <w:p>
            <w:pPr>
              <w:jc w:val="left"/>
            </w:pPr>
            <w:r/>
            <w:r>
              <w:rPr>
                <w:rFonts w:ascii="Calibri" w:hAnsi="Calibri"/>
                <w:sz w:val="18"/>
              </w:rPr>
              <w:t>Rollover complete. Updated beneficiary nominations</w:t>
            </w:r>
          </w:p>
        </w:tc>
      </w:tr>
    </w:tbl>
    <w:p/>
    <w:p>
      <w:pPr>
        <w:pStyle w:val="Heading2"/>
      </w:pPr>
      <w:r>
        <w:t>Change Log</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1F3864" w:val="clear"/>
          </w:tcPr>
          <w:p>
            <w:pPr>
              <w:jc w:val="left"/>
            </w:pPr>
            <w:r>
              <w:rPr>
                <w:rFonts w:ascii="Calibri" w:hAnsi="Calibri"/>
                <w:b/>
                <w:color w:val="FFFFFF"/>
                <w:sz w:val="18"/>
              </w:rPr>
            </w:r>
            <w:r>
              <w:rPr>
                <w:rFonts w:ascii="Calibri" w:hAnsi="Calibri"/>
                <w:b/>
                <w:color w:val="FFFFFF"/>
                <w:sz w:val="18"/>
              </w:rPr>
              <w:t>Version</w:t>
            </w:r>
          </w:p>
        </w:tc>
        <w:tc>
          <w:tcPr>
            <w:tcW w:type="dxa" w:w="3324"/>
            <w:shd w:fill="1F3864" w:val="clear"/>
          </w:tcPr>
          <w:p>
            <w:pPr>
              <w:jc w:val="left"/>
            </w:pPr>
            <w:r>
              <w:rPr>
                <w:rFonts w:ascii="Calibri" w:hAnsi="Calibri"/>
                <w:b/>
                <w:color w:val="FFFFFF"/>
                <w:sz w:val="18"/>
              </w:rPr>
            </w:r>
            <w:r>
              <w:rPr>
                <w:rFonts w:ascii="Calibri" w:hAnsi="Calibri"/>
                <w:b/>
                <w:color w:val="FFFFFF"/>
                <w:sz w:val="18"/>
              </w:rPr>
              <w:t>Date</w:t>
            </w:r>
          </w:p>
        </w:tc>
        <w:tc>
          <w:tcPr>
            <w:tcW w:type="dxa" w:w="3324"/>
            <w:shd w:fill="1F3864" w:val="clear"/>
          </w:tcPr>
          <w:p>
            <w:pPr>
              <w:jc w:val="left"/>
            </w:pPr>
            <w:r>
              <w:rPr>
                <w:rFonts w:ascii="Calibri" w:hAnsi="Calibri"/>
                <w:b/>
                <w:color w:val="FFFFFF"/>
                <w:sz w:val="18"/>
              </w:rPr>
            </w:r>
            <w:r>
              <w:rPr>
                <w:rFonts w:ascii="Calibri" w:hAnsi="Calibri"/>
                <w:b/>
                <w:color w:val="FFFFFF"/>
                <w:sz w:val="18"/>
              </w:rPr>
              <w:t>Notes</w:t>
            </w:r>
          </w:p>
        </w:tc>
      </w:tr>
      <w:tr>
        <w:tc>
          <w:tcPr>
            <w:tcW w:type="dxa" w:w="3324"/>
          </w:tcPr>
          <w:p>
            <w:pPr>
              <w:jc w:val="left"/>
            </w:pPr>
            <w:r/>
            <w:r>
              <w:rPr>
                <w:rFonts w:ascii="Calibri" w:hAnsi="Calibri"/>
                <w:sz w:val="18"/>
              </w:rPr>
              <w:t>v1</w:t>
            </w:r>
          </w:p>
        </w:tc>
        <w:tc>
          <w:tcPr>
            <w:tcW w:type="dxa" w:w="3324"/>
          </w:tcPr>
          <w:p>
            <w:pPr>
              <w:jc w:val="left"/>
            </w:pPr>
            <w:r/>
            <w:r>
              <w:rPr>
                <w:rFonts w:ascii="Calibri" w:hAnsi="Calibri"/>
                <w:sz w:val="18"/>
              </w:rPr>
              <w:t>2026-03-01</w:t>
            </w:r>
          </w:p>
        </w:tc>
        <w:tc>
          <w:tcPr>
            <w:tcW w:type="dxa" w:w="3324"/>
          </w:tcPr>
          <w:p>
            <w:pPr>
              <w:jc w:val="left"/>
            </w:pPr>
            <w:r/>
            <w:r>
              <w:rPr>
                <w:rFonts w:ascii="Calibri" w:hAnsi="Calibri"/>
                <w:sz w:val="18"/>
              </w:rPr>
              <w:t>Initial Strategy Request</w:t>
            </w:r>
          </w:p>
        </w:tc>
      </w:tr>
    </w:tbl>
    <w:p/>
    <w:sectPr w:rsidR="00FC693F" w:rsidRPr="0006063C" w:rsidSect="00034616">
      <w:footerReference w:type="default" r:id="rId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4"/>
      </w:rPr>
      <w:t>SOA Summary Request - Internal Working Paper - Not for Client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