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D1FD9"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 xml:space="preserve">Note: You may have to install </w:t>
      </w:r>
      <w:proofErr w:type="spellStart"/>
      <w:r>
        <w:t>Pycrypto</w:t>
      </w:r>
      <w:proofErr w:type="spellEnd"/>
      <w:r>
        <w:t xml:space="preserve">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proofErr w:type="spellEnd"/>
    </w:p>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xml:space="preserve">), </w:t>
      </w:r>
      <w:r>
        <w:rPr>
          <w:lang w:eastAsia="en-US"/>
        </w:rPr>
        <w:lastRenderedPageBreak/>
        <w:t>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D1FD9"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ED1FD9" w:rsidP="004E620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ED1FD9"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D1FD9"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ED1FD9" w:rsidP="004E620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w:t>
      </w:r>
      <w:bookmarkStart w:id="0" w:name="_GoBack"/>
      <w:bookmarkEnd w:id="0"/>
      <w:r>
        <w:rPr>
          <w:lang w:val="en-US" w:eastAsia="en-US"/>
        </w:rPr>
        <w:t xml:space="preserve">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lastRenderedPageBreak/>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lastRenderedPageBreak/>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ED1FD9"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ED1FD9"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61B0" w14:textId="77777777" w:rsidR="00ED1FD9" w:rsidRDefault="00ED1FD9" w:rsidP="00A84C9E">
      <w:r>
        <w:separator/>
      </w:r>
    </w:p>
  </w:endnote>
  <w:endnote w:type="continuationSeparator" w:id="0">
    <w:p w14:paraId="280476CB" w14:textId="77777777" w:rsidR="00ED1FD9" w:rsidRDefault="00ED1FD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80DE3" w14:textId="77777777" w:rsidR="00ED1FD9" w:rsidRDefault="00ED1FD9" w:rsidP="00A84C9E">
      <w:r>
        <w:separator/>
      </w:r>
    </w:p>
  </w:footnote>
  <w:footnote w:type="continuationSeparator" w:id="0">
    <w:p w14:paraId="738C1A9F" w14:textId="77777777" w:rsidR="00ED1FD9" w:rsidRDefault="00ED1FD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2DC5"/>
    <w:rsid w:val="007C4627"/>
    <w:rsid w:val="007C6CBF"/>
    <w:rsid w:val="007C7A99"/>
    <w:rsid w:val="007C7C34"/>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67FEE-1322-E54D-859F-BA9CD964C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2020-02-08T16:57:00Z</cp:lastPrinted>
  <dcterms:created xsi:type="dcterms:W3CDTF">2020-02-08T16:57:00Z</dcterms:created>
  <dcterms:modified xsi:type="dcterms:W3CDTF">2020-02-08T19:47:00Z</dcterms:modified>
</cp:coreProperties>
</file>