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CD112" w14:textId="77777777" w:rsidR="00257B4D" w:rsidRDefault="00955809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Dataset - vzorky</w:t>
      </w:r>
    </w:p>
    <w:p w14:paraId="124CD113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4" w14:textId="77777777" w:rsidR="00257B4D" w:rsidRDefault="00955809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>Z dát sme odstránili tie vzorky, ktoré nemali informáciu o objeme. RMZ sme zaokrúhli nahor, aby sme každý fragment počítal ako jeden druh. </w:t>
      </w:r>
    </w:p>
    <w:p w14:paraId="124CD115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6" w14:textId="11CE6FEB" w:rsidR="00257B4D" w:rsidRDefault="00955809">
      <w:pPr>
        <w:spacing w:after="0" w:line="240" w:lineRule="auto"/>
        <w:rPr>
          <w:rFonts w:ascii="Calibri Light" w:eastAsia="Times New Roman" w:hAnsi="Calibri Light" w:cs="Calibri Light"/>
          <w:color w:val="000000"/>
          <w:lang w:eastAsia="sk-SK"/>
        </w:rPr>
      </w:pPr>
      <w:r>
        <w:rPr>
          <w:rFonts w:ascii="Calibri Light" w:eastAsia="Times New Roman" w:hAnsi="Calibri Light" w:cs="Calibri Light"/>
          <w:color w:val="000000"/>
          <w:lang w:eastAsia="sk-SK"/>
        </w:rPr>
        <w:t>Na úvod sa pozrime základné štatistické vlastnosti dát</w:t>
      </w:r>
      <w:r>
        <w:rPr>
          <w:rStyle w:val="FootnoteReference"/>
          <w:rFonts w:ascii="Calibri Light" w:eastAsia="Times New Roman" w:hAnsi="Calibri Light" w:cs="Calibri Light"/>
          <w:color w:val="000000"/>
          <w:lang w:eastAsia="sk-SK"/>
        </w:rPr>
        <w:footnoteReference w:id="1"/>
      </w:r>
      <w:r>
        <w:rPr>
          <w:rFonts w:ascii="Calibri Light" w:eastAsia="Times New Roman" w:hAnsi="Calibri Light" w:cs="Calibri Light"/>
          <w:color w:val="000000"/>
          <w:lang w:eastAsia="sk-SK"/>
        </w:rPr>
        <w:t>. Spolu sa odobralo 13757,78 litrov sedimentu v 686 vzorkách,  v ktorých sa identifikovalo 36723 RMZ a XY rastlinných druhov.</w:t>
      </w:r>
    </w:p>
    <w:p w14:paraId="37A84A70" w14:textId="3DE6530B" w:rsidR="0082229A" w:rsidRDefault="0082229A">
      <w:pPr>
        <w:spacing w:after="0" w:line="240" w:lineRule="auto"/>
        <w:rPr>
          <w:rFonts w:ascii="Calibri Light" w:eastAsia="Times New Roman" w:hAnsi="Calibri Light" w:cs="Calibri Light"/>
          <w:color w:val="000000"/>
          <w:lang w:eastAsia="sk-SK"/>
        </w:rPr>
      </w:pPr>
    </w:p>
    <w:p w14:paraId="480C9454" w14:textId="3CCBECA6" w:rsidR="0082229A" w:rsidRDefault="0082229A">
      <w:pPr>
        <w:spacing w:after="0" w:line="240" w:lineRule="auto"/>
      </w:pPr>
      <w:r>
        <w:rPr>
          <w:rFonts w:ascii="Calibri Light" w:eastAsia="Times New Roman" w:hAnsi="Calibri Light" w:cs="Calibri Light"/>
          <w:color w:val="000000"/>
          <w:lang w:eastAsia="sk-SK"/>
        </w:rPr>
        <w:t xml:space="preserve">V ideálnom prípade predchádza samotnú analýzu teoretická príprava a formulácia dôležitých otázok, ktoré následne ovplyvňujú zber dát a vzorkovanie. Z archeobotanického hľadiska je však situácia zložitejšia, resp. opačná. V mnohých prípadoch archeobotanik pracuje s tým, čo už niekto pred ním nejakým spôsobom ovzorkoval a zozbieral a až potom môže skúmať dáta a formulovať otázky. To ho kladie pre náročnú úlohu ako čo najobjektívnešie interpretovať často nereprezentatíve (a subjektívne zozbierané) dáta. S takýmto druhom dát pracujeme aj v tomto článku, kde sme sa v rámci možností pokúsili vyťažiť čo najviac informácii z dostupných dát a začleniť ich do archeologického/archeobotanického kontextu.  </w:t>
      </w:r>
      <w:r w:rsidRPr="0082229A">
        <w:rPr>
          <w:rFonts w:ascii="Calibri Light" w:eastAsia="Times New Roman" w:hAnsi="Calibri Light" w:cs="Calibri Light"/>
          <w:b/>
          <w:bCs/>
          <w:color w:val="000000"/>
          <w:lang w:eastAsia="sk-SK"/>
        </w:rPr>
        <w:t>Tu našu hypotézu</w:t>
      </w:r>
    </w:p>
    <w:p w14:paraId="124CD117" w14:textId="32058788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8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9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1A" w14:textId="7642613C" w:rsidR="00257B4D" w:rsidRDefault="00955809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t>Tabuľka 1 sem</w:t>
      </w:r>
      <w:r w:rsidR="0082229A">
        <w:rPr>
          <w:rFonts w:ascii="Calibri Light" w:eastAsia="Times New Roman" w:hAnsi="Calibri Light" w:cs="Calibri Light"/>
          <w:sz w:val="24"/>
          <w:szCs w:val="24"/>
          <w:lang w:eastAsia="sk-SK"/>
        </w:rPr>
        <w:tab/>
      </w:r>
    </w:p>
    <w:p w14:paraId="124CD11B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20" w14:textId="77777777" w:rsidR="00257B4D" w:rsidRDefault="00955809">
      <w:pPr>
        <w:spacing w:after="0" w:line="240" w:lineRule="auto"/>
      </w:pPr>
      <w:r>
        <w:rPr>
          <w:rFonts w:eastAsia="Times New Roman" w:cs="Calibri"/>
          <w:color w:val="000000"/>
          <w:lang w:eastAsia="sk-SK"/>
        </w:rPr>
        <w:t xml:space="preserve">Vysokú hodnoty šikmosti a špicatosti dokladajú aj údaje v stĺpcoch </w:t>
      </w:r>
      <w:r>
        <w:rPr>
          <w:rFonts w:eastAsia="Times New Roman" w:cs="Calibri"/>
          <w:i/>
          <w:iCs/>
          <w:color w:val="000000"/>
          <w:lang w:eastAsia="sk-SK"/>
        </w:rPr>
        <w:t>skew.2SE</w:t>
      </w:r>
      <w:r>
        <w:rPr>
          <w:rFonts w:eastAsia="Times New Roman" w:cs="Calibri"/>
          <w:color w:val="000000"/>
          <w:lang w:eastAsia="sk-SK"/>
        </w:rPr>
        <w:t xml:space="preserve"> a </w:t>
      </w:r>
      <w:r>
        <w:rPr>
          <w:rFonts w:eastAsia="Times New Roman" w:cs="Calibri"/>
          <w:i/>
          <w:iCs/>
          <w:color w:val="000000"/>
          <w:lang w:eastAsia="sk-SK"/>
        </w:rPr>
        <w:t>kurt.2SE</w:t>
      </w:r>
      <w:r>
        <w:rPr>
          <w:rFonts w:eastAsia="Times New Roman" w:cs="Calibri"/>
          <w:color w:val="000000"/>
          <w:lang w:eastAsia="sk-SK"/>
        </w:rPr>
        <w:t>. Tie predstavujú šikmosť a špicatosť, vydelenú dvoma štandardnými odchýlkami. Ak je ich absolútna hodnota vyššia ako 1, tak sú na hladine významnosti 0,5%  štatisticky významné (Field/Miles/Field 2012, 17). Ako je vidieť, hodnoty sú vysoko nad 1 a teda šikmosť aj špicatosť jasne dominujú. Ďalšími indikátormi sú vysoké rozdiely medzi priemermi a rozptylmi, resp.štandardnými odchýlkami (var a std.dev stĺpce). Predovšetkým v prípade RMZ tento rozdiel ukazuje na tzv. nadmerný rozptyl (</w:t>
      </w:r>
      <w:r>
        <w:rPr>
          <w:rFonts w:eastAsia="Times New Roman" w:cs="Calibri"/>
          <w:i/>
          <w:iCs/>
          <w:color w:val="000000"/>
          <w:lang w:eastAsia="sk-SK"/>
        </w:rPr>
        <w:t>overdispersion</w:t>
      </w:r>
      <w:r>
        <w:rPr>
          <w:rFonts w:eastAsia="Times New Roman" w:cs="Calibri"/>
          <w:color w:val="000000"/>
          <w:lang w:eastAsia="sk-SK"/>
        </w:rPr>
        <w:t xml:space="preserve">) – častý jav najmä v ekologických a </w:t>
      </w:r>
      <w:r>
        <w:rPr>
          <w:rFonts w:cs="Calibri"/>
        </w:rPr>
        <w:t xml:space="preserve">enviromentánlych štúdiách a môže mať rôzne príčiny (O’Hara/Kotze 2010; Zuur et al. 2009, 270-271; Martin et al. 2005; súhrne Hilbe 2011, kap. 4). Takisto hodnota </w:t>
      </w:r>
      <w:r>
        <w:rPr>
          <w:rFonts w:cs="Calibri"/>
          <w:i/>
          <w:iCs/>
        </w:rPr>
        <w:t>Shapiro-Wilk</w:t>
      </w:r>
      <w:r>
        <w:rPr>
          <w:rFonts w:cs="Calibri"/>
          <w:b/>
          <w:bCs/>
          <w:i/>
          <w:iCs/>
        </w:rPr>
        <w:t xml:space="preserve"> </w:t>
      </w:r>
      <w:r>
        <w:rPr>
          <w:rFonts w:cs="Calibri"/>
        </w:rPr>
        <w:t xml:space="preserve">testu (Shapiro-Wilk stĺpec) a jej p-value potvrdzujú „ne-normálnu“ distribúciu pre objem a RMZ. Pre lepšiu si môžeme dáta vizualizovať. </w:t>
      </w:r>
    </w:p>
    <w:p w14:paraId="124CD121" w14:textId="77777777" w:rsidR="00257B4D" w:rsidRDefault="00257B4D">
      <w:pPr>
        <w:spacing w:after="0" w:line="240" w:lineRule="auto"/>
        <w:rPr>
          <w:rFonts w:cs="Calibri"/>
        </w:rPr>
      </w:pPr>
    </w:p>
    <w:p w14:paraId="124CD122" w14:textId="77777777" w:rsidR="00257B4D" w:rsidRDefault="00257B4D">
      <w:pPr>
        <w:spacing w:after="0" w:line="240" w:lineRule="auto"/>
        <w:rPr>
          <w:rFonts w:cs="Calibri"/>
        </w:rPr>
      </w:pPr>
    </w:p>
    <w:p w14:paraId="124CD123" w14:textId="77777777" w:rsidR="00257B4D" w:rsidRDefault="00257B4D">
      <w:pPr>
        <w:spacing w:after="0" w:line="240" w:lineRule="auto"/>
        <w:rPr>
          <w:rFonts w:cs="Calibri"/>
        </w:rPr>
      </w:pPr>
    </w:p>
    <w:p w14:paraId="124CD124" w14:textId="77777777" w:rsidR="00257B4D" w:rsidRDefault="00257B4D">
      <w:pPr>
        <w:spacing w:after="0" w:line="240" w:lineRule="auto"/>
        <w:rPr>
          <w:rFonts w:cs="Calibri"/>
        </w:rPr>
      </w:pPr>
    </w:p>
    <w:p w14:paraId="124CD125" w14:textId="77777777" w:rsidR="00257B4D" w:rsidRDefault="00257B4D">
      <w:pPr>
        <w:spacing w:after="0" w:line="240" w:lineRule="auto"/>
        <w:rPr>
          <w:rFonts w:cs="Calibri"/>
        </w:rPr>
      </w:pPr>
    </w:p>
    <w:p w14:paraId="124CD126" w14:textId="77777777" w:rsidR="00257B4D" w:rsidRDefault="00257B4D">
      <w:pPr>
        <w:spacing w:after="0" w:line="240" w:lineRule="auto"/>
        <w:rPr>
          <w:rFonts w:cs="Calibri"/>
        </w:rPr>
      </w:pPr>
    </w:p>
    <w:p w14:paraId="124CD127" w14:textId="77777777" w:rsidR="00257B4D" w:rsidRDefault="00257B4D">
      <w:pPr>
        <w:spacing w:after="0" w:line="240" w:lineRule="auto"/>
        <w:rPr>
          <w:rFonts w:cs="Calibri"/>
        </w:rPr>
      </w:pPr>
    </w:p>
    <w:p w14:paraId="124CD128" w14:textId="77777777" w:rsidR="00257B4D" w:rsidRDefault="00257B4D">
      <w:pPr>
        <w:spacing w:after="0" w:line="240" w:lineRule="auto"/>
        <w:rPr>
          <w:rFonts w:cs="Calibri"/>
        </w:rPr>
      </w:pPr>
    </w:p>
    <w:p w14:paraId="124CD129" w14:textId="77777777" w:rsidR="00257B4D" w:rsidRDefault="00257B4D">
      <w:pPr>
        <w:spacing w:after="0" w:line="240" w:lineRule="auto"/>
        <w:rPr>
          <w:rFonts w:cs="Calibri"/>
        </w:rPr>
      </w:pPr>
    </w:p>
    <w:p w14:paraId="124CD12A" w14:textId="77777777" w:rsidR="00257B4D" w:rsidRDefault="00257B4D">
      <w:pPr>
        <w:spacing w:after="0" w:line="240" w:lineRule="auto"/>
        <w:rPr>
          <w:rFonts w:cs="Calibri"/>
        </w:rPr>
      </w:pPr>
    </w:p>
    <w:p w14:paraId="124CD12B" w14:textId="77777777" w:rsidR="00257B4D" w:rsidRDefault="00257B4D">
      <w:pPr>
        <w:spacing w:after="0" w:line="240" w:lineRule="auto"/>
        <w:rPr>
          <w:rFonts w:cs="Calibri"/>
        </w:rPr>
      </w:pPr>
    </w:p>
    <w:p w14:paraId="124CD12C" w14:textId="77777777" w:rsidR="00257B4D" w:rsidRDefault="00257B4D">
      <w:pPr>
        <w:spacing w:after="0" w:line="240" w:lineRule="auto"/>
        <w:rPr>
          <w:rFonts w:cs="Calibri"/>
        </w:rPr>
      </w:pPr>
    </w:p>
    <w:p w14:paraId="124CD12D" w14:textId="77777777" w:rsidR="00257B4D" w:rsidRDefault="00257B4D">
      <w:pPr>
        <w:spacing w:after="0" w:line="240" w:lineRule="auto"/>
        <w:rPr>
          <w:rFonts w:cs="Calibri"/>
        </w:rPr>
      </w:pPr>
    </w:p>
    <w:p w14:paraId="124CD12E" w14:textId="77777777" w:rsidR="00257B4D" w:rsidRDefault="00257B4D">
      <w:pPr>
        <w:spacing w:after="0" w:line="240" w:lineRule="auto"/>
        <w:rPr>
          <w:rFonts w:cs="Calibri"/>
        </w:rPr>
      </w:pPr>
    </w:p>
    <w:p w14:paraId="124CD12F" w14:textId="77777777" w:rsidR="00257B4D" w:rsidRDefault="00257B4D">
      <w:pPr>
        <w:spacing w:after="0" w:line="240" w:lineRule="auto"/>
        <w:rPr>
          <w:rFonts w:cs="Calibri"/>
        </w:rPr>
      </w:pPr>
    </w:p>
    <w:p w14:paraId="124CD130" w14:textId="77777777" w:rsidR="00257B4D" w:rsidRDefault="00257B4D">
      <w:pPr>
        <w:spacing w:after="0" w:line="240" w:lineRule="auto"/>
        <w:rPr>
          <w:rFonts w:cs="Calibri"/>
        </w:rPr>
      </w:pPr>
    </w:p>
    <w:p w14:paraId="124CD131" w14:textId="77777777" w:rsidR="00257B4D" w:rsidRDefault="00257B4D">
      <w:pPr>
        <w:spacing w:after="0" w:line="240" w:lineRule="auto"/>
        <w:rPr>
          <w:rFonts w:cs="Calibri"/>
        </w:rPr>
      </w:pPr>
    </w:p>
    <w:p w14:paraId="124CD132" w14:textId="77777777" w:rsidR="00257B4D" w:rsidRDefault="00257B4D">
      <w:pPr>
        <w:spacing w:after="0" w:line="240" w:lineRule="auto"/>
        <w:rPr>
          <w:rFonts w:cs="Calibri"/>
        </w:rPr>
      </w:pPr>
    </w:p>
    <w:p w14:paraId="124CD133" w14:textId="77777777" w:rsidR="00257B4D" w:rsidRDefault="00257B4D">
      <w:pPr>
        <w:spacing w:after="0" w:line="240" w:lineRule="auto"/>
        <w:rPr>
          <w:rFonts w:cs="Calibri"/>
        </w:rPr>
      </w:pPr>
    </w:p>
    <w:p w14:paraId="124CD134" w14:textId="77777777" w:rsidR="00257B4D" w:rsidRDefault="00257B4D">
      <w:pPr>
        <w:spacing w:after="0" w:line="240" w:lineRule="auto"/>
        <w:rPr>
          <w:rFonts w:cs="Calibri"/>
        </w:rPr>
      </w:pPr>
    </w:p>
    <w:p w14:paraId="124CD135" w14:textId="77777777" w:rsidR="00257B4D" w:rsidRDefault="00257B4D">
      <w:pPr>
        <w:spacing w:after="0" w:line="240" w:lineRule="auto"/>
        <w:rPr>
          <w:rFonts w:cs="Calibri"/>
        </w:rPr>
      </w:pPr>
    </w:p>
    <w:p w14:paraId="124CD136" w14:textId="77777777" w:rsidR="00257B4D" w:rsidRDefault="00257B4D">
      <w:pPr>
        <w:spacing w:after="0" w:line="240" w:lineRule="auto"/>
        <w:rPr>
          <w:rFonts w:cs="Calibri"/>
        </w:rPr>
      </w:pPr>
    </w:p>
    <w:p w14:paraId="124CD137" w14:textId="77777777" w:rsidR="00257B4D" w:rsidRDefault="00257B4D">
      <w:pPr>
        <w:spacing w:after="0" w:line="240" w:lineRule="auto"/>
        <w:rPr>
          <w:rFonts w:cs="Calibri"/>
        </w:rPr>
      </w:pPr>
    </w:p>
    <w:p w14:paraId="124CD138" w14:textId="77777777" w:rsidR="00257B4D" w:rsidRDefault="00257B4D">
      <w:pPr>
        <w:spacing w:after="0" w:line="240" w:lineRule="auto"/>
        <w:rPr>
          <w:rFonts w:cs="Calibri"/>
        </w:rPr>
      </w:pPr>
    </w:p>
    <w:p w14:paraId="124CD139" w14:textId="77777777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Vizuálne si môžeme prezrieť </w:t>
      </w:r>
    </w:p>
    <w:p w14:paraId="124CD13A" w14:textId="77777777" w:rsidR="00257B4D" w:rsidRDefault="00257B4D">
      <w:pPr>
        <w:spacing w:after="0" w:line="240" w:lineRule="auto"/>
        <w:rPr>
          <w:rFonts w:cs="Calibri"/>
        </w:rPr>
      </w:pPr>
    </w:p>
    <w:p w14:paraId="124CD13B" w14:textId="77777777" w:rsidR="00257B4D" w:rsidRDefault="00955809">
      <w:pPr>
        <w:keepNext/>
        <w:spacing w:after="0" w:line="240" w:lineRule="auto"/>
      </w:pPr>
      <w:r>
        <w:rPr>
          <w:rFonts w:cs="Calibri"/>
          <w:noProof/>
        </w:rPr>
        <w:drawing>
          <wp:inline distT="0" distB="0" distL="0" distR="0" wp14:anchorId="124CD112" wp14:editId="124CD113">
            <wp:extent cx="5756906" cy="486600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06" cy="48660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4CD13C" w14:textId="77777777" w:rsidR="00257B4D" w:rsidRDefault="00955809">
      <w:pPr>
        <w:pStyle w:val="Caption"/>
      </w:pPr>
      <w:r>
        <w:t xml:space="preserve">Graf 1 </w:t>
      </w:r>
    </w:p>
    <w:p w14:paraId="124CD13D" w14:textId="77777777" w:rsidR="00257B4D" w:rsidRDefault="00257B4D">
      <w:pPr>
        <w:spacing w:after="0" w:line="240" w:lineRule="auto"/>
        <w:rPr>
          <w:rFonts w:cs="Calibri"/>
        </w:rPr>
      </w:pPr>
    </w:p>
    <w:p w14:paraId="124CD13F" w14:textId="2BEF141F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>Graf 1 je vypočítaný zo surových dát</w:t>
      </w:r>
      <w:r w:rsidR="0082229A">
        <w:rPr>
          <w:rFonts w:cs="Calibri"/>
        </w:rPr>
        <w:t xml:space="preserve"> </w:t>
      </w:r>
      <w:r>
        <w:rPr>
          <w:rFonts w:cs="Calibri"/>
        </w:rPr>
        <w:t xml:space="preserve">a je možné na ňom vidieť hneď niekoľko vzájomných vzťahov medzi skúmanými </w:t>
      </w:r>
      <w:r>
        <w:rPr>
          <w:rFonts w:cs="Calibri"/>
          <w:shd w:val="clear" w:color="auto" w:fill="FFFF00"/>
        </w:rPr>
        <w:t>premenný</w:t>
      </w:r>
      <w:r>
        <w:rPr>
          <w:rFonts w:cs="Calibri"/>
        </w:rPr>
        <w:t>mi. Už na prvý pohľad je zrejmé, že normálnu distribúciu by sme tu hľadali márne. Diagonálne sú zobrazené histogrami a ich distribúcia/rozdeleni</w:t>
      </w:r>
      <w:r w:rsidR="0082229A">
        <w:rPr>
          <w:rFonts w:cs="Calibri"/>
        </w:rPr>
        <w:t>e</w:t>
      </w:r>
      <w:r>
        <w:rPr>
          <w:rFonts w:cs="Calibri"/>
        </w:rPr>
        <w:t xml:space="preserve"> (pomocu jádroveho odhadu hustot – kernel density estimation, napr. Baxter 2015, 37-49). Objem má črty bimodálnej distribúcie, zatiaľ čo druhy sú viditeľne zošikmené doľava. Najextrémnejšie sú v tomto prípdade PMR, keďže na jednej strane obsahujú veľa nulových hodnôt, na druhej strane majú viacero extrémne vysokých hodnôt (pozri tab. 1), ktoré doslova natiahli osu x a teda akoby „stlačili“ hodnoty do jedného koša (bin)</w:t>
      </w:r>
      <w:r>
        <w:rPr>
          <w:rStyle w:val="FootnoteReference"/>
          <w:rFonts w:cs="Calibri"/>
        </w:rPr>
        <w:footnoteReference w:id="2"/>
      </w:r>
      <w:r>
        <w:rPr>
          <w:rFonts w:cs="Calibri"/>
        </w:rPr>
        <w:t xml:space="preserve">. V ľavej dolnej časti sú zobrazené </w:t>
      </w:r>
      <w:r>
        <w:rPr>
          <w:rFonts w:cs="Calibri"/>
          <w:shd w:val="clear" w:color="auto" w:fill="FFFF00"/>
        </w:rPr>
        <w:t>scatterploty</w:t>
      </w:r>
      <w:r>
        <w:rPr>
          <w:rFonts w:cs="Calibri"/>
        </w:rPr>
        <w:t xml:space="preserve"> spolu s trendovou spojnicou (LOESS krivk</w:t>
      </w:r>
      <w:r w:rsidR="0082229A">
        <w:rPr>
          <w:rFonts w:cs="Calibri"/>
        </w:rPr>
        <w:t>a</w:t>
      </w:r>
      <w:r>
        <w:rPr>
          <w:rFonts w:cs="Calibri"/>
        </w:rPr>
        <w:t xml:space="preserve">, k tomu napr. Zuur et al. 2009, 39-42). Medzi objemom a RMZ a objemom a druhmi nie je pozorovaná takmer žiadna závislosť. Naproti tomu medzi PMR a druhmi sa javí vysoká závislosť, ale </w:t>
      </w:r>
      <w:r w:rsidR="0082229A">
        <w:rPr>
          <w:rFonts w:cs="Calibri"/>
        </w:rPr>
        <w:lastRenderedPageBreak/>
        <w:t>výsledok</w:t>
      </w:r>
      <w:r>
        <w:rPr>
          <w:rFonts w:cs="Calibri"/>
        </w:rPr>
        <w:t xml:space="preserve"> </w:t>
      </w:r>
      <w:r w:rsidR="0082229A">
        <w:rPr>
          <w:rFonts w:cs="Calibri"/>
        </w:rPr>
        <w:t>podstatne</w:t>
      </w:r>
      <w:r>
        <w:rPr>
          <w:rFonts w:cs="Calibri"/>
        </w:rPr>
        <w:t xml:space="preserve"> skresľujú odľahlé hodnoty. V hornej časti sú hodnoty miery asociácie vypočítané pomocou Spearmanovho korelačného koeficientu</w:t>
      </w:r>
      <w:r>
        <w:rPr>
          <w:rStyle w:val="FootnoteReference"/>
          <w:rFonts w:cs="Calibri"/>
        </w:rPr>
        <w:footnoteReference w:id="3"/>
      </w:r>
      <w:r>
        <w:rPr>
          <w:rFonts w:cs="Calibri"/>
        </w:rPr>
        <w:t>. Vysoká pozitívna korelácia je medzi PMR a druhmi, čo sa zdá byť na prvý pohľad logické, a teda, keď stúpa počet extraktovných RMZ, stúpa aj počet identifikovaných druhov. Samozrejme toto tvrdenie nie je kauzálne podmienené. Čo je však zaujímav</w:t>
      </w:r>
      <w:r w:rsidR="0082229A">
        <w:rPr>
          <w:rFonts w:cs="Calibri"/>
        </w:rPr>
        <w:t>é</w:t>
      </w:r>
      <w:r>
        <w:rPr>
          <w:rFonts w:cs="Calibri"/>
        </w:rPr>
        <w:t xml:space="preserve"> je v podstate nulová korelácia medzi objemom a RMZ/druhmi, </w:t>
      </w:r>
      <w:r w:rsidR="0082229A">
        <w:rPr>
          <w:rFonts w:cs="Calibri"/>
        </w:rPr>
        <w:t>čo</w:t>
      </w:r>
      <w:r>
        <w:rPr>
          <w:rFonts w:cs="Calibri"/>
        </w:rPr>
        <w:t xml:space="preserve"> korešponduje aj s výsledkami v scatterplotoch. To by naznačovalo, že množstvo odobraného sedimentu </w:t>
      </w:r>
      <w:r w:rsidR="0082229A">
        <w:rPr>
          <w:rFonts w:cs="Calibri"/>
        </w:rPr>
        <w:t>nezávisí s počtom</w:t>
      </w:r>
      <w:r>
        <w:rPr>
          <w:rFonts w:cs="Calibri"/>
        </w:rPr>
        <w:t xml:space="preserve"> nájdených RMZ/druhov. Toto tvrdenie </w:t>
      </w:r>
      <w:r w:rsidR="0082229A">
        <w:rPr>
          <w:rFonts w:cs="Calibri"/>
        </w:rPr>
        <w:t>sa javí na prvý pohľad ako</w:t>
      </w:r>
      <w:r>
        <w:rPr>
          <w:rFonts w:cs="Calibri"/>
        </w:rPr>
        <w:t xml:space="preserve"> kontraintuitívne</w:t>
      </w:r>
      <w:r w:rsidR="0082229A">
        <w:rPr>
          <w:rFonts w:cs="Calibri"/>
        </w:rPr>
        <w:t xml:space="preserve"> a preskúmame ho neskôr. </w:t>
      </w:r>
    </w:p>
    <w:p w14:paraId="124CD140" w14:textId="77777777" w:rsidR="00257B4D" w:rsidRDefault="00257B4D">
      <w:pPr>
        <w:spacing w:after="0" w:line="240" w:lineRule="auto"/>
        <w:rPr>
          <w:rFonts w:cs="Calibri"/>
        </w:rPr>
      </w:pPr>
    </w:p>
    <w:p w14:paraId="124CD141" w14:textId="4938FAF9" w:rsidR="00257B4D" w:rsidRDefault="00955809">
      <w:pPr>
        <w:spacing w:after="0" w:line="240" w:lineRule="auto"/>
      </w:pPr>
      <w:r>
        <w:rPr>
          <w:rFonts w:cs="Calibri"/>
        </w:rPr>
        <w:t xml:space="preserve">V nasledujúcich riadkoch sa podrobnejšie pozrieme na vyššie popísane javy, nájsť ich príčiny </w:t>
      </w:r>
      <w:r>
        <w:rPr>
          <w:rFonts w:cs="Calibri"/>
          <w:shd w:val="clear" w:color="auto" w:fill="FFFF00"/>
        </w:rPr>
        <w:t xml:space="preserve">a pokúsime sa </w:t>
      </w:r>
      <w:r w:rsidR="007A7343">
        <w:rPr>
          <w:rFonts w:cs="Calibri"/>
          <w:shd w:val="clear" w:color="auto" w:fill="FFFF00"/>
        </w:rPr>
        <w:t xml:space="preserve">pomocou štatistický modelouv </w:t>
      </w:r>
      <w:r>
        <w:rPr>
          <w:rFonts w:cs="Calibri"/>
          <w:shd w:val="clear" w:color="auto" w:fill="FFFF00"/>
        </w:rPr>
        <w:t xml:space="preserve">zistiť, nakoľko sú tieto javy </w:t>
      </w:r>
      <w:r w:rsidR="009B4A57">
        <w:rPr>
          <w:rFonts w:cs="Calibri"/>
          <w:shd w:val="clear" w:color="auto" w:fill="FFFF00"/>
        </w:rPr>
        <w:t>spracovateľné</w:t>
      </w:r>
      <w:r w:rsidR="009B4A57">
        <w:rPr>
          <w:rFonts w:cs="Calibri"/>
          <w:shd w:val="clear" w:color="auto" w:fill="FFFF00"/>
        </w:rPr>
        <w:t xml:space="preserve"> a </w:t>
      </w:r>
      <w:r>
        <w:rPr>
          <w:rFonts w:cs="Calibri"/>
          <w:shd w:val="clear" w:color="auto" w:fill="FFFF00"/>
        </w:rPr>
        <w:t>reprezentatívne.</w:t>
      </w:r>
      <w:r>
        <w:rPr>
          <w:rFonts w:cs="Calibri"/>
        </w:rPr>
        <w:t xml:space="preserve">  </w:t>
      </w:r>
    </w:p>
    <w:p w14:paraId="124CD142" w14:textId="77777777" w:rsidR="00257B4D" w:rsidRDefault="00257B4D">
      <w:pPr>
        <w:spacing w:after="0" w:line="240" w:lineRule="auto"/>
        <w:rPr>
          <w:rFonts w:cs="Calibri"/>
        </w:rPr>
      </w:pPr>
    </w:p>
    <w:p w14:paraId="03A11BF4" w14:textId="3EFAD357" w:rsidR="0082229A" w:rsidRDefault="009B4A57" w:rsidP="0082229A">
      <w:pPr>
        <w:shd w:val="clear" w:color="auto" w:fill="FFFFFF" w:themeFill="background1"/>
        <w:spacing w:after="0" w:line="240" w:lineRule="auto"/>
        <w:rPr>
          <w:rFonts w:cs="Calibri"/>
        </w:rPr>
      </w:pPr>
      <w:r w:rsidRPr="009B4A57">
        <w:rPr>
          <w:rFonts w:cs="Calibri"/>
        </w:rPr>
        <w:t xml:space="preserve">V ďalšom kroku </w:t>
      </w:r>
      <w:r w:rsidR="0082229A" w:rsidRPr="009B4A57">
        <w:rPr>
          <w:rFonts w:cs="Calibri"/>
        </w:rPr>
        <w:t>bude potrebné nájsť matematický model (formu), ktorý by najlepšie reprezentoval spracovávané dáta, aby mohli byť ďalej štatisticky vyhodnotené (</w:t>
      </w:r>
      <w:r w:rsidR="0082229A" w:rsidRPr="009B4A57">
        <w:rPr>
          <w:rFonts w:cs="Calibri"/>
          <w:shd w:val="clear" w:color="auto" w:fill="FFFF00"/>
        </w:rPr>
        <w:t>Orton 2000, 9-10;</w:t>
      </w:r>
      <w:r w:rsidR="0082229A" w:rsidRPr="009B4A57">
        <w:rPr>
          <w:rFonts w:cs="Calibri"/>
        </w:rPr>
        <w:t xml:space="preserve"> </w:t>
      </w:r>
      <w:r w:rsidR="0082229A" w:rsidRPr="009B4A57">
        <w:rPr>
          <w:rFonts w:cs="Calibri"/>
          <w:shd w:val="clear" w:color="auto" w:fill="FFFF00"/>
        </w:rPr>
        <w:t>Orton 1980, 20-21)</w:t>
      </w:r>
      <w:r w:rsidR="0082229A" w:rsidRPr="009B4A57">
        <w:rPr>
          <w:rFonts w:cs="Calibri"/>
        </w:rPr>
        <w:t xml:space="preserve">. Keďže skúmané premenné (response variables) </w:t>
      </w:r>
      <w:r w:rsidRPr="009B4A57">
        <w:rPr>
          <w:rFonts w:cs="Calibri"/>
        </w:rPr>
        <w:t>nespĺňali predpoklady</w:t>
      </w:r>
      <w:r w:rsidR="0082229A" w:rsidRPr="009B4A57">
        <w:rPr>
          <w:rFonts w:cs="Calibri"/>
        </w:rPr>
        <w:t xml:space="preserve"> normálnej distribúci</w:t>
      </w:r>
      <w:r w:rsidRPr="009B4A57">
        <w:rPr>
          <w:rFonts w:cs="Calibri"/>
        </w:rPr>
        <w:t xml:space="preserve">e, </w:t>
      </w:r>
      <w:r w:rsidR="0082229A" w:rsidRPr="009B4A57">
        <w:rPr>
          <w:rFonts w:cs="Calibri"/>
        </w:rPr>
        <w:t>využili sme tzv. negatívne-binomálne rozdelenie (</w:t>
      </w:r>
      <w:r w:rsidR="0082229A" w:rsidRPr="009B4A57">
        <w:rPr>
          <w:rFonts w:cs="Calibri"/>
          <w:i/>
        </w:rPr>
        <w:t>negative binomial distribution</w:t>
      </w:r>
      <w:r w:rsidR="0082229A" w:rsidRPr="009B4A57">
        <w:rPr>
          <w:rFonts w:cs="Calibri"/>
        </w:rPr>
        <w:t>), ktoré sa najviac približovalo naším dátam.  Ide vlastne o rozšírenie Poissonovho rozdelenia a obsahuje extra parameter pre nadmerný rozptyl (</w:t>
      </w:r>
      <w:r w:rsidR="0082229A" w:rsidRPr="009B4A57">
        <w:rPr>
          <w:rFonts w:cs="Calibri"/>
          <w:shd w:val="clear" w:color="auto" w:fill="FFFF00"/>
        </w:rPr>
        <w:t xml:space="preserve">Hilbe 2011, 253) a často sa </w:t>
      </w:r>
      <w:r w:rsidRPr="009B4A57">
        <w:rPr>
          <w:rFonts w:cs="Calibri"/>
          <w:shd w:val="clear" w:color="auto" w:fill="FFFF00"/>
        </w:rPr>
        <w:t>p</w:t>
      </w:r>
      <w:r w:rsidR="0082229A" w:rsidRPr="009B4A57">
        <w:rPr>
          <w:rFonts w:cs="Calibri"/>
          <w:shd w:val="clear" w:color="auto" w:fill="FFFF00"/>
        </w:rPr>
        <w:t xml:space="preserve">ouživa </w:t>
      </w:r>
      <w:r w:rsidR="0082229A" w:rsidRPr="009B4A57">
        <w:rPr>
          <w:rFonts w:cs="Calibri"/>
        </w:rPr>
        <w:t xml:space="preserve"> ekologických  enviromentálnych štúdiách (napr. </w:t>
      </w:r>
      <w:r w:rsidR="0082229A" w:rsidRPr="009B4A57">
        <w:rPr>
          <w:rFonts w:cs="Calibri"/>
          <w:shd w:val="clear" w:color="auto" w:fill="FFFF00"/>
        </w:rPr>
        <w:t>Zuur et al. 2009, 225-230</w:t>
      </w:r>
      <w:r w:rsidR="0082229A" w:rsidRPr="009B4A57">
        <w:rPr>
          <w:rFonts w:cs="Calibri"/>
        </w:rPr>
        <w:t>).</w:t>
      </w:r>
      <w:r w:rsidR="0082229A">
        <w:rPr>
          <w:rFonts w:cs="Calibri"/>
        </w:rPr>
        <w:t xml:space="preserve">  </w:t>
      </w:r>
    </w:p>
    <w:p w14:paraId="6A0DEA5E" w14:textId="32E5040C" w:rsidR="007A7343" w:rsidRDefault="007A7343" w:rsidP="0082229A">
      <w:pPr>
        <w:shd w:val="clear" w:color="auto" w:fill="FFFFFF" w:themeFill="background1"/>
        <w:spacing w:after="0" w:line="240" w:lineRule="auto"/>
        <w:rPr>
          <w:rFonts w:cs="Calibri"/>
        </w:rPr>
      </w:pPr>
    </w:p>
    <w:p w14:paraId="1F4B052C" w14:textId="64E91615" w:rsidR="007A7343" w:rsidRDefault="007A7343" w:rsidP="007A7343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cstheme="minorHAnsi"/>
        </w:rPr>
        <w:t>Pri modelovaní sme použili tzv. Generalized additive models (GAM)</w:t>
      </w:r>
      <w:r>
        <w:rPr>
          <w:rStyle w:val="FootnoteReference"/>
          <w:rFonts w:cstheme="minorHAnsi"/>
        </w:rPr>
        <w:footnoteReference w:id="4"/>
      </w:r>
      <w:r>
        <w:rPr>
          <w:rFonts w:cstheme="minorHAnsi"/>
        </w:rPr>
        <w:t>, ktoré sú vlastne rošírené Generalized linear models (GLM), avšak nepredpokladajú normálnu distribúciu a</w:t>
      </w:r>
      <w:r w:rsidR="009B4A57">
        <w:rPr>
          <w:rFonts w:cstheme="minorHAnsi"/>
        </w:rPr>
        <w:t>ni</w:t>
      </w:r>
      <w:r>
        <w:rPr>
          <w:rFonts w:cstheme="minorHAnsi"/>
        </w:rPr>
        <w:t xml:space="preserve"> linearitu, resp. parametrickú formu dát (Crawley 2007, 611). Hlavný rozdiel oproti lineárnym modelom je, že GAM namiesto </w:t>
      </w:r>
      <w:r w:rsidRPr="0082229A">
        <w:rPr>
          <w:rFonts w:ascii="RMTMI" w:hAnsi="RMTMI"/>
          <w:i/>
          <w:iCs/>
          <w:color w:val="131313"/>
          <w:sz w:val="20"/>
          <w:szCs w:val="20"/>
        </w:rPr>
        <w:t>β</w:t>
      </w:r>
      <w:r w:rsidRPr="0082229A">
        <w:t xml:space="preserve"> </w:t>
      </w:r>
      <w:r>
        <w:rPr>
          <w:rFonts w:cstheme="minorHAnsi"/>
        </w:rPr>
        <w:t xml:space="preserve">parametrov využívajú tzv. neparametrické smooth funkcie </w:t>
      </w:r>
      <w:r w:rsidR="009B4A57">
        <w:rPr>
          <w:rFonts w:cstheme="minorHAnsi"/>
        </w:rPr>
        <w:t xml:space="preserve">v zjednodušenej forme </w:t>
      </w:r>
      <w:r>
        <w:rPr>
          <w:rStyle w:val="fontstyle01"/>
        </w:rPr>
        <w:t>Y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21"/>
        </w:rPr>
        <w:t xml:space="preserve">= </w:t>
      </w:r>
      <w:r>
        <w:rPr>
          <w:rStyle w:val="fontstyle31"/>
        </w:rPr>
        <w:t xml:space="preserve">α </w:t>
      </w:r>
      <w:r>
        <w:rPr>
          <w:rStyle w:val="fontstyle21"/>
        </w:rPr>
        <w:t xml:space="preserve">+ </w:t>
      </w:r>
      <w:r>
        <w:rPr>
          <w:rStyle w:val="fontstyle01"/>
        </w:rPr>
        <w:t xml:space="preserve">f </w:t>
      </w:r>
      <w:r>
        <w:rPr>
          <w:rStyle w:val="fontstyle41"/>
        </w:rPr>
        <w:t>(</w:t>
      </w:r>
      <w:r>
        <w:rPr>
          <w:rStyle w:val="fontstyle01"/>
        </w:rPr>
        <w:t>X</w:t>
      </w:r>
      <w:r>
        <w:rPr>
          <w:rStyle w:val="fontstyle01"/>
          <w:sz w:val="14"/>
          <w:szCs w:val="14"/>
        </w:rPr>
        <w:t>i</w:t>
      </w:r>
      <w:r>
        <w:rPr>
          <w:rStyle w:val="fontstyle41"/>
        </w:rPr>
        <w:t xml:space="preserve">) </w:t>
      </w:r>
      <w:r>
        <w:rPr>
          <w:rStyle w:val="fontstyle21"/>
        </w:rPr>
        <w:t xml:space="preserve">+ </w:t>
      </w:r>
      <w:r>
        <w:rPr>
          <w:rStyle w:val="fontstyle31"/>
        </w:rPr>
        <w:t>ε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41"/>
        </w:rPr>
        <w:t xml:space="preserve">kde  </w:t>
      </w:r>
      <w:r>
        <w:rPr>
          <w:rStyle w:val="fontstyle31"/>
        </w:rPr>
        <w:t>ε</w:t>
      </w:r>
      <w:r>
        <w:rPr>
          <w:rStyle w:val="fontstyle01"/>
          <w:sz w:val="14"/>
          <w:szCs w:val="14"/>
        </w:rPr>
        <w:t xml:space="preserve">i </w:t>
      </w:r>
      <w:r>
        <w:rPr>
          <w:rStyle w:val="fontstyle21"/>
          <w:rFonts w:ascii="Cambria Math" w:hAnsi="Cambria Math" w:cs="Cambria Math"/>
        </w:rPr>
        <w:t>∼</w:t>
      </w:r>
      <w:r>
        <w:rPr>
          <w:rStyle w:val="fontstyle21"/>
        </w:rPr>
        <w:t xml:space="preserve"> </w:t>
      </w:r>
      <w:r>
        <w:rPr>
          <w:rStyle w:val="fontstyle01"/>
        </w:rPr>
        <w:t>N</w:t>
      </w:r>
      <w:r>
        <w:rPr>
          <w:rStyle w:val="fontstyle41"/>
        </w:rPr>
        <w:t>(0</w:t>
      </w:r>
      <w:r>
        <w:rPr>
          <w:rStyle w:val="fontstyle31"/>
        </w:rPr>
        <w:t xml:space="preserve">,σ </w:t>
      </w:r>
      <w:r>
        <w:rPr>
          <w:rStyle w:val="fontstyle41"/>
          <w:sz w:val="14"/>
          <w:szCs w:val="14"/>
        </w:rPr>
        <w:t>2</w:t>
      </w:r>
      <w:r>
        <w:rPr>
          <w:rStyle w:val="fontstyle41"/>
        </w:rPr>
        <w:t>)</w:t>
      </w:r>
      <w:r>
        <w:t xml:space="preserve">, pričom </w:t>
      </w:r>
      <w:r>
        <w:rPr>
          <w:rStyle w:val="fontstyle01"/>
        </w:rPr>
        <w:t>Y</w:t>
      </w:r>
      <w:r>
        <w:rPr>
          <w:rStyle w:val="fontstyle01"/>
          <w:sz w:val="14"/>
          <w:szCs w:val="14"/>
        </w:rPr>
        <w:t xml:space="preserve">i  </w:t>
      </w:r>
      <w:r w:rsidRPr="009B4A57">
        <w:rPr>
          <w:rStyle w:val="fontstyle01"/>
          <w:i w:val="0"/>
          <w:iCs w:val="0"/>
          <w:color w:val="FF0000"/>
          <w:sz w:val="22"/>
          <w:szCs w:val="22"/>
        </w:rPr>
        <w:t xml:space="preserve">je závislá (response) premenná a </w:t>
      </w:r>
      <w:r w:rsidRPr="009B4A57">
        <w:rPr>
          <w:rStyle w:val="fontstyle01"/>
          <w:color w:val="FF0000"/>
        </w:rPr>
        <w:t xml:space="preserve">f </w:t>
      </w:r>
      <w:r w:rsidRPr="009B4A57">
        <w:rPr>
          <w:rStyle w:val="fontstyle41"/>
          <w:color w:val="FF0000"/>
        </w:rPr>
        <w:t>(</w:t>
      </w:r>
      <w:r w:rsidRPr="009B4A57">
        <w:rPr>
          <w:rStyle w:val="fontstyle01"/>
          <w:color w:val="FF0000"/>
        </w:rPr>
        <w:t>X</w:t>
      </w:r>
      <w:r w:rsidRPr="009B4A57">
        <w:rPr>
          <w:rStyle w:val="fontstyle01"/>
          <w:color w:val="FF0000"/>
          <w:sz w:val="14"/>
          <w:szCs w:val="14"/>
        </w:rPr>
        <w:t>i</w:t>
      </w:r>
      <w:r w:rsidRPr="009B4A57">
        <w:rPr>
          <w:rStyle w:val="fontstyle41"/>
          <w:color w:val="FF0000"/>
        </w:rPr>
        <w:t xml:space="preserve">) </w:t>
      </w:r>
      <w:r w:rsidRPr="009B4A57">
        <w:rPr>
          <w:rStyle w:val="fontstyle41"/>
          <w:color w:val="FF0000"/>
          <w:sz w:val="22"/>
          <w:szCs w:val="22"/>
        </w:rPr>
        <w:t>je smooth funkcia (krivka) pre</w:t>
      </w:r>
      <w:r w:rsidR="009B4A57" w:rsidRPr="009B4A57">
        <w:rPr>
          <w:rStyle w:val="fontstyle41"/>
          <w:color w:val="FF0000"/>
          <w:sz w:val="22"/>
          <w:szCs w:val="22"/>
        </w:rPr>
        <w:t xml:space="preserve"> </w:t>
      </w:r>
      <w:r w:rsidRPr="009B4A57">
        <w:rPr>
          <w:rStyle w:val="fontstyle41"/>
          <w:color w:val="FF0000"/>
          <w:sz w:val="22"/>
          <w:szCs w:val="22"/>
        </w:rPr>
        <w:t>vysvetľujúcu premmenú (explanatory)</w:t>
      </w:r>
      <w:r w:rsidR="009B4A57">
        <w:rPr>
          <w:rStyle w:val="fontstyle41"/>
          <w:color w:val="FF0000"/>
          <w:sz w:val="22"/>
          <w:szCs w:val="22"/>
        </w:rPr>
        <w:t xml:space="preserve"> – lepšie napísať</w:t>
      </w:r>
      <w:r w:rsidRPr="0082229A">
        <w:rPr>
          <w:rStyle w:val="fontstyle41"/>
          <w:sz w:val="22"/>
          <w:szCs w:val="22"/>
        </w:rPr>
        <w:t>.</w:t>
      </w:r>
      <w:r>
        <w:t xml:space="preserve"> </w:t>
      </w:r>
      <w:r>
        <w:rPr>
          <w:rFonts w:cstheme="minorHAnsi"/>
        </w:rPr>
        <w:t>Čitateľa odkazujeme najmä na práce od S. Wood (</w:t>
      </w:r>
      <w:r w:rsidRPr="0082229A">
        <w:rPr>
          <w:rFonts w:cstheme="minorHAnsi"/>
          <w:highlight w:val="yellow"/>
        </w:rPr>
        <w:t>201</w:t>
      </w:r>
      <w:r>
        <w:rPr>
          <w:rFonts w:cstheme="minorHAnsi"/>
        </w:rPr>
        <w:t>7),  Alain. F. Zuur et. al. (</w:t>
      </w:r>
      <w:r w:rsidRPr="0082229A">
        <w:rPr>
          <w:rFonts w:cstheme="minorHAnsi"/>
          <w:highlight w:val="yellow"/>
        </w:rPr>
        <w:t>200?</w:t>
      </w:r>
      <w:r>
        <w:rPr>
          <w:rFonts w:cstheme="minorHAnsi"/>
        </w:rPr>
        <w:t>), M.J Crawley (2007) a takisto množstvo užitočných informácii je možné dohľadať na internete (</w:t>
      </w:r>
      <w:hyperlink r:id="rId8" w:history="1">
        <w:r w:rsidRPr="0082229A">
          <w:rPr>
            <w:rStyle w:val="Hyperlink"/>
            <w:rFonts w:cstheme="minorHAnsi"/>
            <w:highlight w:val="yellow"/>
          </w:rPr>
          <w:t>https://rdrr.io/cran/mgcv/</w:t>
        </w:r>
      </w:hyperlink>
      <w:r w:rsidRPr="0082229A">
        <w:rPr>
          <w:rFonts w:cstheme="minorHAnsi"/>
          <w:highlight w:val="yellow"/>
        </w:rPr>
        <w:t xml:space="preserve"> - toto pd čiaru)</w:t>
      </w:r>
    </w:p>
    <w:p w14:paraId="16D9096B" w14:textId="77777777" w:rsidR="007A7343" w:rsidRDefault="007A7343" w:rsidP="0082229A">
      <w:pPr>
        <w:shd w:val="clear" w:color="auto" w:fill="FFFFFF" w:themeFill="background1"/>
        <w:spacing w:after="0" w:line="240" w:lineRule="auto"/>
        <w:rPr>
          <w:rFonts w:cs="Calibri"/>
        </w:rPr>
      </w:pPr>
    </w:p>
    <w:p w14:paraId="0DDDCE43" w14:textId="5D010512" w:rsidR="0082229A" w:rsidRDefault="0082229A">
      <w:pPr>
        <w:spacing w:after="0" w:line="240" w:lineRule="auto"/>
      </w:pPr>
      <w:r>
        <w:t>V tejto časti predstavíme niekoľko modelov a stručne ich zanalyzujeme. Do analýzy zahrnieme aj modely, ktoré síce nie sú veľmí štatistický významé</w:t>
      </w:r>
      <w:r w:rsidR="009B4A57">
        <w:t xml:space="preserve"> </w:t>
      </w:r>
      <w:r>
        <w:t xml:space="preserve">(ak vôbec), ale dobre ilustrujú spravovávaný súbor a postup vyhodnocovania. Chceme upozorniť čitateľa, že sa tu obmedzíme predovšetkým na štatistický popis, ktorý bude až neskôr doplnený archeologickú/archeobotanickú interpretáciu. </w:t>
      </w:r>
      <w:r w:rsidRPr="0082229A">
        <w:rPr>
          <w:highlight w:val="yellow"/>
        </w:rPr>
        <w:t>Tak isto netreba zabúdať na kvalitu dát (pozri vyššie)</w:t>
      </w:r>
      <w:r>
        <w:t>. Pred štatistickým modelovaním sme odstránili 3 vzorky, ktoré okrem toho, že predstavovali najextrémnejšie hodnoty, pochádzali z hromadných nálezov.</w:t>
      </w:r>
    </w:p>
    <w:p w14:paraId="5C6B3979" w14:textId="77777777" w:rsidR="0082229A" w:rsidRDefault="0082229A">
      <w:pPr>
        <w:spacing w:after="0" w:line="240" w:lineRule="auto"/>
      </w:pPr>
    </w:p>
    <w:p w14:paraId="124CD146" w14:textId="0027AAF7" w:rsidR="00257B4D" w:rsidRDefault="00941906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CB0CA2" wp14:editId="0CD674DD">
            <wp:simplePos x="0" y="0"/>
            <wp:positionH relativeFrom="margin">
              <wp:posOffset>-635</wp:posOffset>
            </wp:positionH>
            <wp:positionV relativeFrom="paragraph">
              <wp:posOffset>166370</wp:posOffset>
            </wp:positionV>
            <wp:extent cx="5716270" cy="38093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29A">
        <w:rPr>
          <w:rFonts w:cs="Calibri"/>
        </w:rPr>
        <w:t>Model 1</w:t>
      </w:r>
    </w:p>
    <w:p w14:paraId="3B5C7173" w14:textId="43CBE547" w:rsidR="0082229A" w:rsidRDefault="0082229A">
      <w:pPr>
        <w:spacing w:after="0" w:line="240" w:lineRule="auto"/>
        <w:rPr>
          <w:rFonts w:cs="Calibri"/>
        </w:rPr>
      </w:pPr>
    </w:p>
    <w:p w14:paraId="69170959" w14:textId="4A58B825" w:rsidR="0082229A" w:rsidRDefault="0082229A">
      <w:pPr>
        <w:spacing w:after="0" w:line="240" w:lineRule="auto"/>
        <w:rPr>
          <w:rFonts w:cs="Calibri"/>
        </w:rPr>
      </w:pPr>
      <w:r>
        <w:rPr>
          <w:rFonts w:cs="Calibri"/>
        </w:rPr>
        <w:t>Model 1 zobrazuje vzťah (efekt) medzi objemom a počtom rastlinných druhom z hľadiska celého súboru. Podľa grafu (</w:t>
      </w:r>
      <w:r w:rsidRPr="0082229A">
        <w:rPr>
          <w:rFonts w:cs="Calibri"/>
          <w:highlight w:val="yellow"/>
        </w:rPr>
        <w:t>graf</w:t>
      </w:r>
      <w:r>
        <w:rPr>
          <w:rFonts w:cs="Calibri"/>
        </w:rPr>
        <w:t xml:space="preserve">) a údajov v tabuľke (tab, m1) nie je </w:t>
      </w:r>
      <w:r w:rsidR="000E73DB">
        <w:rPr>
          <w:rFonts w:cs="Calibri"/>
        </w:rPr>
        <w:t xml:space="preserve">síce </w:t>
      </w:r>
      <w:r>
        <w:rPr>
          <w:rFonts w:cs="Calibri"/>
        </w:rPr>
        <w:t xml:space="preserve">štatisticky signifikantný, každopádne vykazuje mierne znaky nelinearity a naznačuje, že objem má určitý vplyv na množstvo nájdených rastlinných druhov. Predovšetkým v prípade vzoriek o objeme okolo 10 a 20 litrov. Smerom k väčším vzorkám sa </w:t>
      </w:r>
      <w:r w:rsidR="00180BA9">
        <w:rPr>
          <w:rFonts w:cs="Calibri"/>
        </w:rPr>
        <w:t xml:space="preserve">však </w:t>
      </w:r>
      <w:r>
        <w:rPr>
          <w:rFonts w:cs="Calibri"/>
        </w:rPr>
        <w:t>efekt stráca a navyše výrazne stúpa miera neurčitosti (uncertainity)</w:t>
      </w:r>
      <w:r w:rsidR="00D17C73">
        <w:rPr>
          <w:rFonts w:cs="Calibri"/>
        </w:rPr>
        <w:t>, ktorá naznačuje, že odhad funkcie už nie je pri väčších vzorkách spoľahlivý</w:t>
      </w:r>
      <w:r>
        <w:rPr>
          <w:rFonts w:cs="Calibri"/>
        </w:rPr>
        <w:t xml:space="preserve"> (</w:t>
      </w:r>
      <w:r w:rsidRPr="0082229A">
        <w:rPr>
          <w:rFonts w:cs="Calibri"/>
          <w:highlight w:val="yellow"/>
        </w:rPr>
        <w:t>modrá zóna – napísať do popisku grafu, že ide o 95% inervaly spoľahlivost – confidence interval</w:t>
      </w:r>
      <w:r>
        <w:rPr>
          <w:rFonts w:cs="Calibri"/>
        </w:rPr>
        <w:t xml:space="preserve">). Samotný </w:t>
      </w:r>
      <w:r w:rsidR="007A7343">
        <w:rPr>
          <w:rFonts w:cs="Calibri"/>
        </w:rPr>
        <w:t>model</w:t>
      </w:r>
      <w:r>
        <w:rPr>
          <w:rFonts w:cs="Calibri"/>
        </w:rPr>
        <w:t xml:space="preserve"> pritom vysvetľuje len 2,2% variab</w:t>
      </w:r>
      <w:r w:rsidR="007A7343">
        <w:rPr>
          <w:rFonts w:cs="Calibri"/>
        </w:rPr>
        <w:t>i</w:t>
      </w:r>
      <w:r>
        <w:rPr>
          <w:rFonts w:cs="Calibri"/>
        </w:rPr>
        <w:t>lity</w:t>
      </w:r>
      <w:r w:rsidR="007A7343">
        <w:rPr>
          <w:rFonts w:cs="Calibri"/>
        </w:rPr>
        <w:t xml:space="preserve"> </w:t>
      </w:r>
      <w:r w:rsidR="00FE6FC4">
        <w:rPr>
          <w:rFonts w:cs="Calibri"/>
        </w:rPr>
        <w:t>a</w:t>
      </w:r>
      <w:r w:rsidR="009B4A57">
        <w:rPr>
          <w:rFonts w:cs="Calibri"/>
        </w:rPr>
        <w:t> </w:t>
      </w:r>
      <w:r w:rsidR="00FE6FC4">
        <w:rPr>
          <w:rFonts w:cs="Calibri"/>
        </w:rPr>
        <w:t>jeho</w:t>
      </w:r>
      <w:r w:rsidR="009B4A57">
        <w:rPr>
          <w:rFonts w:cs="Calibri"/>
        </w:rPr>
        <w:t xml:space="preserve"> celková</w:t>
      </w:r>
      <w:r w:rsidR="00FE6FC4">
        <w:rPr>
          <w:rFonts w:cs="Calibri"/>
        </w:rPr>
        <w:t xml:space="preserve"> vypovedacia hodnota je</w:t>
      </w:r>
      <w:r w:rsidR="009B4A57">
        <w:rPr>
          <w:rFonts w:cs="Calibri"/>
        </w:rPr>
        <w:t xml:space="preserve"> len</w:t>
      </w:r>
      <w:r w:rsidR="00FE6FC4">
        <w:rPr>
          <w:rFonts w:cs="Calibri"/>
        </w:rPr>
        <w:t xml:space="preserve"> orientačná.</w:t>
      </w:r>
      <w:r w:rsidR="009B4A57">
        <w:rPr>
          <w:rFonts w:cs="Calibri"/>
        </w:rPr>
        <w:t xml:space="preserve"> </w:t>
      </w:r>
    </w:p>
    <w:p w14:paraId="5653F84F" w14:textId="6E69D6C6" w:rsidR="00FE6FC4" w:rsidRDefault="00FE6FC4">
      <w:pPr>
        <w:spacing w:after="0" w:line="240" w:lineRule="auto"/>
        <w:rPr>
          <w:rFonts w:cs="Calibri"/>
        </w:rPr>
      </w:pPr>
    </w:p>
    <w:p w14:paraId="6D614F3B" w14:textId="0CD4976F" w:rsidR="00FE6FC4" w:rsidRDefault="00FE6FC4">
      <w:p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Model 2</w:t>
      </w:r>
      <w:r w:rsidR="00941906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45E7C45C" wp14:editId="712B4A20">
            <wp:simplePos x="0" y="0"/>
            <wp:positionH relativeFrom="column">
              <wp:posOffset>-635</wp:posOffset>
            </wp:positionH>
            <wp:positionV relativeFrom="paragraph">
              <wp:posOffset>170815</wp:posOffset>
            </wp:positionV>
            <wp:extent cx="5716270" cy="38093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2DFFB" w14:textId="4ECA3D45" w:rsidR="0082229A" w:rsidRDefault="0082229A">
      <w:pPr>
        <w:spacing w:after="0" w:line="240" w:lineRule="auto"/>
        <w:rPr>
          <w:rFonts w:cs="Calibri"/>
        </w:rPr>
      </w:pPr>
    </w:p>
    <w:p w14:paraId="124CD147" w14:textId="0C68F44D" w:rsidR="00257B4D" w:rsidRDefault="00941906">
      <w:pPr>
        <w:spacing w:after="0" w:line="240" w:lineRule="auto"/>
        <w:rPr>
          <w:rFonts w:cs="Calibri"/>
        </w:rPr>
      </w:pPr>
      <w:r>
        <w:rPr>
          <w:rFonts w:cs="Calibri"/>
        </w:rPr>
        <w:t>Model 2 zozbrazuje vzťah (efekt) medzi objemom a PMR. Vidieť tu jednoznačný efekt objemu na množstvo makrozvyškov . Opäť sa to prejavuje najmä pri vzorkách o</w:t>
      </w:r>
      <w:r w:rsidR="00C22E81">
        <w:rPr>
          <w:rFonts w:cs="Calibri"/>
        </w:rPr>
        <w:t xml:space="preserve"> objeme približne 10  a 20 litrov, plus tentokrát majú </w:t>
      </w:r>
      <w:r w:rsidR="009B4A57">
        <w:rPr>
          <w:rFonts w:cs="Calibri"/>
        </w:rPr>
        <w:t>výraznejší</w:t>
      </w:r>
      <w:r w:rsidR="00C22E81">
        <w:rPr>
          <w:rFonts w:cs="Calibri"/>
        </w:rPr>
        <w:t xml:space="preserve"> efekt aj malé vzorky okolo 2l. Pri väčších vzorkách sa efekt a ako aj spoľahlivosť odhadu funkcie sráca rovnako ako v modeli 1. </w:t>
      </w:r>
      <w:r w:rsidR="009D7EE7">
        <w:rPr>
          <w:rFonts w:cs="Calibri"/>
        </w:rPr>
        <w:t>V porovnaním s modelom 1 je však tento model o niečo horší (</w:t>
      </w:r>
      <w:r w:rsidR="009D7EE7" w:rsidRPr="009D7EE7">
        <w:rPr>
          <w:rFonts w:cs="Calibri"/>
          <w:highlight w:val="yellow"/>
        </w:rPr>
        <w:t>AIC hodnoty v tab</w:t>
      </w:r>
      <w:r w:rsidR="009D7EE7">
        <w:rPr>
          <w:rFonts w:cs="Calibri"/>
        </w:rPr>
        <w:t>). Navyše je tu badateľný značný nadmerný rozptyl (</w:t>
      </w:r>
      <w:r w:rsidR="009D7EE7" w:rsidRPr="009D7EE7">
        <w:rPr>
          <w:rFonts w:cs="Calibri"/>
          <w:highlight w:val="yellow"/>
        </w:rPr>
        <w:t>tab. – dispersion</w:t>
      </w:r>
      <w:r w:rsidR="009D7EE7">
        <w:rPr>
          <w:rFonts w:cs="Calibri"/>
        </w:rPr>
        <w:t>), ktorý by mal v </w:t>
      </w:r>
      <w:r w:rsidR="0016054D">
        <w:rPr>
          <w:rFonts w:cs="Calibri"/>
        </w:rPr>
        <w:t>našom</w:t>
      </w:r>
      <w:r w:rsidR="009D7EE7">
        <w:rPr>
          <w:rFonts w:cs="Calibri"/>
        </w:rPr>
        <w:t xml:space="preserve"> prípade do</w:t>
      </w:r>
      <w:r w:rsidR="0016054D">
        <w:rPr>
          <w:rFonts w:cs="Calibri"/>
        </w:rPr>
        <w:t>siahnuť hodnotu maximálne</w:t>
      </w:r>
      <w:r w:rsidR="009D7EE7">
        <w:rPr>
          <w:rFonts w:cs="Calibri"/>
        </w:rPr>
        <w:t xml:space="preserve"> 1.25 (Hilbe 2014, 82</w:t>
      </w:r>
      <w:r w:rsidR="00F31D80">
        <w:rPr>
          <w:rFonts w:cs="Calibri"/>
        </w:rPr>
        <w:t>, 133</w:t>
      </w:r>
      <w:r w:rsidR="009D7EE7">
        <w:rPr>
          <w:rFonts w:cs="Calibri"/>
        </w:rPr>
        <w:t>). Existuje viacero dôvodov prečo sa nadmerný rozptyl objavuje (Hilbe, 2014, 82), V našom prípade môžu zohrávať úlohu chýbajúce prediktory, odľahlé hodnoty</w:t>
      </w:r>
      <w:r w:rsidR="002839CA">
        <w:rPr>
          <w:rFonts w:cs="Calibri"/>
        </w:rPr>
        <w:t xml:space="preserve"> či </w:t>
      </w:r>
      <w:r w:rsidR="00AA26AE">
        <w:rPr>
          <w:rFonts w:cs="Calibri"/>
        </w:rPr>
        <w:t>väčšie množstvo núl (zero-inflation),</w:t>
      </w:r>
      <w:r w:rsidR="009D7EE7">
        <w:rPr>
          <w:rFonts w:cs="Calibri"/>
        </w:rPr>
        <w:t xml:space="preserve"> ale nevylučuje</w:t>
      </w:r>
      <w:r w:rsidR="00F31D80">
        <w:rPr>
          <w:rFonts w:cs="Calibri"/>
        </w:rPr>
        <w:t>me</w:t>
      </w:r>
      <w:r w:rsidR="009D7EE7">
        <w:rPr>
          <w:rFonts w:cs="Calibri"/>
        </w:rPr>
        <w:t xml:space="preserve"> aj ďalšie dôvody.</w:t>
      </w:r>
      <w:r w:rsidR="0016054D">
        <w:rPr>
          <w:rFonts w:cs="Calibri"/>
        </w:rPr>
        <w:t xml:space="preserve"> PMR napriek tomu vysvetľujú o trochu viac variability (7,7%). </w:t>
      </w:r>
    </w:p>
    <w:p w14:paraId="61CC76B2" w14:textId="626A1A3F" w:rsidR="0016054D" w:rsidRDefault="0016054D">
      <w:pPr>
        <w:spacing w:after="0" w:line="240" w:lineRule="auto"/>
        <w:rPr>
          <w:rFonts w:cs="Calibri"/>
        </w:rPr>
      </w:pPr>
    </w:p>
    <w:p w14:paraId="3C41C7D0" w14:textId="77777777" w:rsidR="00565038" w:rsidRDefault="00565038">
      <w:pPr>
        <w:spacing w:after="0" w:line="240" w:lineRule="auto"/>
        <w:rPr>
          <w:rFonts w:cs="Calibri"/>
        </w:rPr>
      </w:pPr>
    </w:p>
    <w:p w14:paraId="5B4E7241" w14:textId="77777777" w:rsidR="00565038" w:rsidRDefault="00565038">
      <w:pPr>
        <w:spacing w:after="0" w:line="240" w:lineRule="auto"/>
        <w:rPr>
          <w:rFonts w:cs="Calibri"/>
        </w:rPr>
      </w:pPr>
    </w:p>
    <w:p w14:paraId="753C73C9" w14:textId="77777777" w:rsidR="00565038" w:rsidRDefault="00565038">
      <w:pPr>
        <w:spacing w:after="0" w:line="240" w:lineRule="auto"/>
        <w:rPr>
          <w:rFonts w:cs="Calibri"/>
        </w:rPr>
      </w:pPr>
    </w:p>
    <w:p w14:paraId="579D8E26" w14:textId="77777777" w:rsidR="00565038" w:rsidRDefault="00565038">
      <w:pPr>
        <w:spacing w:after="0" w:line="240" w:lineRule="auto"/>
        <w:rPr>
          <w:rFonts w:cs="Calibri"/>
        </w:rPr>
      </w:pPr>
    </w:p>
    <w:p w14:paraId="3F0334A4" w14:textId="77777777" w:rsidR="00565038" w:rsidRDefault="00565038">
      <w:pPr>
        <w:spacing w:after="0" w:line="240" w:lineRule="auto"/>
        <w:rPr>
          <w:rFonts w:cs="Calibri"/>
        </w:rPr>
      </w:pPr>
    </w:p>
    <w:p w14:paraId="28ABA8F8" w14:textId="77777777" w:rsidR="00565038" w:rsidRDefault="00565038">
      <w:pPr>
        <w:spacing w:after="0" w:line="240" w:lineRule="auto"/>
        <w:rPr>
          <w:rFonts w:cs="Calibri"/>
        </w:rPr>
      </w:pPr>
    </w:p>
    <w:p w14:paraId="65D9D854" w14:textId="77777777" w:rsidR="00565038" w:rsidRDefault="00565038">
      <w:pPr>
        <w:spacing w:after="0" w:line="240" w:lineRule="auto"/>
        <w:rPr>
          <w:rFonts w:cs="Calibri"/>
        </w:rPr>
      </w:pPr>
    </w:p>
    <w:p w14:paraId="318E594C" w14:textId="77777777" w:rsidR="00565038" w:rsidRDefault="00565038">
      <w:pPr>
        <w:spacing w:after="0" w:line="240" w:lineRule="auto"/>
        <w:rPr>
          <w:rFonts w:cs="Calibri"/>
        </w:rPr>
      </w:pPr>
    </w:p>
    <w:p w14:paraId="70E3B4EF" w14:textId="77777777" w:rsidR="00565038" w:rsidRDefault="00565038">
      <w:pPr>
        <w:spacing w:after="0" w:line="240" w:lineRule="auto"/>
        <w:rPr>
          <w:rFonts w:cs="Calibri"/>
        </w:rPr>
      </w:pPr>
    </w:p>
    <w:p w14:paraId="427F81B1" w14:textId="77777777" w:rsidR="00565038" w:rsidRDefault="00565038">
      <w:pPr>
        <w:spacing w:after="0" w:line="240" w:lineRule="auto"/>
        <w:rPr>
          <w:rFonts w:cs="Calibri"/>
        </w:rPr>
      </w:pPr>
    </w:p>
    <w:p w14:paraId="6680D0B1" w14:textId="77777777" w:rsidR="00565038" w:rsidRDefault="00565038">
      <w:pPr>
        <w:spacing w:after="0" w:line="240" w:lineRule="auto"/>
        <w:rPr>
          <w:rFonts w:cs="Calibri"/>
        </w:rPr>
      </w:pPr>
    </w:p>
    <w:p w14:paraId="15AC82BE" w14:textId="77777777" w:rsidR="00565038" w:rsidRDefault="00565038">
      <w:pPr>
        <w:spacing w:after="0" w:line="240" w:lineRule="auto"/>
        <w:rPr>
          <w:rFonts w:cs="Calibri"/>
        </w:rPr>
      </w:pPr>
    </w:p>
    <w:p w14:paraId="77D4A275" w14:textId="77777777" w:rsidR="00565038" w:rsidRDefault="00565038">
      <w:pPr>
        <w:spacing w:after="0" w:line="240" w:lineRule="auto"/>
        <w:rPr>
          <w:rFonts w:cs="Calibri"/>
        </w:rPr>
      </w:pPr>
    </w:p>
    <w:p w14:paraId="6B2520B5" w14:textId="77777777" w:rsidR="00565038" w:rsidRDefault="00565038">
      <w:pPr>
        <w:spacing w:after="0" w:line="240" w:lineRule="auto"/>
        <w:rPr>
          <w:rFonts w:cs="Calibri"/>
        </w:rPr>
      </w:pPr>
    </w:p>
    <w:p w14:paraId="54EB99EC" w14:textId="77777777" w:rsidR="00565038" w:rsidRDefault="00565038">
      <w:pPr>
        <w:spacing w:after="0" w:line="240" w:lineRule="auto"/>
        <w:rPr>
          <w:rFonts w:cs="Calibri"/>
        </w:rPr>
      </w:pPr>
    </w:p>
    <w:p w14:paraId="681A1110" w14:textId="77777777" w:rsidR="00565038" w:rsidRDefault="00565038">
      <w:pPr>
        <w:spacing w:after="0" w:line="240" w:lineRule="auto"/>
        <w:rPr>
          <w:rFonts w:cs="Calibri"/>
        </w:rPr>
      </w:pPr>
    </w:p>
    <w:p w14:paraId="0E48ED72" w14:textId="6D7CCEE5" w:rsidR="00430BA7" w:rsidRDefault="00430BA7">
      <w:p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Model 3</w:t>
      </w:r>
    </w:p>
    <w:p w14:paraId="56740457" w14:textId="3903846C" w:rsidR="00430BA7" w:rsidRDefault="00565038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60288" behindDoc="0" locked="0" layoutInCell="1" allowOverlap="1" wp14:anchorId="2BA2CE3E" wp14:editId="1DA9C23F">
            <wp:simplePos x="0" y="0"/>
            <wp:positionH relativeFrom="margin">
              <wp:posOffset>24130</wp:posOffset>
            </wp:positionH>
            <wp:positionV relativeFrom="paragraph">
              <wp:posOffset>309245</wp:posOffset>
            </wp:positionV>
            <wp:extent cx="5461635" cy="3382010"/>
            <wp:effectExtent l="0" t="0" r="571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DBB92" w14:textId="577E4717" w:rsidR="00430BA7" w:rsidRDefault="00565038">
      <w:pPr>
        <w:spacing w:after="0" w:line="240" w:lineRule="auto"/>
        <w:rPr>
          <w:rFonts w:cs="Calibri"/>
        </w:rPr>
      </w:pPr>
      <w:r>
        <w:rPr>
          <w:rFonts w:cs="Calibri"/>
        </w:rPr>
        <w:t>Model 3 predstavuje vzťah (efekt) medzi počtom druhov a počtom PMR</w:t>
      </w:r>
      <w:r>
        <w:rPr>
          <w:rFonts w:cs="Calibri"/>
        </w:rPr>
        <w:t xml:space="preserve"> a jednoznačne dokladá </w:t>
      </w:r>
      <w:r w:rsidR="00C43777">
        <w:rPr>
          <w:rFonts w:cs="Calibri"/>
        </w:rPr>
        <w:t xml:space="preserve">ich vzájomný </w:t>
      </w:r>
      <w:r>
        <w:rPr>
          <w:rFonts w:cs="Calibri"/>
        </w:rPr>
        <w:t>vzťah (</w:t>
      </w:r>
      <w:r w:rsidRPr="00565038">
        <w:rPr>
          <w:rFonts w:cs="Calibri"/>
          <w:highlight w:val="yellow"/>
        </w:rPr>
        <w:t>graf + tab</w:t>
      </w:r>
      <w:r>
        <w:rPr>
          <w:rFonts w:cs="Calibri"/>
        </w:rPr>
        <w:t>)</w:t>
      </w:r>
      <w:r w:rsidR="00C43777">
        <w:rPr>
          <w:rFonts w:cs="Calibri"/>
        </w:rPr>
        <w:t xml:space="preserve"> a takisto AIC hodnota indikuje , že ide o</w:t>
      </w:r>
      <w:r w:rsidR="00DD7C31">
        <w:rPr>
          <w:rFonts w:cs="Calibri"/>
        </w:rPr>
        <w:t xml:space="preserve"> niečo</w:t>
      </w:r>
      <w:r w:rsidR="00C43777">
        <w:rPr>
          <w:rFonts w:cs="Calibri"/>
        </w:rPr>
        <w:t xml:space="preserve"> kvalitnejší (better-fitted model)</w:t>
      </w:r>
      <w:r w:rsidR="009B4A57">
        <w:rPr>
          <w:rFonts w:cs="Calibri"/>
        </w:rPr>
        <w:t>. N</w:t>
      </w:r>
      <w:r w:rsidR="00C43777">
        <w:rPr>
          <w:rFonts w:cs="Calibri"/>
        </w:rPr>
        <w:t>avyše vysvetľuje približ</w:t>
      </w:r>
      <w:r w:rsidR="009B4A57">
        <w:rPr>
          <w:rFonts w:cs="Calibri"/>
        </w:rPr>
        <w:t>n</w:t>
      </w:r>
      <w:r w:rsidR="00C43777">
        <w:rPr>
          <w:rFonts w:cs="Calibri"/>
        </w:rPr>
        <w:t>e 74% variability, čo je značný skok  oproti predchádzajúcim dvom modelom. Model ukazuje mierne stúpajúci trend, indikujúci, že s počtom extraktovaných PMR stúpa aj počet nájdených druhov</w:t>
      </w:r>
      <w:r w:rsidR="00B70285">
        <w:rPr>
          <w:rFonts w:cs="Calibri"/>
        </w:rPr>
        <w:t xml:space="preserve">, pričom najväčšiu zmenu je možné pozorovať v intervale </w:t>
      </w:r>
      <w:r w:rsidR="00B70285">
        <w:rPr>
          <w:rFonts w:cs="Calibri"/>
        </w:rPr>
        <w:t xml:space="preserve">približne </w:t>
      </w:r>
      <w:r w:rsidR="00B70285">
        <w:rPr>
          <w:rFonts w:cs="Calibri"/>
        </w:rPr>
        <w:t xml:space="preserve">od 100 do 200 PMR. </w:t>
      </w:r>
      <w:r w:rsidR="00DD7C31">
        <w:rPr>
          <w:rFonts w:cs="Calibri"/>
        </w:rPr>
        <w:t>Oproti modelu dva má však nedostatočný rozptyl (underdispersion), čo pravdepodobne mohli ovplyvniť extrémne hodnoty (Zuur et al. 2009, 225). Prezentovaný</w:t>
      </w:r>
      <w:r w:rsidR="00C43777">
        <w:rPr>
          <w:rFonts w:cs="Calibri"/>
        </w:rPr>
        <w:t xml:space="preserve"> výsledok </w:t>
      </w:r>
      <w:r w:rsidR="009B4A57">
        <w:rPr>
          <w:rFonts w:cs="Calibri"/>
        </w:rPr>
        <w:t xml:space="preserve">– teda silnejší vzťah medzi druhmi a PMR - </w:t>
      </w:r>
      <w:r w:rsidR="00C43777">
        <w:rPr>
          <w:rFonts w:cs="Calibri"/>
        </w:rPr>
        <w:t>však nie je prekvapujúci</w:t>
      </w:r>
      <w:r w:rsidR="00B70285">
        <w:rPr>
          <w:rFonts w:cs="Calibri"/>
        </w:rPr>
        <w:t xml:space="preserve"> a na čo poukazovali už vyššie načrtnuté analýzy. </w:t>
      </w:r>
    </w:p>
    <w:p w14:paraId="1FC33F05" w14:textId="27FCE790" w:rsidR="00B70285" w:rsidRDefault="00B70285">
      <w:pPr>
        <w:spacing w:after="0" w:line="240" w:lineRule="auto"/>
        <w:rPr>
          <w:rFonts w:cs="Calibri"/>
        </w:rPr>
      </w:pPr>
    </w:p>
    <w:p w14:paraId="292F296F" w14:textId="77777777" w:rsidR="00DD7C31" w:rsidRDefault="00DD7C31">
      <w:pPr>
        <w:spacing w:after="0" w:line="240" w:lineRule="auto"/>
        <w:rPr>
          <w:rFonts w:cs="Calibri"/>
        </w:rPr>
      </w:pPr>
    </w:p>
    <w:p w14:paraId="1121CC18" w14:textId="77777777" w:rsidR="00DD7C31" w:rsidRDefault="00DD7C31">
      <w:pPr>
        <w:spacing w:after="0" w:line="240" w:lineRule="auto"/>
        <w:rPr>
          <w:rFonts w:cs="Calibri"/>
        </w:rPr>
      </w:pPr>
    </w:p>
    <w:p w14:paraId="78362345" w14:textId="77777777" w:rsidR="00DD7C31" w:rsidRDefault="00DD7C31">
      <w:pPr>
        <w:spacing w:after="0" w:line="240" w:lineRule="auto"/>
        <w:rPr>
          <w:rFonts w:cs="Calibri"/>
        </w:rPr>
      </w:pPr>
    </w:p>
    <w:p w14:paraId="604D24D1" w14:textId="77777777" w:rsidR="00DD7C31" w:rsidRDefault="00DD7C31">
      <w:pPr>
        <w:spacing w:after="0" w:line="240" w:lineRule="auto"/>
        <w:rPr>
          <w:rFonts w:cs="Calibri"/>
        </w:rPr>
      </w:pPr>
    </w:p>
    <w:p w14:paraId="74F3B16A" w14:textId="77777777" w:rsidR="00DD7C31" w:rsidRDefault="00DD7C31">
      <w:pPr>
        <w:spacing w:after="0" w:line="240" w:lineRule="auto"/>
        <w:rPr>
          <w:rFonts w:cs="Calibri"/>
        </w:rPr>
      </w:pPr>
    </w:p>
    <w:p w14:paraId="09E78E49" w14:textId="77777777" w:rsidR="00DD7C31" w:rsidRDefault="00DD7C31">
      <w:pPr>
        <w:spacing w:after="0" w:line="240" w:lineRule="auto"/>
        <w:rPr>
          <w:rFonts w:cs="Calibri"/>
        </w:rPr>
      </w:pPr>
    </w:p>
    <w:p w14:paraId="20FBE4AF" w14:textId="77777777" w:rsidR="00DD7C31" w:rsidRDefault="00DD7C31">
      <w:pPr>
        <w:spacing w:after="0" w:line="240" w:lineRule="auto"/>
        <w:rPr>
          <w:rFonts w:cs="Calibri"/>
        </w:rPr>
      </w:pPr>
    </w:p>
    <w:p w14:paraId="391EBA06" w14:textId="77777777" w:rsidR="00DD7C31" w:rsidRDefault="00DD7C31">
      <w:pPr>
        <w:spacing w:after="0" w:line="240" w:lineRule="auto"/>
        <w:rPr>
          <w:rFonts w:cs="Calibri"/>
        </w:rPr>
      </w:pPr>
    </w:p>
    <w:p w14:paraId="473AE448" w14:textId="77777777" w:rsidR="00DD7C31" w:rsidRDefault="00DD7C31">
      <w:pPr>
        <w:spacing w:after="0" w:line="240" w:lineRule="auto"/>
        <w:rPr>
          <w:rFonts w:cs="Calibri"/>
        </w:rPr>
      </w:pPr>
    </w:p>
    <w:p w14:paraId="7A412FA6" w14:textId="77777777" w:rsidR="00DD7C31" w:rsidRDefault="00DD7C31">
      <w:pPr>
        <w:spacing w:after="0" w:line="240" w:lineRule="auto"/>
        <w:rPr>
          <w:rFonts w:cs="Calibri"/>
        </w:rPr>
      </w:pPr>
    </w:p>
    <w:p w14:paraId="430F6A7A" w14:textId="77777777" w:rsidR="00DD7C31" w:rsidRDefault="00DD7C31">
      <w:pPr>
        <w:spacing w:after="0" w:line="240" w:lineRule="auto"/>
        <w:rPr>
          <w:rFonts w:cs="Calibri"/>
        </w:rPr>
      </w:pPr>
    </w:p>
    <w:p w14:paraId="31FE73C0" w14:textId="77777777" w:rsidR="00DD7C31" w:rsidRDefault="00DD7C31">
      <w:pPr>
        <w:spacing w:after="0" w:line="240" w:lineRule="auto"/>
        <w:rPr>
          <w:rFonts w:cs="Calibri"/>
        </w:rPr>
      </w:pPr>
    </w:p>
    <w:p w14:paraId="0D553A02" w14:textId="77777777" w:rsidR="00DD7C31" w:rsidRDefault="00DD7C31">
      <w:pPr>
        <w:spacing w:after="0" w:line="240" w:lineRule="auto"/>
        <w:rPr>
          <w:rFonts w:cs="Calibri"/>
        </w:rPr>
      </w:pPr>
    </w:p>
    <w:p w14:paraId="07677C9C" w14:textId="77777777" w:rsidR="00DD7C31" w:rsidRDefault="00DD7C31">
      <w:pPr>
        <w:spacing w:after="0" w:line="240" w:lineRule="auto"/>
        <w:rPr>
          <w:rFonts w:cs="Calibri"/>
        </w:rPr>
      </w:pPr>
    </w:p>
    <w:p w14:paraId="0B51563B" w14:textId="77777777" w:rsidR="00DD7C31" w:rsidRDefault="00DD7C31">
      <w:pPr>
        <w:spacing w:after="0" w:line="240" w:lineRule="auto"/>
        <w:rPr>
          <w:rFonts w:cs="Calibri"/>
        </w:rPr>
      </w:pPr>
    </w:p>
    <w:p w14:paraId="41181EF1" w14:textId="77777777" w:rsidR="00DD7C31" w:rsidRDefault="00DD7C31">
      <w:pPr>
        <w:spacing w:after="0" w:line="240" w:lineRule="auto"/>
        <w:rPr>
          <w:rFonts w:cs="Calibri"/>
        </w:rPr>
      </w:pPr>
    </w:p>
    <w:p w14:paraId="0C51BAC1" w14:textId="77777777" w:rsidR="00DD7C31" w:rsidRDefault="00DD7C31">
      <w:pPr>
        <w:spacing w:after="0" w:line="240" w:lineRule="auto"/>
        <w:rPr>
          <w:rFonts w:cs="Calibri"/>
        </w:rPr>
      </w:pPr>
    </w:p>
    <w:p w14:paraId="6FF198AC" w14:textId="77777777" w:rsidR="00DD7C31" w:rsidRDefault="00DD7C31">
      <w:pPr>
        <w:spacing w:after="0" w:line="240" w:lineRule="auto"/>
        <w:rPr>
          <w:rFonts w:cs="Calibri"/>
        </w:rPr>
      </w:pPr>
    </w:p>
    <w:p w14:paraId="5F7BC672" w14:textId="77777777" w:rsidR="00DD7C31" w:rsidRDefault="00DD7C31">
      <w:pPr>
        <w:spacing w:after="0" w:line="240" w:lineRule="auto"/>
        <w:rPr>
          <w:rFonts w:cs="Calibri"/>
        </w:rPr>
      </w:pPr>
    </w:p>
    <w:p w14:paraId="7A8D6F9E" w14:textId="77777777" w:rsidR="00DD7C31" w:rsidRDefault="00DD7C31">
      <w:pPr>
        <w:spacing w:after="0" w:line="240" w:lineRule="auto"/>
        <w:rPr>
          <w:rFonts w:cs="Calibri"/>
        </w:rPr>
      </w:pPr>
    </w:p>
    <w:p w14:paraId="05CDC20F" w14:textId="2A78E246" w:rsidR="00B70285" w:rsidRDefault="00B70285">
      <w:pPr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Model 4</w:t>
      </w:r>
    </w:p>
    <w:p w14:paraId="2CCC43AA" w14:textId="77777777" w:rsidR="00DD7C31" w:rsidRDefault="00DD7C31">
      <w:pPr>
        <w:spacing w:after="0" w:line="240" w:lineRule="auto"/>
        <w:rPr>
          <w:rFonts w:cs="Calibri"/>
        </w:rPr>
      </w:pPr>
    </w:p>
    <w:p w14:paraId="23066C04" w14:textId="00FB7FEA" w:rsidR="00DD7C31" w:rsidRDefault="00DD7C31">
      <w:pPr>
        <w:spacing w:after="0" w:line="240" w:lineRule="auto"/>
        <w:rPr>
          <w:rFonts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61312" behindDoc="0" locked="0" layoutInCell="1" allowOverlap="1" wp14:anchorId="5ADE1A46" wp14:editId="3445AF50">
            <wp:simplePos x="0" y="0"/>
            <wp:positionH relativeFrom="column">
              <wp:posOffset>-65</wp:posOffset>
            </wp:positionH>
            <wp:positionV relativeFrom="paragraph">
              <wp:posOffset>265</wp:posOffset>
            </wp:positionV>
            <wp:extent cx="5716270" cy="380936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285">
        <w:rPr>
          <w:rFonts w:cs="Calibri"/>
        </w:rPr>
        <w:t>Do modelu 4 sme zahrnuli objem a PMR spolu</w:t>
      </w:r>
      <w:r w:rsidR="002D2976">
        <w:rPr>
          <w:rFonts w:cs="Calibri"/>
        </w:rPr>
        <w:t xml:space="preserve"> pomocu tzv. product tensor smooth interaction funkcie (Wood 2017, 187, 326). Tzn. že sme sa pozreli na</w:t>
      </w:r>
      <w:r>
        <w:rPr>
          <w:rFonts w:cs="Calibri"/>
        </w:rPr>
        <w:t xml:space="preserve"> “čistý“</w:t>
      </w:r>
      <w:r w:rsidR="002D2976">
        <w:rPr>
          <w:rFonts w:cs="Calibri"/>
        </w:rPr>
        <w:t xml:space="preserve"> vzájomný vzťah (efekt)</w:t>
      </w:r>
      <w:r>
        <w:rPr>
          <w:rFonts w:cs="Calibri"/>
        </w:rPr>
        <w:t xml:space="preserve"> medzi</w:t>
      </w:r>
      <w:r w:rsidR="002D2976">
        <w:rPr>
          <w:rFonts w:cs="Calibri"/>
        </w:rPr>
        <w:t xml:space="preserve"> objem</w:t>
      </w:r>
      <w:r>
        <w:rPr>
          <w:rFonts w:cs="Calibri"/>
        </w:rPr>
        <w:t>om/</w:t>
      </w:r>
      <w:r w:rsidR="002D2976">
        <w:rPr>
          <w:rFonts w:cs="Calibri"/>
        </w:rPr>
        <w:t>PMR</w:t>
      </w:r>
      <w:r>
        <w:rPr>
          <w:rFonts w:cs="Calibri"/>
        </w:rPr>
        <w:t xml:space="preserve"> a počtom druhov</w:t>
      </w:r>
      <w:r w:rsidR="002D2976">
        <w:rPr>
          <w:rFonts w:cs="Calibri"/>
        </w:rPr>
        <w:t xml:space="preserve">. </w:t>
      </w:r>
      <w:r w:rsidR="00B70285">
        <w:rPr>
          <w:rFonts w:cs="Calibri"/>
        </w:rPr>
        <w:t xml:space="preserve">Grafický výstup je </w:t>
      </w:r>
      <w:r>
        <w:rPr>
          <w:rFonts w:cs="Calibri"/>
        </w:rPr>
        <w:t>v podobe tvz. heat mapy</w:t>
      </w:r>
      <w:r w:rsidR="00B70285">
        <w:rPr>
          <w:rFonts w:cs="Calibri"/>
        </w:rPr>
        <w:t xml:space="preserve">. </w:t>
      </w:r>
      <w:r>
        <w:rPr>
          <w:rFonts w:cs="Calibri"/>
        </w:rPr>
        <w:t>Výsledok korešponduje s modelmi vyššie a naznačuje, že</w:t>
      </w:r>
      <w:r w:rsidR="00663D08">
        <w:rPr>
          <w:rFonts w:cs="Calibri"/>
        </w:rPr>
        <w:t xml:space="preserve"> spoločný efekt sa prejavuje predovšetkým pri vzorkách o objemoch približne 2 l, 10 -20 l, 25-45 l</w:t>
      </w:r>
      <w:r w:rsidR="00A377ED">
        <w:rPr>
          <w:rFonts w:cs="Calibri"/>
        </w:rPr>
        <w:t xml:space="preserve"> a </w:t>
      </w:r>
      <w:r w:rsidR="00663D08">
        <w:rPr>
          <w:rFonts w:cs="Calibri"/>
        </w:rPr>
        <w:t>s počtom makrozvyškom cca 400 a vyššie. Spoločná interakcia objemu a makrozvyškov priniesla aj väčšie percento vysvetlenej variablity a</w:t>
      </w:r>
      <w:r w:rsidR="00A377ED">
        <w:rPr>
          <w:rFonts w:cs="Calibri"/>
        </w:rPr>
        <w:t> takisto o niečo kvalitnejší model (</w:t>
      </w:r>
      <w:r w:rsidR="00A377ED" w:rsidRPr="00A377ED">
        <w:rPr>
          <w:rFonts w:cs="Calibri"/>
          <w:highlight w:val="yellow"/>
        </w:rPr>
        <w:t>tab.)</w:t>
      </w:r>
      <w:r w:rsidR="00663D08">
        <w:rPr>
          <w:rFonts w:cs="Calibri"/>
        </w:rPr>
        <w:t xml:space="preserve"> </w:t>
      </w:r>
      <w:r w:rsidR="00A377ED">
        <w:rPr>
          <w:rFonts w:cs="Calibri"/>
        </w:rPr>
        <w:t>i keď odľahlé hodnoty trochu poddimenzovali rozptyl. Bežne sa pri analýze archeobotanických súborov pracuje s hustorou (pomer PMR/objem). Pri modelovaní s</w:t>
      </w:r>
      <w:r w:rsidR="00317346">
        <w:rPr>
          <w:rFonts w:cs="Calibri"/>
        </w:rPr>
        <w:t> </w:t>
      </w:r>
      <w:r w:rsidR="00A377ED">
        <w:rPr>
          <w:rFonts w:cs="Calibri"/>
        </w:rPr>
        <w:t>hustotou</w:t>
      </w:r>
      <w:r w:rsidR="00317346">
        <w:rPr>
          <w:rFonts w:cs="Calibri"/>
        </w:rPr>
        <w:t xml:space="preserve"> (</w:t>
      </w:r>
      <w:r w:rsidR="00317346" w:rsidRPr="00317346">
        <w:rPr>
          <w:rFonts w:cs="Calibri"/>
          <w:highlight w:val="yellow"/>
        </w:rPr>
        <w:t>tab. m5)</w:t>
      </w:r>
      <w:r w:rsidR="00A377ED">
        <w:rPr>
          <w:rFonts w:cs="Calibri"/>
        </w:rPr>
        <w:t xml:space="preserve"> sme dostali veľmi podobné</w:t>
      </w:r>
      <w:r w:rsidR="00317346">
        <w:rPr>
          <w:rFonts w:cs="Calibri"/>
        </w:rPr>
        <w:t xml:space="preserve">, i keď o trochu slabšie, </w:t>
      </w:r>
      <w:r w:rsidR="00A377ED">
        <w:rPr>
          <w:rFonts w:cs="Calibri"/>
        </w:rPr>
        <w:t>výsledky</w:t>
      </w:r>
      <w:r w:rsidR="00317346">
        <w:rPr>
          <w:rFonts w:cs="Calibri"/>
        </w:rPr>
        <w:t xml:space="preserve"> ako</w:t>
      </w:r>
      <w:r w:rsidR="00A377ED">
        <w:rPr>
          <w:rFonts w:cs="Calibri"/>
        </w:rPr>
        <w:t xml:space="preserve"> </w:t>
      </w:r>
      <w:r w:rsidR="00317346">
        <w:rPr>
          <w:rFonts w:cs="Calibri"/>
        </w:rPr>
        <w:t>pri</w:t>
      </w:r>
      <w:r w:rsidR="00A377ED">
        <w:rPr>
          <w:rFonts w:cs="Calibri"/>
        </w:rPr>
        <w:t xml:space="preserve"> modele </w:t>
      </w:r>
      <w:r w:rsidR="00317346">
        <w:rPr>
          <w:rFonts w:cs="Calibri"/>
        </w:rPr>
        <w:t>4. Kvôli tomu a tiež kvôli zachovanie určitej jednotnosti s hustotu nebudeme naďalej pracovať, namiesto toho využijeme</w:t>
      </w:r>
      <w:r w:rsidR="009B4A57">
        <w:rPr>
          <w:rFonts w:cs="Calibri"/>
        </w:rPr>
        <w:t xml:space="preserve"> spomínaný prod</w:t>
      </w:r>
      <w:r w:rsidR="00886894">
        <w:rPr>
          <w:rFonts w:cs="Calibri"/>
        </w:rPr>
        <w:t>u</w:t>
      </w:r>
      <w:r w:rsidR="009B4A57">
        <w:rPr>
          <w:rFonts w:cs="Calibri"/>
        </w:rPr>
        <w:t>ct tensor ako indikátor spoločnej interakcie</w:t>
      </w:r>
      <w:r w:rsidR="00886894">
        <w:rPr>
          <w:rFonts w:cs="Calibri"/>
        </w:rPr>
        <w:t xml:space="preserve">, ktorý sa ukazuje ako lepšia varianta. </w:t>
      </w:r>
    </w:p>
    <w:p w14:paraId="264D9E45" w14:textId="0ABD8FB7" w:rsidR="009B4A57" w:rsidRDefault="009B4A57">
      <w:pPr>
        <w:spacing w:after="0" w:line="240" w:lineRule="auto"/>
        <w:rPr>
          <w:rFonts w:cs="Calibri"/>
        </w:rPr>
      </w:pPr>
    </w:p>
    <w:p w14:paraId="253F205F" w14:textId="77777777" w:rsidR="009B4A57" w:rsidRDefault="009B4A57">
      <w:pPr>
        <w:spacing w:after="0" w:line="240" w:lineRule="auto"/>
        <w:rPr>
          <w:rFonts w:cs="Calibri"/>
        </w:rPr>
      </w:pPr>
    </w:p>
    <w:p w14:paraId="25E9FE2E" w14:textId="1CC8F0B2" w:rsidR="00A377ED" w:rsidRDefault="00A377ED">
      <w:pPr>
        <w:spacing w:after="0" w:line="240" w:lineRule="auto"/>
        <w:rPr>
          <w:rFonts w:cs="Calibri"/>
        </w:rPr>
      </w:pPr>
    </w:p>
    <w:p w14:paraId="63C6A92A" w14:textId="77777777" w:rsidR="00A377ED" w:rsidRDefault="00A377ED">
      <w:pPr>
        <w:spacing w:after="0" w:line="240" w:lineRule="auto"/>
        <w:rPr>
          <w:rFonts w:cs="Calibri"/>
        </w:rPr>
      </w:pPr>
    </w:p>
    <w:p w14:paraId="3AC05C60" w14:textId="7BA8F12F" w:rsidR="00DD7C31" w:rsidRDefault="00DD7C31">
      <w:pPr>
        <w:spacing w:after="0" w:line="240" w:lineRule="auto"/>
        <w:rPr>
          <w:rFonts w:cs="Calibri"/>
        </w:rPr>
      </w:pPr>
    </w:p>
    <w:p w14:paraId="4548A46A" w14:textId="151AA464" w:rsidR="00DD7C31" w:rsidRDefault="00DD7C31">
      <w:pPr>
        <w:spacing w:after="0" w:line="240" w:lineRule="auto"/>
        <w:rPr>
          <w:rFonts w:cs="Calibri"/>
        </w:rPr>
      </w:pPr>
    </w:p>
    <w:p w14:paraId="677C140E" w14:textId="00A4972F" w:rsidR="00B70285" w:rsidRDefault="00B70285">
      <w:pPr>
        <w:spacing w:after="0" w:line="240" w:lineRule="auto"/>
        <w:rPr>
          <w:rFonts w:cs="Calibri"/>
        </w:rPr>
      </w:pPr>
      <w:r>
        <w:rPr>
          <w:rFonts w:cs="Calibri"/>
        </w:rPr>
        <w:t>Úmyslom bolo pozrieť sa, či sa tieto prediktory navzájom ne</w:t>
      </w:r>
      <w:r w:rsidR="00B208B2">
        <w:rPr>
          <w:rFonts w:cs="Calibri"/>
        </w:rPr>
        <w:t>o</w:t>
      </w:r>
      <w:r>
        <w:rPr>
          <w:rFonts w:cs="Calibri"/>
        </w:rPr>
        <w:t xml:space="preserve">vplyvňujú pri </w:t>
      </w:r>
      <w:r w:rsidR="00B208B2">
        <w:rPr>
          <w:rFonts w:cs="Calibri"/>
        </w:rPr>
        <w:t xml:space="preserve">modelovaní. </w:t>
      </w:r>
    </w:p>
    <w:p w14:paraId="52BFC1CF" w14:textId="5AEFCD09" w:rsidR="00430BA7" w:rsidRDefault="00430BA7">
      <w:pPr>
        <w:spacing w:after="0" w:line="240" w:lineRule="auto"/>
        <w:rPr>
          <w:rFonts w:cs="Calibri"/>
        </w:rPr>
      </w:pPr>
    </w:p>
    <w:p w14:paraId="06B95695" w14:textId="27402ABF" w:rsidR="00430BA7" w:rsidRDefault="00430BA7">
      <w:pPr>
        <w:spacing w:after="0" w:line="240" w:lineRule="auto"/>
        <w:rPr>
          <w:rFonts w:cs="Calibri"/>
        </w:rPr>
      </w:pPr>
    </w:p>
    <w:p w14:paraId="723A4256" w14:textId="763F263B" w:rsidR="00430BA7" w:rsidRDefault="00430BA7">
      <w:pPr>
        <w:spacing w:after="0" w:line="240" w:lineRule="auto"/>
        <w:rPr>
          <w:rFonts w:cs="Calibri"/>
        </w:rPr>
      </w:pPr>
    </w:p>
    <w:p w14:paraId="69709B81" w14:textId="2E3CE32E" w:rsidR="00565038" w:rsidRDefault="00565038">
      <w:pPr>
        <w:spacing w:after="0" w:line="240" w:lineRule="auto"/>
        <w:rPr>
          <w:rFonts w:cs="Calibri"/>
        </w:rPr>
      </w:pPr>
    </w:p>
    <w:p w14:paraId="4F0382DD" w14:textId="6AE677F5" w:rsidR="00565038" w:rsidRDefault="00565038">
      <w:pPr>
        <w:spacing w:after="0" w:line="240" w:lineRule="auto"/>
        <w:rPr>
          <w:rFonts w:cs="Calibri"/>
        </w:rPr>
      </w:pPr>
    </w:p>
    <w:p w14:paraId="6A97FB15" w14:textId="7A3660B8" w:rsidR="00565038" w:rsidRDefault="00565038">
      <w:pPr>
        <w:spacing w:after="0" w:line="240" w:lineRule="auto"/>
        <w:rPr>
          <w:rFonts w:cs="Calibri"/>
        </w:rPr>
      </w:pPr>
    </w:p>
    <w:p w14:paraId="7CDB4733" w14:textId="1FE7BA5F" w:rsidR="00565038" w:rsidRDefault="00565038">
      <w:pPr>
        <w:spacing w:after="0" w:line="240" w:lineRule="auto"/>
        <w:rPr>
          <w:rFonts w:cs="Calibri"/>
        </w:rPr>
      </w:pPr>
    </w:p>
    <w:p w14:paraId="64BBE018" w14:textId="3AFB4704" w:rsidR="00565038" w:rsidRDefault="00565038">
      <w:pPr>
        <w:spacing w:after="0" w:line="240" w:lineRule="auto"/>
        <w:rPr>
          <w:rFonts w:cs="Calibri"/>
        </w:rPr>
      </w:pPr>
    </w:p>
    <w:p w14:paraId="4D5ABB94" w14:textId="17E0FB7E" w:rsidR="00565038" w:rsidRDefault="00565038">
      <w:pPr>
        <w:spacing w:after="0" w:line="240" w:lineRule="auto"/>
        <w:rPr>
          <w:rFonts w:cs="Calibri"/>
        </w:rPr>
      </w:pPr>
    </w:p>
    <w:p w14:paraId="6A6F44BB" w14:textId="6EE2CC09" w:rsidR="00565038" w:rsidRDefault="00565038">
      <w:pPr>
        <w:spacing w:after="0" w:line="240" w:lineRule="auto"/>
        <w:rPr>
          <w:rFonts w:cs="Calibri"/>
        </w:rPr>
      </w:pPr>
    </w:p>
    <w:p w14:paraId="02B85F07" w14:textId="3C19B45C" w:rsidR="00565038" w:rsidRDefault="00565038">
      <w:pPr>
        <w:spacing w:after="0" w:line="240" w:lineRule="auto"/>
        <w:rPr>
          <w:rFonts w:cs="Calibri"/>
        </w:rPr>
      </w:pPr>
    </w:p>
    <w:p w14:paraId="1C915B8F" w14:textId="393FDE15" w:rsidR="00565038" w:rsidRDefault="00565038">
      <w:pPr>
        <w:spacing w:after="0" w:line="240" w:lineRule="auto"/>
        <w:rPr>
          <w:rFonts w:cs="Calibri"/>
        </w:rPr>
      </w:pPr>
    </w:p>
    <w:p w14:paraId="2F981F25" w14:textId="52A2AF7A" w:rsidR="00565038" w:rsidRDefault="00565038">
      <w:pPr>
        <w:spacing w:after="0" w:line="240" w:lineRule="auto"/>
        <w:rPr>
          <w:rFonts w:cs="Calibri"/>
        </w:rPr>
      </w:pPr>
    </w:p>
    <w:p w14:paraId="76744DBA" w14:textId="3BF8AE60" w:rsidR="00565038" w:rsidRDefault="00565038">
      <w:pPr>
        <w:spacing w:after="0" w:line="240" w:lineRule="auto"/>
        <w:rPr>
          <w:rFonts w:cs="Calibri"/>
        </w:rPr>
      </w:pPr>
    </w:p>
    <w:p w14:paraId="5A1C0320" w14:textId="7CFBE673" w:rsidR="00565038" w:rsidRDefault="00565038">
      <w:pPr>
        <w:spacing w:after="0" w:line="240" w:lineRule="auto"/>
        <w:rPr>
          <w:rFonts w:cs="Calibri"/>
        </w:rPr>
      </w:pPr>
    </w:p>
    <w:p w14:paraId="124CD148" w14:textId="3A55FD11" w:rsidR="00257B4D" w:rsidRDefault="0016054D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Model </w:t>
      </w:r>
      <w:r w:rsidR="00430BA7">
        <w:rPr>
          <w:rFonts w:cs="Calibri"/>
        </w:rPr>
        <w:t>4</w:t>
      </w:r>
    </w:p>
    <w:p w14:paraId="1601BEFB" w14:textId="6C16C32C" w:rsidR="00577507" w:rsidRDefault="00577507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Model 3 (tab – </w:t>
      </w:r>
      <w:r w:rsidR="00430BA7">
        <w:rPr>
          <w:rFonts w:cs="Calibri"/>
        </w:rPr>
        <w:t>m3</w:t>
      </w:r>
      <w:r>
        <w:rPr>
          <w:rFonts w:cs="Calibri"/>
        </w:rPr>
        <w:t>)</w:t>
      </w:r>
      <w:r w:rsidR="00430BA7">
        <w:rPr>
          <w:rFonts w:cs="Calibri"/>
        </w:rPr>
        <w:t xml:space="preserve"> je výsledok dvoch smooth funkcií pre objem a PMR. Graficky</w:t>
      </w:r>
    </w:p>
    <w:p w14:paraId="124CD149" w14:textId="35FF9691" w:rsidR="00257B4D" w:rsidRDefault="00257B4D">
      <w:pPr>
        <w:spacing w:after="0" w:line="240" w:lineRule="auto"/>
        <w:rPr>
          <w:rFonts w:cs="Calibri"/>
        </w:rPr>
      </w:pPr>
    </w:p>
    <w:p w14:paraId="124CD14A" w14:textId="15740727" w:rsidR="00257B4D" w:rsidRDefault="00257B4D">
      <w:pPr>
        <w:spacing w:after="0" w:line="240" w:lineRule="auto"/>
        <w:rPr>
          <w:rFonts w:cs="Calibri"/>
        </w:rPr>
      </w:pPr>
    </w:p>
    <w:p w14:paraId="124CD14B" w14:textId="3DF6A05F" w:rsidR="00257B4D" w:rsidRDefault="00257B4D">
      <w:pPr>
        <w:spacing w:after="0" w:line="240" w:lineRule="auto"/>
        <w:rPr>
          <w:rFonts w:cs="Calibri"/>
        </w:rPr>
      </w:pPr>
    </w:p>
    <w:p w14:paraId="124CD14C" w14:textId="54E42618" w:rsidR="00257B4D" w:rsidRDefault="00257B4D">
      <w:pPr>
        <w:spacing w:after="0" w:line="240" w:lineRule="auto"/>
        <w:rPr>
          <w:rFonts w:cs="Calibri"/>
        </w:rPr>
      </w:pPr>
    </w:p>
    <w:p w14:paraId="124CD14D" w14:textId="4B13CF67" w:rsidR="00257B4D" w:rsidRDefault="009D7EE7">
      <w:pPr>
        <w:spacing w:after="0" w:line="240" w:lineRule="auto"/>
        <w:rPr>
          <w:rFonts w:cs="Calibri"/>
        </w:rPr>
      </w:pPr>
      <w:r>
        <w:rPr>
          <w:rFonts w:cs="Calibri"/>
        </w:rPr>
        <w:t>Hilbe (2014, 79-80) – P__dist funkcia</w:t>
      </w:r>
    </w:p>
    <w:p w14:paraId="3C0D42F2" w14:textId="7BEE3B9E" w:rsidR="00F31D80" w:rsidRDefault="00F31D80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Hilbe (2014, </w:t>
      </w:r>
      <w:r>
        <w:rPr>
          <w:rFonts w:cs="Calibri"/>
        </w:rPr>
        <w:t>136</w:t>
      </w:r>
      <w:r>
        <w:rPr>
          <w:rFonts w:cs="Calibri"/>
        </w:rPr>
        <w:t>)</w:t>
      </w:r>
      <w:r>
        <w:rPr>
          <w:rFonts w:cs="Calibri"/>
        </w:rPr>
        <w:t xml:space="preserve"> – under dispersion – 210 – cela kap. 8</w:t>
      </w:r>
    </w:p>
    <w:p w14:paraId="15616C6D" w14:textId="5EF72236" w:rsidR="00F31D80" w:rsidRDefault="00F31D80">
      <w:pPr>
        <w:spacing w:after="0" w:line="240" w:lineRule="auto"/>
        <w:rPr>
          <w:rFonts w:ascii="Berkeley-Medium" w:hAnsi="Berkeley-Medium"/>
          <w:color w:val="000000"/>
          <w:sz w:val="18"/>
          <w:szCs w:val="18"/>
        </w:rPr>
      </w:pPr>
      <w:r w:rsidRPr="00F31D80">
        <w:rPr>
          <w:rFonts w:ascii="Berkeley-Medium" w:hAnsi="Berkeley-Medium"/>
          <w:color w:val="000000"/>
          <w:sz w:val="18"/>
          <w:szCs w:val="18"/>
        </w:rPr>
        <w:t>underdispersion, xii, 11, 12, 33, 48, 83, 124,</w:t>
      </w:r>
      <w:r w:rsidRPr="00F31D80">
        <w:rPr>
          <w:rFonts w:ascii="Berkeley-Medium" w:hAnsi="Berkeley-Medium"/>
          <w:color w:val="000000"/>
          <w:sz w:val="18"/>
          <w:szCs w:val="18"/>
        </w:rPr>
        <w:br/>
        <w:t>136, 156, 212–214, 221, 245</w:t>
      </w:r>
    </w:p>
    <w:p w14:paraId="4C33AF6C" w14:textId="09049D8C" w:rsidR="00F31D80" w:rsidRDefault="00F31D80">
      <w:pPr>
        <w:spacing w:after="0" w:line="240" w:lineRule="auto"/>
        <w:rPr>
          <w:rFonts w:ascii="Berkeley-Medium" w:hAnsi="Berkeley-Medium"/>
          <w:color w:val="000000"/>
          <w:sz w:val="18"/>
          <w:szCs w:val="18"/>
        </w:rPr>
      </w:pPr>
    </w:p>
    <w:p w14:paraId="4FE7AB86" w14:textId="36BD39F8" w:rsidR="00F31D80" w:rsidRDefault="00F31D80">
      <w:pPr>
        <w:spacing w:after="0" w:line="240" w:lineRule="auto"/>
        <w:rPr>
          <w:rFonts w:cs="Calibri"/>
        </w:rPr>
      </w:pPr>
    </w:p>
    <w:p w14:paraId="1990F19A" w14:textId="3AD3140F" w:rsidR="009D7EE7" w:rsidRDefault="009D7EE7">
      <w:pPr>
        <w:spacing w:after="0" w:line="240" w:lineRule="auto"/>
        <w:rPr>
          <w:rFonts w:cs="Calibri"/>
        </w:rPr>
      </w:pPr>
    </w:p>
    <w:p w14:paraId="2EF27046" w14:textId="25C9EB2C" w:rsidR="009D7EE7" w:rsidRDefault="009D7EE7">
      <w:pPr>
        <w:spacing w:after="0" w:line="240" w:lineRule="auto"/>
        <w:rPr>
          <w:rFonts w:cs="Calibri"/>
        </w:rPr>
      </w:pPr>
    </w:p>
    <w:p w14:paraId="4E4FC43C" w14:textId="77777777" w:rsidR="009D7EE7" w:rsidRDefault="009D7EE7">
      <w:pPr>
        <w:spacing w:after="0" w:line="240" w:lineRule="auto"/>
        <w:rPr>
          <w:rFonts w:cs="Calibri"/>
        </w:rPr>
      </w:pPr>
    </w:p>
    <w:p w14:paraId="124CD14E" w14:textId="1F8EE7A5" w:rsidR="00257B4D" w:rsidRDefault="00955809">
      <w:pPr>
        <w:spacing w:after="0" w:line="240" w:lineRule="auto"/>
        <w:rPr>
          <w:rFonts w:cs="Calibri"/>
        </w:rPr>
      </w:pPr>
      <w:r>
        <w:rPr>
          <w:rFonts w:cs="Calibri"/>
        </w:rPr>
        <w:t>V našom prípade nemôžeme tvrdiť, že výsledky skúmaného súboru sú všeobecne aplikovateľné, ale platia len na daný súbor-</w:t>
      </w:r>
    </w:p>
    <w:p w14:paraId="124CD14F" w14:textId="77777777" w:rsidR="00257B4D" w:rsidRDefault="00257B4D">
      <w:pPr>
        <w:spacing w:after="0" w:line="240" w:lineRule="auto"/>
        <w:rPr>
          <w:rFonts w:cs="Calibri"/>
        </w:rPr>
      </w:pPr>
    </w:p>
    <w:p w14:paraId="124CD150" w14:textId="77777777" w:rsidR="00257B4D" w:rsidRDefault="00257B4D">
      <w:pPr>
        <w:spacing w:after="0" w:line="240" w:lineRule="auto"/>
        <w:rPr>
          <w:rFonts w:cs="Calibri"/>
        </w:rPr>
      </w:pPr>
    </w:p>
    <w:p w14:paraId="124CD151" w14:textId="77777777" w:rsidR="00257B4D" w:rsidRDefault="00257B4D">
      <w:pPr>
        <w:spacing w:after="0" w:line="240" w:lineRule="auto"/>
        <w:rPr>
          <w:rFonts w:cs="Calibri"/>
        </w:rPr>
      </w:pPr>
    </w:p>
    <w:p w14:paraId="124CD152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3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4" w14:textId="77777777" w:rsidR="00257B4D" w:rsidRDefault="00257B4D">
      <w:pPr>
        <w:spacing w:after="0" w:line="240" w:lineRule="auto"/>
        <w:rPr>
          <w:rFonts w:ascii="Calibri Light" w:hAnsi="Calibri Light" w:cs="Calibri Light"/>
        </w:rPr>
      </w:pPr>
    </w:p>
    <w:p w14:paraId="124CD155" w14:textId="77777777" w:rsidR="00257B4D" w:rsidRDefault="00257B4D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p w14:paraId="124CD156" w14:textId="77777777" w:rsidR="00257B4D" w:rsidRDefault="00955809">
      <w:pPr>
        <w:spacing w:after="24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lastRenderedPageBreak/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  <w:r>
        <w:rPr>
          <w:rFonts w:ascii="Calibri Light" w:eastAsia="Times New Roman" w:hAnsi="Calibri Light" w:cs="Calibri Light"/>
          <w:sz w:val="24"/>
          <w:szCs w:val="24"/>
          <w:lang w:eastAsia="sk-SK"/>
        </w:rPr>
        <w:br/>
      </w:r>
    </w:p>
    <w:p w14:paraId="124CD157" w14:textId="77777777" w:rsidR="00257B4D" w:rsidRDefault="00257B4D">
      <w:pPr>
        <w:spacing w:after="240" w:line="240" w:lineRule="auto"/>
        <w:rPr>
          <w:rFonts w:ascii="Calibri Light" w:eastAsia="Times New Roman" w:hAnsi="Calibri Light" w:cs="Calibri Light"/>
          <w:sz w:val="24"/>
          <w:szCs w:val="24"/>
          <w:lang w:eastAsia="sk-SK"/>
        </w:rPr>
      </w:pPr>
    </w:p>
    <w:sectPr w:rsidR="00257B4D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CD118" w14:textId="77777777" w:rsidR="00955809" w:rsidRDefault="00955809">
      <w:pPr>
        <w:spacing w:after="0" w:line="240" w:lineRule="auto"/>
      </w:pPr>
      <w:r>
        <w:separator/>
      </w:r>
    </w:p>
  </w:endnote>
  <w:endnote w:type="continuationSeparator" w:id="0">
    <w:p w14:paraId="124CD11A" w14:textId="77777777" w:rsidR="00955809" w:rsidRDefault="0095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erkeley-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CD114" w14:textId="77777777" w:rsidR="00955809" w:rsidRDefault="009558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4CD116" w14:textId="77777777" w:rsidR="00955809" w:rsidRDefault="00955809">
      <w:pPr>
        <w:spacing w:after="0" w:line="240" w:lineRule="auto"/>
      </w:pPr>
      <w:r>
        <w:continuationSeparator/>
      </w:r>
    </w:p>
  </w:footnote>
  <w:footnote w:id="1">
    <w:p w14:paraId="124CD114" w14:textId="77777777" w:rsidR="00955809" w:rsidRDefault="00955809">
      <w:pPr>
        <w:pStyle w:val="FootnoteText"/>
      </w:pPr>
      <w:r>
        <w:rPr>
          <w:rStyle w:val="FootnoteReference"/>
        </w:rPr>
        <w:footnoteRef/>
      </w:r>
      <w:r>
        <w:t xml:space="preserve"> Psych package, stat_desc()</w:t>
      </w:r>
    </w:p>
  </w:footnote>
  <w:footnote w:id="2">
    <w:p w14:paraId="124CD115" w14:textId="77777777" w:rsidR="00955809" w:rsidRDefault="009558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Ak by sme na základe týchto dát spravili jednoduchý lineárny model, zistili by sme, že tieto dáta neslňajú ani ďalšie predpoklady ako homogenita a sčasti aj nezávislosť</w:t>
      </w:r>
    </w:p>
  </w:footnote>
  <w:footnote w:id="3">
    <w:p w14:paraId="124CD116" w14:textId="77777777" w:rsidR="00955809" w:rsidRDefault="009558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veľmi </w:t>
      </w:r>
      <w:r>
        <w:t>podobné výsledky sme dosiahli aj pri použití Kednall’s tau koeficientu.</w:t>
      </w:r>
    </w:p>
  </w:footnote>
  <w:footnote w:id="4">
    <w:p w14:paraId="1C121E69" w14:textId="77777777" w:rsidR="00955809" w:rsidRDefault="00955809" w:rsidP="007A73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Za použitia balíka (package mgcv)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7B4D"/>
    <w:rsid w:val="000E73DB"/>
    <w:rsid w:val="0016054D"/>
    <w:rsid w:val="00180BA9"/>
    <w:rsid w:val="00257B4D"/>
    <w:rsid w:val="002839CA"/>
    <w:rsid w:val="002D2976"/>
    <w:rsid w:val="00317346"/>
    <w:rsid w:val="00430BA7"/>
    <w:rsid w:val="00565038"/>
    <w:rsid w:val="00577507"/>
    <w:rsid w:val="00663D08"/>
    <w:rsid w:val="007A7343"/>
    <w:rsid w:val="0082229A"/>
    <w:rsid w:val="00886894"/>
    <w:rsid w:val="00941906"/>
    <w:rsid w:val="00955809"/>
    <w:rsid w:val="009B4A57"/>
    <w:rsid w:val="009D7EE7"/>
    <w:rsid w:val="009E52F0"/>
    <w:rsid w:val="00A06BDE"/>
    <w:rsid w:val="00A377ED"/>
    <w:rsid w:val="00AA26AE"/>
    <w:rsid w:val="00B208B2"/>
    <w:rsid w:val="00B70285"/>
    <w:rsid w:val="00C22E81"/>
    <w:rsid w:val="00C43777"/>
    <w:rsid w:val="00D17C73"/>
    <w:rsid w:val="00DD7C31"/>
    <w:rsid w:val="00F31D80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D112"/>
  <w15:docId w15:val="{CB01243A-DF4D-46F8-91E6-D7314825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k-SK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2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29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2229A"/>
    <w:rPr>
      <w:rFonts w:ascii="Times-Italic" w:hAnsi="Times-Italic" w:hint="default"/>
      <w:b w:val="0"/>
      <w:bCs w:val="0"/>
      <w:i/>
      <w:iCs/>
      <w:color w:val="131313"/>
      <w:sz w:val="20"/>
      <w:szCs w:val="20"/>
    </w:rPr>
  </w:style>
  <w:style w:type="character" w:customStyle="1" w:styleId="fontstyle21">
    <w:name w:val="fontstyle21"/>
    <w:basedOn w:val="DefaultParagraphFont"/>
    <w:rsid w:val="0082229A"/>
    <w:rPr>
      <w:rFonts w:ascii="MTSY" w:hAnsi="MTSY" w:hint="default"/>
      <w:b w:val="0"/>
      <w:bCs w:val="0"/>
      <w:i w:val="0"/>
      <w:iCs w:val="0"/>
      <w:color w:val="131313"/>
      <w:sz w:val="20"/>
      <w:szCs w:val="20"/>
    </w:rPr>
  </w:style>
  <w:style w:type="character" w:customStyle="1" w:styleId="fontstyle31">
    <w:name w:val="fontstyle31"/>
    <w:basedOn w:val="DefaultParagraphFont"/>
    <w:rsid w:val="0082229A"/>
    <w:rPr>
      <w:rFonts w:ascii="RMTMI" w:hAnsi="RMTMI" w:hint="default"/>
      <w:b w:val="0"/>
      <w:bCs w:val="0"/>
      <w:i/>
      <w:iCs/>
      <w:color w:val="131313"/>
      <w:sz w:val="20"/>
      <w:szCs w:val="20"/>
    </w:rPr>
  </w:style>
  <w:style w:type="character" w:customStyle="1" w:styleId="fontstyle41">
    <w:name w:val="fontstyle41"/>
    <w:basedOn w:val="DefaultParagraphFont"/>
    <w:rsid w:val="0082229A"/>
    <w:rPr>
      <w:rFonts w:ascii="Times-Roman" w:hAnsi="Times-Roman" w:hint="default"/>
      <w:b w:val="0"/>
      <w:bCs w:val="0"/>
      <w:i w:val="0"/>
      <w:iCs w:val="0"/>
      <w:color w:val="13131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cran/mg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391B-79C4-4CCD-8EB5-7103BF68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1457</Words>
  <Characters>8571</Characters>
  <Application>Microsoft Office Word</Application>
  <DocSecurity>0</DocSecurity>
  <Lines>259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Apiar</dc:creator>
  <dc:description/>
  <cp:lastModifiedBy>Peter Apiar</cp:lastModifiedBy>
  <cp:revision>2</cp:revision>
  <dcterms:created xsi:type="dcterms:W3CDTF">2021-02-27T12:00:00Z</dcterms:created>
  <dcterms:modified xsi:type="dcterms:W3CDTF">2021-02-27T12:00:00Z</dcterms:modified>
</cp:coreProperties>
</file>