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546FA2" w:rsidP="48EA8901" w:rsidRDefault="71546FA2" w14:paraId="312C062D" w14:textId="60B27E0E">
      <w:pPr>
        <w:spacing w:line="360" w:lineRule="auto"/>
        <w:rPr>
          <w:rFonts w:ascii="Cambria" w:hAnsi="Cambria" w:eastAsia="Cambria" w:cs="Cambria"/>
          <w:sz w:val="28"/>
          <w:szCs w:val="28"/>
        </w:rPr>
      </w:pPr>
      <w:r w:rsidRPr="48EA8901" w:rsidR="71546FA2">
        <w:rPr>
          <w:rFonts w:ascii="Cambria" w:hAnsi="Cambria" w:eastAsia="Cambria" w:cs="Cambria"/>
          <w:sz w:val="28"/>
          <w:szCs w:val="28"/>
        </w:rPr>
        <w:t>Bibliography</w:t>
      </w:r>
    </w:p>
    <w:p w:rsidR="71546FA2" w:rsidP="48EA8901" w:rsidRDefault="71546FA2" w14:paraId="66147B52" w14:textId="7CCB3F81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>Bada, Maria, and Jason R.C. Nurse. 2019. ‘Developing Cybersecurity Education and Awareness Programmes for Small- and Medium-Sized Enterprises (SMEs)</w:t>
      </w:r>
      <w:r w:rsidRPr="48EA8901" w:rsidR="71546FA2">
        <w:rPr>
          <w:rFonts w:ascii="Cambria" w:hAnsi="Cambria" w:eastAsia="Cambria" w:cs="Cambria"/>
          <w:sz w:val="24"/>
          <w:szCs w:val="24"/>
        </w:rPr>
        <w:t>’.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Information &amp; Computer Security 27 (3): 393–410. https://doi.org/10.1108/ICS-07-2018-0080.</w:t>
      </w:r>
    </w:p>
    <w:p w:rsidR="71546FA2" w:rsidP="48EA8901" w:rsidRDefault="71546FA2" w14:paraId="78AB4ECA" w14:textId="5F60DC5B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>Dinkova</w:t>
      </w:r>
      <w:r w:rsidRPr="48EA8901" w:rsidR="71546FA2">
        <w:rPr>
          <w:rFonts w:ascii="Cambria" w:hAnsi="Cambria" w:eastAsia="Cambria" w:cs="Cambria"/>
          <w:sz w:val="24"/>
          <w:szCs w:val="24"/>
        </w:rPr>
        <w:t>, Milena, Ramy El-</w:t>
      </w:r>
      <w:r w:rsidRPr="48EA8901" w:rsidR="71546FA2">
        <w:rPr>
          <w:rFonts w:ascii="Cambria" w:hAnsi="Cambria" w:eastAsia="Cambria" w:cs="Cambria"/>
          <w:sz w:val="24"/>
          <w:szCs w:val="24"/>
        </w:rPr>
        <w:t>Dardiry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, and Bastiaan </w:t>
      </w:r>
      <w:r w:rsidRPr="48EA8901" w:rsidR="71546FA2">
        <w:rPr>
          <w:rFonts w:ascii="Cambria" w:hAnsi="Cambria" w:eastAsia="Cambria" w:cs="Cambria"/>
          <w:sz w:val="24"/>
          <w:szCs w:val="24"/>
        </w:rPr>
        <w:t>Overvest</w:t>
      </w:r>
      <w:r w:rsidRPr="48EA8901" w:rsidR="71546FA2">
        <w:rPr>
          <w:rFonts w:ascii="Cambria" w:hAnsi="Cambria" w:eastAsia="Cambria" w:cs="Cambria"/>
          <w:sz w:val="24"/>
          <w:szCs w:val="24"/>
        </w:rPr>
        <w:t>. 2023. ‘Should Firms Invest More in Cybersecurity?’ Small Business Economics, September. https://doi.org/10.1007/s11187-023-00803-0.</w:t>
      </w:r>
    </w:p>
    <w:p w:rsidR="71546FA2" w:rsidP="48EA8901" w:rsidRDefault="71546FA2" w14:paraId="097E66A3" w14:textId="12C2D485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>Esterik-Plasmeijer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, Pauline W.J. van, and W. Fred van </w:t>
      </w:r>
      <w:r w:rsidRPr="48EA8901" w:rsidR="71546FA2">
        <w:rPr>
          <w:rFonts w:ascii="Cambria" w:hAnsi="Cambria" w:eastAsia="Cambria" w:cs="Cambria"/>
          <w:sz w:val="24"/>
          <w:szCs w:val="24"/>
        </w:rPr>
        <w:t>Raaij</w:t>
      </w:r>
      <w:r w:rsidRPr="48EA8901" w:rsidR="71546FA2">
        <w:rPr>
          <w:rFonts w:ascii="Cambria" w:hAnsi="Cambria" w:eastAsia="Cambria" w:cs="Cambria"/>
          <w:sz w:val="24"/>
          <w:szCs w:val="24"/>
        </w:rPr>
        <w:t>. 2017. ‘Banking System Trust, Bank Trust, and Bank Loyalty</w:t>
      </w:r>
      <w:r w:rsidRPr="48EA8901" w:rsidR="71546FA2">
        <w:rPr>
          <w:rFonts w:ascii="Cambria" w:hAnsi="Cambria" w:eastAsia="Cambria" w:cs="Cambria"/>
          <w:sz w:val="24"/>
          <w:szCs w:val="24"/>
        </w:rPr>
        <w:t>’.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International Journal of Bank Marketing 35 (1): 97–111. https://doi.org/10.1108/IJBM-12-2015-0195.</w:t>
      </w:r>
    </w:p>
    <w:p w:rsidR="71546FA2" w:rsidP="48EA8901" w:rsidRDefault="71546FA2" w14:paraId="5BB65889" w14:textId="48B97E64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>‘Evaluating Self-Efficacy Pertaining to Cybersecurity for Small Businesses</w:t>
      </w:r>
      <w:r w:rsidRPr="48EA8901" w:rsidR="71546FA2">
        <w:rPr>
          <w:rFonts w:ascii="Cambria" w:hAnsi="Cambria" w:eastAsia="Cambria" w:cs="Cambria"/>
          <w:sz w:val="24"/>
          <w:szCs w:val="24"/>
        </w:rPr>
        <w:t>’.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2020. Journal of Applied Business and Economics 22 (12). https://doi.org/10.33423/jabe.v22i12.3876.</w:t>
      </w:r>
    </w:p>
    <w:p w:rsidR="71546FA2" w:rsidP="48EA8901" w:rsidRDefault="71546FA2" w14:paraId="02925905" w14:textId="2F9EBFEF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>Feagin, Roger D. 2015. ‘The Value of Cyber Security in Small Business</w:t>
      </w:r>
      <w:r w:rsidRPr="48EA8901" w:rsidR="71546FA2">
        <w:rPr>
          <w:rFonts w:ascii="Cambria" w:hAnsi="Cambria" w:eastAsia="Cambria" w:cs="Cambria"/>
          <w:sz w:val="24"/>
          <w:szCs w:val="24"/>
        </w:rPr>
        <w:t>’.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ProQuest Dissertations, no. 1599731. https://www.proquest.com/openview/ddea1013a32e025dd0faa3e5387c9a02/1?pq-origsite=gscholar&amp;cbl=18750.</w:t>
      </w:r>
    </w:p>
    <w:p w:rsidR="71546FA2" w:rsidP="48EA8901" w:rsidRDefault="71546FA2" w14:paraId="6C164CE3" w14:textId="189E8139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>Gafni, Ruti, and Yair Levy. 2023. ‘Experts’ Feedback on the Cybersecurity Footprint Elements: In Pursuit of a Quantifiable Measure of SMBs’ Cybersecurity Posture</w:t>
      </w:r>
      <w:r w:rsidRPr="48EA8901" w:rsidR="71546FA2">
        <w:rPr>
          <w:rFonts w:ascii="Cambria" w:hAnsi="Cambria" w:eastAsia="Cambria" w:cs="Cambria"/>
          <w:sz w:val="24"/>
          <w:szCs w:val="24"/>
        </w:rPr>
        <w:t>’.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Information &amp; Computer Security, July. https://doi.org/10.1108/ICS-05-2023-0083.</w:t>
      </w:r>
    </w:p>
    <w:p w:rsidR="71546FA2" w:rsidP="48EA8901" w:rsidRDefault="71546FA2" w14:paraId="705C4503" w14:textId="6692AB2A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>Hall, Joanne, Tracy Tam, and Asha Rao. 2021. ‘The Good, the Bad and the Missing: A Narrative Review of Cyber-Security Implications for Australian Small Businesses</w:t>
      </w:r>
      <w:r w:rsidRPr="48EA8901" w:rsidR="71546FA2">
        <w:rPr>
          <w:rFonts w:ascii="Cambria" w:hAnsi="Cambria" w:eastAsia="Cambria" w:cs="Cambria"/>
          <w:sz w:val="24"/>
          <w:szCs w:val="24"/>
        </w:rPr>
        <w:t>’.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Computers &amp; Security 109 (October): 102385. https://doi.org/10.1016/j.cose.2021.102385.</w:t>
      </w:r>
    </w:p>
    <w:p w:rsidR="71546FA2" w:rsidP="48EA8901" w:rsidRDefault="71546FA2" w14:paraId="7E15443D" w14:textId="48C45846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>Kniberg, Henrik, and Mattias Skarin. 2010. ‘Kanban and Scrum - Making the Most of Both</w:t>
      </w:r>
      <w:r w:rsidRPr="48EA8901" w:rsidR="71546FA2">
        <w:rPr>
          <w:rFonts w:ascii="Cambria" w:hAnsi="Cambria" w:eastAsia="Cambria" w:cs="Cambria"/>
          <w:sz w:val="24"/>
          <w:szCs w:val="24"/>
        </w:rPr>
        <w:t>’.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</w:t>
      </w:r>
      <w:r w:rsidRPr="48EA8901" w:rsidR="71546FA2">
        <w:rPr>
          <w:rFonts w:ascii="Cambria" w:hAnsi="Cambria" w:eastAsia="Cambria" w:cs="Cambria"/>
          <w:sz w:val="24"/>
          <w:szCs w:val="24"/>
        </w:rPr>
        <w:t>InfoQ</w:t>
      </w:r>
      <w:r w:rsidRPr="48EA8901" w:rsidR="71546FA2">
        <w:rPr>
          <w:rFonts w:ascii="Cambria" w:hAnsi="Cambria" w:eastAsia="Cambria" w:cs="Cambria"/>
          <w:sz w:val="24"/>
          <w:szCs w:val="24"/>
        </w:rPr>
        <w:t>. 2010. https://www.infoq.com/minibooks/kanban-scrum-minibook/.</w:t>
      </w:r>
    </w:p>
    <w:p w:rsidR="71546FA2" w:rsidP="48EA8901" w:rsidRDefault="71546FA2" w14:paraId="0C6EEE9D" w14:textId="3B6BAAFF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>Loshchenko</w:t>
      </w:r>
      <w:r w:rsidRPr="48EA8901" w:rsidR="71546FA2">
        <w:rPr>
          <w:rFonts w:ascii="Cambria" w:hAnsi="Cambria" w:eastAsia="Cambria" w:cs="Cambria"/>
          <w:sz w:val="24"/>
          <w:szCs w:val="24"/>
        </w:rPr>
        <w:t>, Vitaliy, and Olga Zvereva. 2022. ‘Integrated Approach to Cybersecurity of a Small-Sized Business System</w:t>
      </w:r>
      <w:r w:rsidRPr="48EA8901" w:rsidR="71546FA2">
        <w:rPr>
          <w:rFonts w:ascii="Cambria" w:hAnsi="Cambria" w:eastAsia="Cambria" w:cs="Cambria"/>
          <w:sz w:val="24"/>
          <w:szCs w:val="24"/>
        </w:rPr>
        <w:t>’.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</w:t>
      </w:r>
      <w:r w:rsidRPr="48EA8901" w:rsidR="30886D46">
        <w:rPr>
          <w:rFonts w:ascii="Cambria" w:hAnsi="Cambria" w:eastAsia="Cambria" w:cs="Cambria"/>
          <w:sz w:val="24"/>
          <w:szCs w:val="24"/>
        </w:rPr>
        <w:t>In,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110014.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Rhodes, Greece. https://doi.org/10.1063/5.0081487.</w:t>
      </w:r>
    </w:p>
    <w:p w:rsidR="71546FA2" w:rsidP="48EA8901" w:rsidRDefault="71546FA2" w14:paraId="2AA1DDBA" w14:textId="287A9675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 xml:space="preserve">Mathiassen, Lars. 2018. Object-Oriented Analysis &amp; Design. 2. edition. Hadsund: </w:t>
      </w:r>
      <w:r w:rsidRPr="48EA8901" w:rsidR="71546FA2">
        <w:rPr>
          <w:rFonts w:ascii="Cambria" w:hAnsi="Cambria" w:eastAsia="Cambria" w:cs="Cambria"/>
          <w:sz w:val="24"/>
          <w:szCs w:val="24"/>
        </w:rPr>
        <w:t>Metodica</w:t>
      </w:r>
      <w:r w:rsidRPr="48EA8901" w:rsidR="71546FA2">
        <w:rPr>
          <w:rFonts w:ascii="Cambria" w:hAnsi="Cambria" w:eastAsia="Cambria" w:cs="Cambria"/>
          <w:sz w:val="24"/>
          <w:szCs w:val="24"/>
        </w:rPr>
        <w:t>.</w:t>
      </w:r>
    </w:p>
    <w:p w:rsidR="71546FA2" w:rsidP="48EA8901" w:rsidRDefault="71546FA2" w14:paraId="180A44F9" w14:textId="31157536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>Radigan, Dan. n.d. ‘Story Points and Estimation</w:t>
      </w:r>
      <w:r w:rsidRPr="48EA8901" w:rsidR="71546FA2">
        <w:rPr>
          <w:rFonts w:ascii="Cambria" w:hAnsi="Cambria" w:eastAsia="Cambria" w:cs="Cambria"/>
          <w:sz w:val="24"/>
          <w:szCs w:val="24"/>
        </w:rPr>
        <w:t>’.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Atlassian. https://www.atlassian.com/agile/project-management/estimation.</w:t>
      </w:r>
    </w:p>
    <w:p w:rsidR="71546FA2" w:rsidP="48EA8901" w:rsidRDefault="71546FA2" w14:paraId="1186A885" w14:textId="3375A671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>Rehkopf, Max. Unknown. ‘User Stories with Examples and a Template</w:t>
      </w:r>
      <w:r w:rsidRPr="48EA8901" w:rsidR="71546FA2">
        <w:rPr>
          <w:rFonts w:ascii="Cambria" w:hAnsi="Cambria" w:eastAsia="Cambria" w:cs="Cambria"/>
          <w:sz w:val="24"/>
          <w:szCs w:val="24"/>
        </w:rPr>
        <w:t>’.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Unknown. https://www.atlassian.com/agile/project-management/user-stories.</w:t>
      </w:r>
    </w:p>
    <w:p w:rsidR="71546FA2" w:rsidP="48EA8901" w:rsidRDefault="71546FA2" w14:paraId="695101E4" w14:textId="2AB3A300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 xml:space="preserve">Sommerville, Ian. 2016. Software Engineering. Tenth edition, Global edition. Always Learning. </w:t>
      </w:r>
      <w:r w:rsidRPr="48EA8901" w:rsidR="71546FA2">
        <w:rPr>
          <w:rFonts w:ascii="Cambria" w:hAnsi="Cambria" w:eastAsia="Cambria" w:cs="Cambria"/>
          <w:sz w:val="24"/>
          <w:szCs w:val="24"/>
        </w:rPr>
        <w:t>Boston: Pearson.</w:t>
      </w:r>
    </w:p>
    <w:p w:rsidR="71546FA2" w:rsidP="48EA8901" w:rsidRDefault="71546FA2" w14:paraId="299D7D6E" w14:textId="53640FCF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>Szewczyk, Kacper. n.d. ‘Story Point vs Hours: Agile Metrics Face-Off</w:t>
      </w:r>
      <w:r w:rsidRPr="48EA8901" w:rsidR="71546FA2">
        <w:rPr>
          <w:rFonts w:ascii="Cambria" w:hAnsi="Cambria" w:eastAsia="Cambria" w:cs="Cambria"/>
          <w:sz w:val="24"/>
          <w:szCs w:val="24"/>
        </w:rPr>
        <w:t>’.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Blog. </w:t>
      </w:r>
      <w:r w:rsidRPr="48EA8901" w:rsidR="71546FA2">
        <w:rPr>
          <w:rFonts w:ascii="Cambria" w:hAnsi="Cambria" w:eastAsia="Cambria" w:cs="Cambria"/>
          <w:sz w:val="24"/>
          <w:szCs w:val="24"/>
        </w:rPr>
        <w:t>Rst.Software</w:t>
      </w:r>
      <w:r w:rsidRPr="48EA8901" w:rsidR="71546FA2">
        <w:rPr>
          <w:rFonts w:ascii="Cambria" w:hAnsi="Cambria" w:eastAsia="Cambria" w:cs="Cambria"/>
          <w:sz w:val="24"/>
          <w:szCs w:val="24"/>
        </w:rPr>
        <w:t>. Accessed 20 September 2023. https://www.rst.software/blog/story-point-vs-hours.</w:t>
      </w:r>
    </w:p>
    <w:p w:rsidR="71546FA2" w:rsidP="48EA8901" w:rsidRDefault="71546FA2" w14:paraId="1CDB4EF8" w14:textId="278439B6">
      <w:pPr>
        <w:pStyle w:val="Normal"/>
        <w:spacing w:after="0" w:afterAutospacing="off" w:line="360" w:lineRule="auto"/>
        <w:ind w:left="720" w:hanging="720"/>
      </w:pPr>
      <w:r w:rsidRPr="48EA8901" w:rsidR="71546FA2">
        <w:rPr>
          <w:rFonts w:ascii="Cambria" w:hAnsi="Cambria" w:eastAsia="Cambria" w:cs="Cambria"/>
          <w:sz w:val="24"/>
          <w:szCs w:val="24"/>
        </w:rPr>
        <w:t>Walsh, Karen. 2023. Security-First Compliance for Small Businesses. 1st ed. Boca Raton: CRC Press. https://doi.org/10.1201/9781003128588.</w:t>
      </w:r>
    </w:p>
    <w:p w:rsidR="71546FA2" w:rsidP="48EA8901" w:rsidRDefault="71546FA2" w14:paraId="5439FA3E" w14:textId="40FD75DC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  <w:r w:rsidRPr="48EA8901" w:rsidR="71546FA2">
        <w:rPr>
          <w:rFonts w:ascii="Cambria" w:hAnsi="Cambria" w:eastAsia="Cambria" w:cs="Cambria"/>
          <w:sz w:val="24"/>
          <w:szCs w:val="24"/>
        </w:rPr>
        <w:t>Yu, Pay Ling, M S Balaji, and Kok Wei Khong. 2015. ‘Building Trust in Internet Banking: A Trustworthiness Perspective</w:t>
      </w:r>
      <w:r w:rsidRPr="48EA8901" w:rsidR="71546FA2">
        <w:rPr>
          <w:rFonts w:ascii="Cambria" w:hAnsi="Cambria" w:eastAsia="Cambria" w:cs="Cambria"/>
          <w:sz w:val="24"/>
          <w:szCs w:val="24"/>
        </w:rPr>
        <w:t>’.</w:t>
      </w:r>
      <w:r w:rsidRPr="48EA8901" w:rsidR="71546FA2">
        <w:rPr>
          <w:rFonts w:ascii="Cambria" w:hAnsi="Cambria" w:eastAsia="Cambria" w:cs="Cambria"/>
          <w:sz w:val="24"/>
          <w:szCs w:val="24"/>
        </w:rPr>
        <w:t xml:space="preserve"> Industrial Management &amp; Data Systems 115 (2): 235–52. https://doi.org/10.1108/IMDS-09-2014-0262.</w:t>
      </w:r>
    </w:p>
    <w:p w:rsidR="48EA8901" w:rsidP="48EA8901" w:rsidRDefault="48EA8901" w14:paraId="58619EC1" w14:textId="6F22B0A2">
      <w:pPr>
        <w:pStyle w:val="Normal"/>
        <w:spacing w:after="0" w:afterAutospacing="off" w:line="360" w:lineRule="auto"/>
        <w:ind w:left="720" w:hanging="720"/>
        <w:rPr>
          <w:rFonts w:ascii="Cambria" w:hAnsi="Cambria" w:eastAsia="Cambria" w:cs="Cambria"/>
          <w:sz w:val="24"/>
          <w:szCs w:val="24"/>
        </w:rPr>
      </w:pPr>
    </w:p>
    <w:p w:rsidR="48EA8901" w:rsidP="48EA8901" w:rsidRDefault="48EA8901" w14:paraId="3435855A" w14:textId="35782467">
      <w:pPr>
        <w:pStyle w:val="Normal"/>
        <w:spacing w:line="360" w:lineRule="auto"/>
        <w:rPr>
          <w:rFonts w:ascii="Cambria" w:hAnsi="Cambria" w:eastAsia="Cambria" w:cs="Cambria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F6574"/>
    <w:rsid w:val="1A3ADD6A"/>
    <w:rsid w:val="1E6F0D14"/>
    <w:rsid w:val="240F6574"/>
    <w:rsid w:val="30886D46"/>
    <w:rsid w:val="48EA8901"/>
    <w:rsid w:val="4DBDFA24"/>
    <w:rsid w:val="6E7EB66F"/>
    <w:rsid w:val="7154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6574"/>
  <w15:chartTrackingRefBased/>
  <w15:docId w15:val="{7114817D-DD3E-491F-833B-78AEF18BB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01B703-14C6-4368-AFA9-674BDDF6B917}"/>
</file>

<file path=customXml/itemProps2.xml><?xml version="1.0" encoding="utf-8"?>
<ds:datastoreItem xmlns:ds="http://schemas.openxmlformats.org/officeDocument/2006/customXml" ds:itemID="{A6A287F7-C713-4530-A7BA-3DAF83999077}"/>
</file>

<file path=customXml/itemProps3.xml><?xml version="1.0" encoding="utf-8"?>
<ds:datastoreItem xmlns:ds="http://schemas.openxmlformats.org/officeDocument/2006/customXml" ds:itemID="{26316452-D490-410D-872D-DA9D71ACC6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Hinley Deng</dc:creator>
  <cp:keywords/>
  <dc:description/>
  <cp:lastModifiedBy>Victoria Hinley Deng</cp:lastModifiedBy>
  <cp:revision>2</cp:revision>
  <dcterms:created xsi:type="dcterms:W3CDTF">2023-11-09T11:49:10Z</dcterms:created>
  <dcterms:modified xsi:type="dcterms:W3CDTF">2023-11-09T11:53:06Z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