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sz w:val="36"/>
          <w:szCs w:val="36"/>
        </w:rPr>
      </w:pPr>
      <w:r>
        <w:rPr>
          <w:b/>
          <w:bCs/>
          <w:sz w:val="36"/>
          <w:szCs w:val="36"/>
        </w:rPr>
        <w:t xml:space="preserve">V</w:t>
      </w:r>
      <w:r>
        <w:rPr>
          <w:b/>
          <w:bCs/>
          <w:sz w:val="36"/>
          <w:szCs w:val="36"/>
        </w:rPr>
        <w:t xml:space="preserve">ulnerabilities</w:t>
      </w:r>
      <w:r>
        <w:rPr>
          <w:b/>
          <w:bCs/>
          <w:sz w:val="36"/>
          <w:szCs w:val="36"/>
        </w:rPr>
        <w:t xml:space="preserve"> Phase 2</w:t>
      </w:r>
      <w:r/>
    </w:p>
    <w:p>
      <w:r>
        <w:t xml:space="preserve">Peter Colburn - 30017907 </w:t>
      </w:r>
      <w:r/>
    </w:p>
    <w:p>
      <w:r>
        <w:t xml:space="preserve">Thomas O’Brien - 30021359 </w:t>
      </w:r>
      <w:r/>
    </w:p>
    <w:p>
      <w:r>
        <w:t xml:space="preserve">Kavell Long - 30004171 </w:t>
      </w:r>
      <w:r/>
    </w:p>
    <w:p>
      <w:r>
        <w:t xml:space="preserve">Billy Hodges – 30021362 </w:t>
      </w:r>
      <w:r/>
    </w:p>
    <w:sdt>
      <w:sdtPr>
        <w15:appearance w15:val="boundingBox"/>
        <w:id w:val="1439573616"/>
        <w:docPartObj>
          <w:docPartGallery w:val="Table of Contents"/>
          <w:docPartUnique w:val="true"/>
        </w:docPartObj>
        <w:rPr>
          <w:rFonts w:asciiTheme="minorHAnsi" w:hAnsiTheme="minorHAnsi" w:eastAsiaTheme="minorHAnsi" w:cstheme="minorBidi"/>
          <w:color w:val="auto"/>
          <w:sz w:val="22"/>
          <w:szCs w:val="22"/>
          <w:lang w:val="en-GB"/>
        </w:rPr>
      </w:sdtPr>
      <w:sdtContent>
        <w:p>
          <w:pPr>
            <w:pStyle w:val="616"/>
          </w:pPr>
          <w:r>
            <w:t xml:space="preserve">Contents</w:t>
          </w:r>
          <w:r/>
        </w:p>
        <w:p>
          <w:pPr>
            <w:pStyle w:val="617"/>
            <w:tabs>
              <w:tab w:val="right" w:pos="9016" w:leader="dot"/>
            </w:tabs>
            <w:rPr>
              <w:rFonts w:eastAsiaTheme="minorEastAsia"/>
              <w:lang w:eastAsia="en-GB"/>
            </w:rPr>
          </w:pPr>
          <w:r>
            <w:fldChar w:fldCharType="begin"/>
          </w:r>
          <w:r>
            <w:instrText xml:space="preserve"> TOC \o "1-3" \h \z \u </w:instrText>
          </w:r>
          <w:r>
            <w:fldChar w:fldCharType="separate"/>
          </w:r>
          <w:hyperlink w:tooltip="#_Toc96631380" w:anchor="_Toc96631380" w:history="1">
            <w:r>
              <w:rPr>
                <w:rStyle w:val="614"/>
              </w:rPr>
              <w:t xml:space="preserve">Injection (SQL) – Peter</w:t>
            </w:r>
            <w:r>
              <w:tab/>
            </w:r>
            <w:r>
              <w:fldChar w:fldCharType="begin"/>
            </w:r>
            <w:r>
              <w:instrText xml:space="preserve"> PAGEREF _Toc96631380 \h </w:instrText>
            </w:r>
            <w:r/>
            <w:r>
              <w:fldChar w:fldCharType="separate"/>
            </w:r>
            <w:r>
              <w:t xml:space="preserve">1</w:t>
            </w:r>
            <w:r>
              <w:fldChar w:fldCharType="end"/>
            </w:r>
          </w:hyperlink>
          <w:r/>
          <w:r/>
        </w:p>
        <w:p>
          <w:pPr>
            <w:pStyle w:val="617"/>
            <w:tabs>
              <w:tab w:val="right" w:pos="9016" w:leader="dot"/>
            </w:tabs>
            <w:rPr>
              <w:rFonts w:eastAsiaTheme="minorEastAsia"/>
              <w:lang w:eastAsia="en-GB"/>
            </w:rPr>
          </w:pPr>
          <w:r/>
          <w:hyperlink w:tooltip="#_Toc96631381" w:anchor="_Toc96631381" w:history="1">
            <w:r>
              <w:rPr>
                <w:rStyle w:val="614"/>
              </w:rPr>
              <w:t xml:space="preserve">Insecure design – Tom</w:t>
            </w:r>
            <w:r>
              <w:tab/>
            </w:r>
            <w:r>
              <w:fldChar w:fldCharType="begin"/>
            </w:r>
            <w:r>
              <w:instrText xml:space="preserve"> PAGEREF _Toc96631381 \h </w:instrText>
            </w:r>
            <w:r/>
            <w:r>
              <w:fldChar w:fldCharType="separate"/>
            </w:r>
            <w:r>
              <w:t xml:space="preserve">2</w:t>
            </w:r>
            <w:r>
              <w:fldChar w:fldCharType="end"/>
            </w:r>
          </w:hyperlink>
          <w:r/>
          <w:r/>
        </w:p>
        <w:p>
          <w:pPr>
            <w:pStyle w:val="617"/>
            <w:tabs>
              <w:tab w:val="right" w:pos="9016" w:leader="dot"/>
            </w:tabs>
            <w:rPr>
              <w:rFonts w:eastAsiaTheme="minorEastAsia"/>
              <w:lang w:eastAsia="en-GB"/>
            </w:rPr>
          </w:pPr>
          <w:r/>
          <w:hyperlink w:tooltip="#_Toc96631382" w:anchor="_Toc96631382" w:history="1">
            <w:r>
              <w:rPr>
                <w:rStyle w:val="614"/>
              </w:rPr>
              <w:t xml:space="preserve">Broken Access Control – Kavell</w:t>
            </w:r>
            <w:r>
              <w:tab/>
            </w:r>
            <w:r>
              <w:fldChar w:fldCharType="begin"/>
            </w:r>
            <w:r>
              <w:instrText xml:space="preserve"> PAGEREF _Toc96631382 \h </w:instrText>
            </w:r>
            <w:r/>
            <w:r>
              <w:fldChar w:fldCharType="separate"/>
            </w:r>
            <w:r>
              <w:t xml:space="preserve">2</w:t>
            </w:r>
            <w:r>
              <w:fldChar w:fldCharType="end"/>
            </w:r>
          </w:hyperlink>
          <w:r/>
          <w:r/>
        </w:p>
        <w:p>
          <w:pPr>
            <w:pStyle w:val="617"/>
            <w:tabs>
              <w:tab w:val="right" w:pos="9016" w:leader="dot"/>
            </w:tabs>
            <w:rPr>
              <w:rFonts w:eastAsiaTheme="minorEastAsia"/>
              <w:lang w:eastAsia="en-GB"/>
            </w:rPr>
          </w:pPr>
          <w:r/>
          <w:hyperlink w:tooltip="#_Toc96631383" w:anchor="_Toc96631383" w:history="1">
            <w:r>
              <w:rPr>
                <w:rStyle w:val="614"/>
              </w:rPr>
              <w:t xml:space="preserve">Identification and Authentication Failures – Kavell</w:t>
            </w:r>
            <w:r>
              <w:tab/>
            </w:r>
            <w:r>
              <w:fldChar w:fldCharType="begin"/>
            </w:r>
            <w:r>
              <w:instrText xml:space="preserve"> PAGEREF _Toc96631383 \h </w:instrText>
            </w:r>
            <w:r/>
            <w:r>
              <w:fldChar w:fldCharType="separate"/>
            </w:r>
            <w:r>
              <w:t xml:space="preserve">3</w:t>
            </w:r>
            <w:r>
              <w:fldChar w:fldCharType="end"/>
            </w:r>
          </w:hyperlink>
          <w:r/>
          <w:r/>
        </w:p>
        <w:p>
          <w:pPr>
            <w:pStyle w:val="617"/>
            <w:tabs>
              <w:tab w:val="right" w:pos="9016" w:leader="dot"/>
            </w:tabs>
            <w:rPr>
              <w:rFonts w:eastAsiaTheme="minorEastAsia"/>
              <w:lang w:eastAsia="en-GB"/>
            </w:rPr>
          </w:pPr>
          <w:r/>
          <w:hyperlink w:tooltip="#_Toc96631384" w:anchor="_Toc96631384" w:history="1">
            <w:r>
              <w:rPr>
                <w:rStyle w:val="614"/>
              </w:rPr>
              <w:t xml:space="preserve">Vulnerable and Outdated Components – Tom</w:t>
            </w:r>
            <w:r>
              <w:tab/>
            </w:r>
            <w:r>
              <w:fldChar w:fldCharType="begin"/>
            </w:r>
            <w:r>
              <w:instrText xml:space="preserve"> PAGEREF _Toc96631384 \h </w:instrText>
            </w:r>
            <w:r/>
            <w:r>
              <w:fldChar w:fldCharType="separate"/>
            </w:r>
            <w:r>
              <w:t xml:space="preserve">3</w:t>
            </w:r>
            <w:r>
              <w:fldChar w:fldCharType="end"/>
            </w:r>
          </w:hyperlink>
          <w:r/>
          <w:r/>
        </w:p>
        <w:p>
          <w:pPr>
            <w:pStyle w:val="617"/>
            <w:tabs>
              <w:tab w:val="right" w:pos="9016" w:leader="dot"/>
            </w:tabs>
            <w:rPr>
              <w:rFonts w:eastAsiaTheme="minorEastAsia"/>
              <w:lang w:eastAsia="en-GB"/>
            </w:rPr>
          </w:pPr>
          <w:r/>
          <w:hyperlink w:tooltip="#_Toc96631385" w:anchor="_Toc96631385" w:history="1">
            <w:r>
              <w:rPr>
                <w:rStyle w:val="614"/>
              </w:rPr>
              <w:t xml:space="preserve">Memory Safety – Peter</w:t>
            </w:r>
            <w:r>
              <w:tab/>
            </w:r>
            <w:r>
              <w:fldChar w:fldCharType="begin"/>
            </w:r>
            <w:r>
              <w:instrText xml:space="preserve"> PAGEREF _Toc96631385 \h </w:instrText>
            </w:r>
            <w:r/>
            <w:r>
              <w:fldChar w:fldCharType="separate"/>
            </w:r>
            <w:r>
              <w:t xml:space="preserve">4</w:t>
            </w:r>
            <w:r>
              <w:fldChar w:fldCharType="end"/>
            </w:r>
          </w:hyperlink>
          <w:r/>
          <w:r/>
        </w:p>
        <w:p>
          <w:pPr>
            <w:pStyle w:val="617"/>
            <w:tabs>
              <w:tab w:val="right" w:pos="9016" w:leader="dot"/>
            </w:tabs>
            <w:rPr>
              <w:rFonts w:eastAsiaTheme="minorEastAsia"/>
              <w:lang w:eastAsia="en-GB"/>
            </w:rPr>
          </w:pPr>
          <w:r/>
          <w:hyperlink w:tooltip="#_Toc96631386" w:anchor="_Toc96631386" w:history="1">
            <w:r>
              <w:rPr>
                <w:rStyle w:val="614"/>
              </w:rPr>
              <w:t xml:space="preserve">Privilege-confusion – Billy</w:t>
            </w:r>
            <w:r>
              <w:tab/>
            </w:r>
            <w:r>
              <w:fldChar w:fldCharType="begin"/>
            </w:r>
            <w:r>
              <w:instrText xml:space="preserve"> PAGEREF _Toc96631386 \h </w:instrText>
            </w:r>
            <w:r/>
            <w:r>
              <w:fldChar w:fldCharType="separate"/>
            </w:r>
            <w:r>
              <w:t xml:space="preserve">4</w:t>
            </w:r>
            <w:r>
              <w:fldChar w:fldCharType="end"/>
            </w:r>
          </w:hyperlink>
          <w:r/>
          <w:r/>
        </w:p>
        <w:p>
          <w:pPr>
            <w:pStyle w:val="617"/>
            <w:tabs>
              <w:tab w:val="right" w:pos="9016" w:leader="dot"/>
            </w:tabs>
            <w:rPr>
              <w:rFonts w:eastAsiaTheme="minorEastAsia"/>
              <w:lang w:eastAsia="en-GB"/>
            </w:rPr>
          </w:pPr>
          <w:r/>
          <w:hyperlink w:tooltip="#_Toc96631387" w:anchor="_Toc96631387" w:history="1">
            <w:r>
              <w:rPr>
                <w:rStyle w:val="614"/>
              </w:rPr>
              <w:t xml:space="preserve">Our choices – Kavell</w:t>
            </w:r>
            <w:r>
              <w:tab/>
            </w:r>
            <w:r>
              <w:fldChar w:fldCharType="begin"/>
            </w:r>
            <w:r>
              <w:instrText xml:space="preserve"> PAGEREF _Toc96631387 \h </w:instrText>
            </w:r>
            <w:r/>
            <w:r>
              <w:fldChar w:fldCharType="separate"/>
            </w:r>
            <w:r>
              <w:t xml:space="preserve">5</w:t>
            </w:r>
            <w:r>
              <w:fldChar w:fldCharType="end"/>
            </w:r>
          </w:hyperlink>
          <w:r/>
          <w:r/>
        </w:p>
        <w:p>
          <w:pPr>
            <w:pStyle w:val="617"/>
            <w:tabs>
              <w:tab w:val="right" w:pos="9016" w:leader="dot"/>
            </w:tabs>
            <w:rPr>
              <w:rFonts w:eastAsiaTheme="minorEastAsia"/>
              <w:lang w:eastAsia="en-GB"/>
            </w:rPr>
          </w:pPr>
          <w:r/>
          <w:hyperlink w:tooltip="#_Toc96631388" w:anchor="_Toc96631388" w:history="1">
            <w:r>
              <w:rPr>
                <w:rStyle w:val="614"/>
              </w:rPr>
              <w:t xml:space="preserve">References</w:t>
            </w:r>
            <w:r>
              <w:tab/>
            </w:r>
            <w:r>
              <w:fldChar w:fldCharType="begin"/>
            </w:r>
            <w:r>
              <w:instrText xml:space="preserve"> PAGEREF _Toc96631388 \h </w:instrText>
            </w:r>
            <w:r/>
            <w:r>
              <w:fldChar w:fldCharType="separate"/>
            </w:r>
            <w:r>
              <w:t xml:space="preserve">5</w:t>
            </w:r>
            <w:r>
              <w:fldChar w:fldCharType="end"/>
            </w:r>
          </w:hyperlink>
          <w:r/>
          <w:r/>
        </w:p>
        <w:p>
          <w:r>
            <w:rPr>
              <w:b/>
              <w:bCs/>
            </w:rPr>
            <w:fldChar w:fldCharType="end"/>
          </w:r>
          <w:r/>
        </w:p>
      </w:sdtContent>
    </w:sdt>
    <w:p>
      <w:pPr>
        <w:pStyle w:val="609"/>
      </w:pPr>
      <w:r/>
      <w:bookmarkStart w:id="0" w:name="_Toc96631380"/>
      <w:r>
        <w:t xml:space="preserve">Injection (SQL) </w:t>
      </w:r>
      <w:r>
        <w:t xml:space="preserve">–</w:t>
      </w:r>
      <w:r>
        <w:t xml:space="preserve"> Peter</w:t>
      </w:r>
      <w:bookmarkEnd w:id="0"/>
      <w:r/>
      <w:r/>
    </w:p>
    <w:p>
      <w:r>
        <w:t xml:space="preserve">SQL injectio</w:t>
      </w:r>
      <w:r>
        <w:t xml:space="preserve">ns are one of the most</w:t>
      </w:r>
      <w:r>
        <w:t xml:space="preserve"> serious vulnerabilities </w:t>
      </w:r>
      <w:r>
        <w:t xml:space="preserve">for applications as said by Halfond, Viegas and Orso (2006, p. 1)</w:t>
      </w:r>
      <w:r>
        <w:t xml:space="preserve">. </w:t>
      </w:r>
      <w:r>
        <w:t xml:space="preserve">They </w:t>
      </w:r>
      <w:r>
        <w:t xml:space="preserve">cause vulnerabilities due to hackers having the ability to gain complete access to things like </w:t>
      </w:r>
      <w:r>
        <w:t xml:space="preserve">sensitive data like the information of customers and consumers and they also allow attackers to access </w:t>
      </w:r>
      <w:r>
        <w:t xml:space="preserve">any kind of database. </w:t>
      </w:r>
      <w:r>
        <w:t xml:space="preserve">Because databases hold unbelievably valuable </w:t>
      </w:r>
      <w:r>
        <w:t xml:space="preserve">information,</w:t>
      </w:r>
      <w:r>
        <w:t xml:space="preserve"> they are a big target for attackers and that is why it is so </w:t>
      </w:r>
      <w:r>
        <w:t xml:space="preserve">vulnerable,</w:t>
      </w:r>
      <w:r>
        <w:t xml:space="preserve"> and it should not be overlooked when </w:t>
      </w:r>
      <w:r>
        <w:t xml:space="preserve">using secure software. </w:t>
      </w:r>
      <w:r>
        <w:t xml:space="preserve">SQL Injections can also be used for hackers to gain control over a system or application causing lots of damage. This obviously should be prevented at all costs as it comes under the legal acts.</w:t>
      </w:r>
      <w:r>
        <w:t xml:space="preserve"> So how do SQL attacks work and why are they so dangerous?</w:t>
      </w:r>
      <w:r>
        <w:t xml:space="preserve"> </w:t>
      </w:r>
      <w:r>
        <w:t xml:space="preserve">So,</w:t>
      </w:r>
      <w:r>
        <w:t xml:space="preserve"> SQL injections a</w:t>
      </w:r>
      <w:r>
        <w:t xml:space="preserve">re a class of code-injection</w:t>
      </w:r>
      <w:r>
        <w:t xml:space="preserve"> </w:t>
      </w:r>
      <w:r>
        <w:t xml:space="preserve">I am</w:t>
      </w:r>
      <w:r>
        <w:t xml:space="preserve"> which</w:t>
      </w:r>
      <w:r>
        <w:t xml:space="preserve"> data provided by the user is</w:t>
      </w:r>
      <w:r>
        <w:t xml:space="preserve"> included in an SQL query in such a way that part of the users input is treated as SQL code. </w:t>
      </w:r>
      <w:r>
        <w:t xml:space="preserve">So,</w:t>
      </w:r>
      <w:r>
        <w:t xml:space="preserve"> by doing this an attacker can start to enter SQL commands into the database </w:t>
      </w:r>
      <w:r>
        <w:t xml:space="preserve">meaning that they can receive any data they want </w:t>
      </w:r>
      <w:r>
        <w:t xml:space="preserve">from the system </w:t>
      </w:r>
      <w:r>
        <w:t xml:space="preserve">as said by Halfond, Viegas and Orso (2006, p. 1).</w:t>
      </w:r>
      <w:r/>
    </w:p>
    <w:p>
      <w:r>
        <w:t xml:space="preserve">How are SQL injections prevented then? </w:t>
      </w:r>
      <w:r>
        <w:t xml:space="preserve">SQL injections can be </w:t>
      </w:r>
      <w:r>
        <w:t xml:space="preserve">easily prevented by the </w:t>
      </w:r>
      <w:r>
        <w:t xml:space="preserve">simplest</w:t>
      </w:r>
      <w:r>
        <w:t xml:space="preserve"> way which is to ensure to use de</w:t>
      </w:r>
      <w:r>
        <w:t xml:space="preserve">fensive coding practices. </w:t>
      </w:r>
      <w:r>
        <w:t xml:space="preserve">The main cause for SQL injections is due to </w:t>
      </w:r>
      <w:r>
        <w:t xml:space="preserve">insuffi</w:t>
      </w:r>
      <w:r>
        <w:t xml:space="preserve">cient input validation. </w:t>
      </w:r>
      <w:r>
        <w:t xml:space="preserve">One way of </w:t>
      </w:r>
      <w:r>
        <w:t xml:space="preserve">fixing this is </w:t>
      </w:r>
      <w:r>
        <w:t xml:space="preserve">by using input type checking. This is where </w:t>
      </w:r>
      <w:r>
        <w:t xml:space="preserve">inputs into SQL can be </w:t>
      </w:r>
      <w:r>
        <w:t xml:space="preserve">checked</w:t>
      </w:r>
      <w:r>
        <w:t xml:space="preserve">, for example the developer can reject any input that contains characters other than digits</w:t>
      </w:r>
      <w:r>
        <w:t xml:space="preserve">. Another thing that can be used is </w:t>
      </w:r>
      <w:r>
        <w:t xml:space="preserve">Identification of all input </w:t>
      </w:r>
      <w:r>
        <w:t xml:space="preserve">sources. This means that every time something is in</w:t>
      </w:r>
      <w:r>
        <w:t xml:space="preserve">troduced with SQL</w:t>
      </w:r>
      <w:r>
        <w:t xml:space="preserve"> it must be checked before it can be inputted </w:t>
      </w:r>
      <w:r>
        <w:t xml:space="preserve">as said by Halfond, Viegas and Orso (2006, p. 6)</w:t>
      </w:r>
      <w:r>
        <w:t xml:space="preserve"> This </w:t>
      </w:r>
      <w:r>
        <w:t xml:space="preserve">is the safest way to prevent SQL </w:t>
      </w:r>
      <w:r>
        <w:t xml:space="preserve">injections,</w:t>
      </w:r>
      <w:r>
        <w:t xml:space="preserve"> but it is also not very efficient.</w:t>
      </w:r>
      <w:r>
        <w:t xml:space="preserve"> Lastly, </w:t>
      </w:r>
      <w:r>
        <w:t xml:space="preserve">there is</w:t>
      </w:r>
      <w:r>
        <w:t xml:space="preserve"> a way that testers can prevent SQL injections before the database is even released. This is done by </w:t>
      </w:r>
      <w:r>
        <w:t xml:space="preserve">Black Box Testing. This is where </w:t>
      </w:r>
      <w:r>
        <w:t xml:space="preserve">a </w:t>
      </w:r>
      <w:r>
        <w:t xml:space="preserve">web crawler is introduced </w:t>
      </w:r>
      <w:r>
        <w:t xml:space="preserve">to try and </w:t>
      </w:r>
      <w:r>
        <w:t xml:space="preserve">find any vulnerable points so that </w:t>
      </w:r>
      <w:r>
        <w:t xml:space="preserve">these </w:t>
      </w:r>
      <w:r>
        <w:t xml:space="preserve">problems can be fixed before </w:t>
      </w:r>
      <w:r>
        <w:t xml:space="preserve">it is released and starts holding data </w:t>
      </w:r>
      <w:r>
        <w:t xml:space="preserve">as said by Halfond, Viegas and Orso (2006, p. 6).</w:t>
      </w:r>
      <w:r/>
    </w:p>
    <w:p>
      <w:pPr>
        <w:pStyle w:val="609"/>
      </w:pPr>
      <w:r/>
      <w:bookmarkStart w:id="1" w:name="_Toc96631381"/>
      <w:r>
        <w:t xml:space="preserve">Insecure design </w:t>
      </w:r>
      <w:r>
        <w:t xml:space="preserve">–</w:t>
      </w:r>
      <w:r>
        <w:t xml:space="preserve"> Tom</w:t>
      </w:r>
      <w:bookmarkEnd w:id="1"/>
      <w:r/>
      <w:r/>
    </w:p>
    <w:p>
      <w:r>
        <w:t xml:space="preserve">According to OWASP (2021) insecure design includes: Error messages containing sensitive information, unprotected storage of credentials, trust </w:t>
      </w:r>
      <w:r>
        <w:t xml:space="preserve">boundary</w:t>
      </w:r>
      <w:r>
        <w:t xml:space="preserve"> violations, and</w:t>
      </w:r>
      <w:r>
        <w:t xml:space="preserve"> insufficiently protected credentials. These tell us some of the common pitfalls we must avoid as a group. For example, this research has brought upon other avenues of research such as password encryption. According to OWASP (2021)- “Secure design is a cul</w:t>
      </w:r>
      <w:r>
        <w:t xml:space="preserve">ture and methodology that constantly evaluates threats and ensures that code is robustly designed and tested to prevent known attack methods.” This means that secure design is not just about individual issues in a code but instead is the “culture and metho</w:t>
      </w:r>
      <w:r>
        <w:t xml:space="preserve">dology” that we use to design it. This means in our project we should adopt this methodology to ensure that our project is protected from the pitfalls of insecure design.</w:t>
      </w:r>
      <w:r/>
    </w:p>
    <w:p>
      <w:r>
        <w:t xml:space="preserve">As said by </w:t>
      </w:r>
      <w:r>
        <w:t xml:space="preserve">Janusz Kulon (2022) “You can test for the presence of bugs in your code, but you cannot test for the absence of bugs in your code” this further backs up the importance of secure design principles as we need to avoid implementing ‘spaghetti’ code and other </w:t>
      </w:r>
      <w:r>
        <w:t xml:space="preserve">poorly implemented designs. This also means our program should undergo regular and thorough testing to eradicate as much faulty code as possible and to find as many common issues as possible while we can. It is also important to consider a support model af</w:t>
      </w:r>
      <w:r>
        <w:t xml:space="preserve">ter the release of our project to the client and the support network we can implement to allow fixing of bugs that may be discovered by them. This could include the implementation of error reports that could be sent to us to help us find the issues easier.</w:t>
      </w:r>
      <w:r/>
    </w:p>
    <w:p>
      <w:pPr>
        <w:pStyle w:val="609"/>
      </w:pPr>
      <w:r/>
      <w:bookmarkStart w:id="2" w:name="_Toc96631382"/>
      <w:r>
        <w:t xml:space="preserve">Broken Access Control</w:t>
      </w:r>
      <w:r>
        <w:t xml:space="preserve"> – Kavell</w:t>
      </w:r>
      <w:bookmarkEnd w:id="2"/>
      <w:r/>
      <w:r/>
    </w:p>
    <w:p>
      <w:r>
        <w:t xml:space="preserve">Broken access control is a policy where users have certain areas of access within an application. For example, in a retail setting a manager may have full control over a payroll system – adding/amen</w:t>
      </w:r>
      <w:r>
        <w:t xml:space="preserve">ding employees etc., but an associate will only be able to view their own payslip or holidays. If the associate were to be given the same control as the manager, they may misuse this privilege and give themselves a higher wage or more holiday entitlement. </w:t>
      </w:r>
      <w:r/>
    </w:p>
    <w:p>
      <w:r>
        <w:t xml:space="preserve">In the </w:t>
      </w:r>
      <w:r>
        <w:t xml:space="preserve">OWASP </w:t>
      </w:r>
      <w:r>
        <w:t xml:space="preserve">the Top 10 Web Application Security Risks</w:t>
      </w:r>
      <w:r>
        <w:t xml:space="preserve"> (2021)</w:t>
      </w:r>
      <w:r>
        <w:t xml:space="preserve">, broken access control was the one that came up more than any other category. It was in the 2017 list as well but lower down the list. Out of all the applications that were tested, 94% of them showed broken access control</w:t>
      </w:r>
      <w:r>
        <w:t xml:space="preserve">.</w:t>
      </w:r>
      <w:r>
        <w:t xml:space="preserve"> There are a few ways in which broken access control can be done from the user. Some ex</w:t>
      </w:r>
      <w:r>
        <w:t xml:space="preserve">amples of this are Cross Site Scripting, Cross Site Request Forgery and Local File Inclusion. According to Hassan et al. (2018), these are often the result of the implantation not being done properly when inputting user authentication among other reasons. </w:t>
      </w:r>
      <w:r/>
    </w:p>
    <w:p>
      <w:r>
        <w:t xml:space="preserve">OWASP </w:t>
      </w:r>
      <w:r>
        <w:t xml:space="preserve">(2021) explains the ways to prevent these things happening include using access control mechanisms more than once within an application, disabling the web server directory listing and ensuring backup files are not within the web roots. </w:t>
      </w:r>
      <w:r/>
    </w:p>
    <w:p>
      <w:r>
        <w:t xml:space="preserve">Another</w:t>
      </w:r>
      <w:r>
        <w:t xml:space="preserve"> aspect which </w:t>
      </w:r>
      <w:r>
        <w:t xml:space="preserve">must</w:t>
      </w:r>
      <w:r>
        <w:t xml:space="preserve"> be considered is the</w:t>
      </w:r>
      <w:r>
        <w:t xml:space="preserve"> </w:t>
      </w:r>
      <w:r>
        <w:t xml:space="preserve">“principle of least pri</w:t>
      </w:r>
      <w:r>
        <w:t xml:space="preserve">vilege.”</w:t>
      </w:r>
      <w:r>
        <w:t xml:space="preserve"> This is </w:t>
      </w:r>
      <w:r>
        <w:t xml:space="preserve">discipline buil</w:t>
      </w:r>
      <w:r>
        <w:t xml:space="preserve">t</w:t>
      </w:r>
      <w:r>
        <w:t xml:space="preserve"> from integrity, availability and confidentiality</w:t>
      </w:r>
      <w:r>
        <w:t xml:space="preserve"> which are </w:t>
      </w:r>
      <w:r>
        <w:t xml:space="preserve">objectives for</w:t>
      </w:r>
      <w:r>
        <w:t xml:space="preserve"> information security programmes. This principle means that a </w:t>
      </w:r>
      <w:r>
        <w:t xml:space="preserve">user</w:t>
      </w:r>
      <w:r>
        <w:t xml:space="preserve"> should only be given the bare minimum </w:t>
      </w:r>
      <w:r>
        <w:t xml:space="preserve">of access needed to do their job</w:t>
      </w:r>
      <w:r>
        <w:t xml:space="preserve"> on a need</w:t>
      </w:r>
      <w:r>
        <w:t xml:space="preserve">-</w:t>
      </w:r>
      <w:r>
        <w:t xml:space="preserve">to</w:t>
      </w:r>
      <w:r>
        <w:t xml:space="preserve">-</w:t>
      </w:r>
      <w:r>
        <w:t xml:space="preserve">know basis</w:t>
      </w:r>
      <w:r>
        <w:t xml:space="preserve">. </w:t>
      </w:r>
      <w:r>
        <w:t xml:space="preserve">Fernandez</w:t>
      </w:r>
      <w:r>
        <w:t xml:space="preserve">, Mujica and </w:t>
      </w:r>
      <w:r>
        <w:t xml:space="preserve">Valenzuela</w:t>
      </w:r>
      <w:r>
        <w:t xml:space="preserve"> (</w:t>
      </w:r>
      <w:r>
        <w:t xml:space="preserve">2011</w:t>
      </w:r>
      <w:r>
        <w:t xml:space="preserve">, p. 2</w:t>
      </w:r>
      <w:r>
        <w:t xml:space="preserve">)</w:t>
      </w:r>
      <w:r>
        <w:t xml:space="preserve"> say in their </w:t>
      </w:r>
      <w:r>
        <w:t xml:space="preserve">paper “</w:t>
      </w:r>
      <w:r>
        <w:t xml:space="preserve">Two security patterns: Least Privilege and Security Logger and Auditor” how to code specifically </w:t>
      </w:r>
      <w:r>
        <w:t xml:space="preserve">to stop the misuse of the application by users. They go on to suggest </w:t>
      </w:r>
      <w:r>
        <w:t xml:space="preserve">a </w:t>
      </w:r>
      <w:r>
        <w:t xml:space="preserve">security pattern</w:t>
      </w:r>
      <w:r>
        <w:t xml:space="preserve"> called</w:t>
      </w:r>
      <w:r>
        <w:t xml:space="preserve"> </w:t>
      </w:r>
      <w:r>
        <w:t xml:space="preserve">“</w:t>
      </w:r>
      <w:r>
        <w:t xml:space="preserve">Need-to-Know</w:t>
      </w:r>
      <w:r>
        <w:t xml:space="preserve"> Authorizer” </w:t>
      </w:r>
      <w:r>
        <w:t xml:space="preserve">– this </w:t>
      </w:r>
      <w:r>
        <w:t xml:space="preserve">makes “Rights” </w:t>
      </w:r>
      <w:r>
        <w:t xml:space="preserve">which</w:t>
      </w:r>
      <w:r>
        <w:t xml:space="preserve"> are then assigned to “Subjects” </w:t>
      </w:r>
      <w:r>
        <w:t xml:space="preserve">which </w:t>
      </w:r>
      <w:r>
        <w:t xml:space="preserve">will have determined sets of access levels. </w:t>
      </w:r>
      <w:r>
        <w:t xml:space="preserve">Below is a screenshot of the UML diagram of their pattern.</w:t>
      </w:r>
      <w:r/>
    </w:p>
    <w:p>
      <w:r>
        <mc:AlternateContent>
          <mc:Choice Requires="wpg">
            <w:drawing>
              <wp:inline xmlns:wp="http://schemas.openxmlformats.org/drawingml/2006/wordprocessingDrawing" distT="0" distB="0" distL="0" distR="0">
                <wp:extent cx="4486901" cy="4210638"/>
                <wp:effectExtent l="0" t="0" r="0" b="0"/>
                <wp:docPr id="1" name="Picture 1" descr="Diagram&#10;&#10;Description automatically generated"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hidden="0"/>
                        <pic:cNvPicPr>
                          <a:picLocks noChangeAspect="1"/>
                        </pic:cNvPicPr>
                        <pic:nvPr isPhoto="0" userDrawn="0"/>
                      </pic:nvPicPr>
                      <pic:blipFill>
                        <a:blip r:embed="rId11"/>
                        <a:stretch/>
                      </pic:blipFill>
                      <pic:spPr bwMode="auto">
                        <a:xfrm>
                          <a:off x="0" y="0"/>
                          <a:ext cx="4486901" cy="42106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53.3pt;height:331.5pt;" stroked="false">
                <v:path textboxrect="0,0,0,0"/>
                <v:imagedata r:id="rId11" o:title=""/>
              </v:shape>
            </w:pict>
          </mc:Fallback>
        </mc:AlternateContent>
      </w:r>
      <w:r/>
    </w:p>
    <w:p>
      <w:pPr>
        <w:pStyle w:val="609"/>
      </w:pPr>
      <w:r/>
      <w:bookmarkStart w:id="3" w:name="_Toc96631383"/>
      <w:r>
        <w:t xml:space="preserve">I</w:t>
      </w:r>
      <w:r>
        <w:t xml:space="preserve">dentification and Authentication Failures </w:t>
      </w:r>
      <w:r>
        <w:t xml:space="preserve">–</w:t>
      </w:r>
      <w:r>
        <w:t xml:space="preserve"> Kavell</w:t>
      </w:r>
      <w:bookmarkEnd w:id="3"/>
      <w:r/>
      <w:r/>
    </w:p>
    <w:p>
      <w:r>
        <w:t xml:space="preserve">I</w:t>
      </w:r>
      <w:r>
        <w:t xml:space="preserve">dentification and authentication failures are </w:t>
      </w:r>
      <w:r>
        <w:t xml:space="preserve">where a</w:t>
      </w:r>
      <w:r>
        <w:t xml:space="preserve">n </w:t>
      </w:r>
      <w:r>
        <w:t xml:space="preserve">unauthorised</w:t>
      </w:r>
      <w:r>
        <w:t xml:space="preserve"> user </w:t>
      </w:r>
      <w:r>
        <w:t xml:space="preserve">gains access to valid usernames and passwords </w:t>
      </w:r>
      <w:r>
        <w:t xml:space="preserve">through an attack or the </w:t>
      </w:r>
      <w:r>
        <w:t xml:space="preserve">company uses weak commonly used usernames and passwords – which could be easily guessed, e.g., admin/admin or admin/password1 etc. </w:t>
      </w:r>
      <w:r>
        <w:t xml:space="preserve">according to </w:t>
      </w:r>
      <w:r>
        <w:t xml:space="preserve">OWASP </w:t>
      </w:r>
      <w:r>
        <w:t xml:space="preserve">(2021). These failures </w:t>
      </w:r>
      <w:r>
        <w:t xml:space="preserve">moved from second place in 2017 to seventh place in</w:t>
      </w:r>
      <w:r>
        <w:t xml:space="preserve"> 2021 in</w:t>
      </w:r>
      <w:r>
        <w:t xml:space="preserve"> the </w:t>
      </w:r>
      <w:r>
        <w:t xml:space="preserve">Top 10 Web Application Security Risks from </w:t>
      </w:r>
      <w:r>
        <w:t xml:space="preserve">OWASP</w:t>
      </w:r>
      <w:r>
        <w:t xml:space="preserve">. </w:t>
      </w:r>
      <w:r/>
    </w:p>
    <w:p>
      <w:r>
        <w:t xml:space="preserve">OWASP </w:t>
      </w:r>
      <w:r>
        <w:t xml:space="preserve">(2021)</w:t>
      </w:r>
      <w:r>
        <w:t xml:space="preserve"> then goes onto say how these vulnerabilities could be </w:t>
      </w:r>
      <w:r>
        <w:t xml:space="preserve">helped. The first thing which could be implemented (where possible) </w:t>
      </w:r>
      <w:r>
        <w:t xml:space="preserve">is a multi-factor authentication – this will help with </w:t>
      </w:r>
      <w:r>
        <w:t xml:space="preserve">stolen username and passwords a</w:t>
      </w:r>
      <w:r>
        <w:t xml:space="preserve">s well as </w:t>
      </w:r>
      <w:r>
        <w:t xml:space="preserve">attacks forcing their way in. </w:t>
      </w:r>
      <w:r>
        <w:t xml:space="preserve">Next </w:t>
      </w:r>
      <w:r>
        <w:t xml:space="preserve">would be checking if a password is weak by comparing it to the top 10,000 </w:t>
      </w:r>
      <w:r>
        <w:t xml:space="preserve">worst passwords list. These passwords should then be made purposely long and complicated </w:t>
      </w:r>
      <w:r>
        <w:t xml:space="preserve">to prevent guessing</w:t>
      </w:r>
      <w:r>
        <w:t xml:space="preserve">. </w:t>
      </w:r>
      <w:r/>
    </w:p>
    <w:p>
      <w:pPr>
        <w:pStyle w:val="609"/>
      </w:pPr>
      <w:r/>
      <w:bookmarkStart w:id="4" w:name="_Toc96631384"/>
      <w:r>
        <w:t xml:space="preserve">Vulnerable and Outdated Components </w:t>
      </w:r>
      <w:r>
        <w:t xml:space="preserve">–</w:t>
      </w:r>
      <w:r>
        <w:t xml:space="preserve"> Tom</w:t>
      </w:r>
      <w:bookmarkEnd w:id="4"/>
      <w:r/>
      <w:r/>
    </w:p>
    <w:p>
      <w:r>
        <w:t xml:space="preserve">When we design and implement our program, we must consider that the components that we use are up to date, but why is this important? Vaniea Kami, (2014) “Betra</w:t>
      </w:r>
      <w:r>
        <w:t xml:space="preserve">yed by Updates: How Negative Experiences Affect Future Security” tells us that due to frustration from updating many users will choose to ignore safety updates, this is a problem as many updates to software or devices are patches to new security risks. For</w:t>
      </w:r>
      <w:r>
        <w:t xml:space="preserve"> example, after a company learns about a vulnerability to their system, they can then send out an update to increase security. Users who therefore choose to ignore updates expose themselves to these security risks. We can also apply this to how we develop </w:t>
      </w:r>
      <w:r>
        <w:t xml:space="preserve">our program. The first step we may take to reduce this is by ensuring libraries we use while coding is the most recent and up to date ones so that we have all the latest security features and updates. We should also consider retroactively upd</w:t>
      </w:r>
      <w:r>
        <w:t xml:space="preserve">ating our program if a security patch or update is released for any libraries or software, we are using to ensure we are gaining the full benefit and security that comes with it. One of the key reasons why it is so critical to ensure we use update software</w:t>
      </w:r>
      <w:r>
        <w:t xml:space="preserve"> is that while it is possible to test for presence of bugs it is impossible to test if there are none present at all. This means often that new bugs are picked up by users and new security weaknesses are discovered which these software updates can prevent.</w:t>
      </w:r>
      <w:r/>
    </w:p>
    <w:p>
      <w:pPr>
        <w:pStyle w:val="609"/>
      </w:pPr>
      <w:r/>
      <w:bookmarkStart w:id="5" w:name="_Toc96631385"/>
      <w:r>
        <w:t xml:space="preserve">Memory Safety </w:t>
      </w:r>
      <w:r>
        <w:t xml:space="preserve">–</w:t>
      </w:r>
      <w:r>
        <w:t xml:space="preserve"> </w:t>
      </w:r>
      <w:r>
        <w:t xml:space="preserve">Peter</w:t>
      </w:r>
      <w:bookmarkEnd w:id="5"/>
      <w:r/>
      <w:r/>
    </w:p>
    <w:p>
      <w:r>
        <w:t xml:space="preserve">Memory Safety is the state of being protected from various software bugs and security vulnerabilities when dealing with memory access. The two vulnerabilities that will be stated will be buffer overflows and dangling pointers.</w:t>
      </w:r>
      <w:r/>
    </w:p>
    <w:p>
      <w:r>
        <w:t xml:space="preserve">Starting with dangling pointers they are pointers that are left pointing to deallocated memory after the object they used to point to has be</w:t>
      </w:r>
      <w:r>
        <w:t xml:space="preserve">en freed. This can cause vulnerabilities because attackers may manipulate these pointers by the program assuming the pointer is operating on an object of the type formerly occupied by memory but will operate on any memory being occupied at that given time </w:t>
      </w:r>
      <w:r>
        <w:t xml:space="preserve">as said by </w:t>
      </w:r>
      <w:r>
        <w:t xml:space="preserve">Akritidis</w:t>
      </w:r>
      <w:r>
        <w:t xml:space="preserve"> (2010, p. 1). </w:t>
      </w:r>
      <w:r>
        <w:t xml:space="preserve">These are considered just as dangerous as buffer overflows, but they are mor</w:t>
      </w:r>
      <w:r>
        <w:t xml:space="preserve">e easily prevented. Dangling pointers can be prevented very easily by just initialising the pointer to “NULL” after deallocating memory. This means that the pointer is no longer pointing to that memory location and therefore is no longer a dangling pointer</w:t>
      </w:r>
      <w:r>
        <w:t xml:space="preserve"> as said by </w:t>
      </w:r>
      <w:r>
        <w:t xml:space="preserve">Akritidis</w:t>
      </w:r>
      <w:r>
        <w:t xml:space="preserve"> (2010, p. 2).</w:t>
      </w:r>
      <w:r/>
    </w:p>
    <w:p>
      <w:r>
        <w:t xml:space="preserve">Moving on to Buffer Overflow attacks. These attacks are the most common m</w:t>
      </w:r>
      <w:r>
        <w:t xml:space="preserve">emory safety threat that comes up. Like dangling pointers, buffer overflow attacks are committed due to pointers being used inefficiently. An example of how the buffer overflow works is it will overwrite a buffer on the stack to replace the return address </w:t>
      </w:r>
      <w:r>
        <w:t xml:space="preserve">as said by </w:t>
      </w:r>
      <w:r>
        <w:t xml:space="preserve">Larochelle, Evans </w:t>
      </w:r>
      <w:r>
        <w:t xml:space="preserve">(2001, p. 1)</w:t>
      </w:r>
      <w:r>
        <w:t xml:space="preserve">. When the function eventually returns instead of jumping to the return address control will jump to the address that was pla</w:t>
      </w:r>
      <w:r>
        <w:t xml:space="preserve">ced on the stack by the attacker. This then allows the attacker to execute arbitrary code which gifts the ability to run any commands or code of choice on a target machine or in a target process. One way of defending against such attacks is by using a comp</w:t>
      </w:r>
      <w:r>
        <w:t xml:space="preserve">iler that generates special values on the stack next to the return address and this then checks that it has not been tampered with before jumping. Another way of preventing these attacks is by using checks and detections before there is deployment of code.</w:t>
      </w:r>
      <w:r/>
    </w:p>
    <w:p>
      <w:pPr>
        <w:pStyle w:val="609"/>
      </w:pPr>
      <w:r/>
      <w:bookmarkStart w:id="6" w:name="_Toc96631386"/>
      <w:r>
        <w:t xml:space="preserve">Privilege-confusion </w:t>
      </w:r>
      <w:r>
        <w:t xml:space="preserve">–</w:t>
      </w:r>
      <w:r>
        <w:t xml:space="preserve"> Billy</w:t>
      </w:r>
      <w:bookmarkEnd w:id="6"/>
      <w:r/>
      <w:r/>
    </w:p>
    <w:p>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Privileges in a operating system is were an application is isolated to certain aspects of the operating system and can only have access to certain features. To Acquire extra capabilities, an application needs to specifically declare the permissions it requ</w:t>
      </w:r>
      <w:r>
        <w:rPr>
          <w:rFonts w:ascii="Arial" w:hAnsi="Arial" w:cs="Arial" w:eastAsia="Arial"/>
          <w:color w:val="000000"/>
          <w:sz w:val="22"/>
        </w:rPr>
        <w:t xml:space="preserve">ires. Per, Towards Taming Privilege-Escalation Attacks on Android (2012), A Confused Deputy attack is a type of privilege escalation attack. Confused Deputy attacks happen when a malicious application exploits vulnerable interfaces of another privileged ap</w:t>
      </w:r>
      <w:r>
        <w:rPr>
          <w:rFonts w:ascii="Arial" w:hAnsi="Arial" w:cs="Arial" w:eastAsia="Arial"/>
          <w:color w:val="000000"/>
          <w:sz w:val="22"/>
        </w:rPr>
        <w:t xml:space="preserve">plication.  This can be abused in our software and can lead to catastrophic consequences as loss of data or stealing of data from a malicious third party, which would obviously be catastrophic in our case as our software holds sensitive personal informatio</w:t>
      </w:r>
      <w:r>
        <w:rPr>
          <w:rFonts w:ascii="Arial" w:hAnsi="Arial" w:cs="Arial" w:eastAsia="Arial"/>
          <w:color w:val="000000"/>
          <w:sz w:val="22"/>
        </w:rPr>
        <w:t xml:space="preserve">n about employees.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To Stop this happening with our software we need to implement the right security measures to try and counteract the possibility of privilege confusion attacks. One obvious way too stop privilege attacks is to make sure that our program has the right permis</w:t>
      </w:r>
      <w:r>
        <w:rPr>
          <w:rFonts w:ascii="Arial" w:hAnsi="Arial" w:cs="Arial" w:eastAsia="Arial"/>
          <w:color w:val="000000"/>
          <w:sz w:val="22"/>
        </w:rPr>
        <w:t xml:space="preserve">sions. This requires us to have a in depth look at what exactly our program does and what permissions does it need to do these tasks. As having a program with permissions that it does not need can leader to greater risks as more damage can be done with hig</w:t>
      </w:r>
      <w:r>
        <w:rPr>
          <w:rFonts w:ascii="Arial" w:hAnsi="Arial" w:cs="Arial" w:eastAsia="Arial"/>
          <w:color w:val="000000"/>
          <w:sz w:val="22"/>
        </w:rPr>
        <w:t xml:space="preserve">her level permissions as it allows the application more access to the system. </w:t>
      </w:r>
      <w:r/>
    </w:p>
    <w:p>
      <w:pPr>
        <w:rPr>
          <w:rFonts w:ascii="Arial" w:hAnsi="Arial" w:cs="Arial" w:eastAsia="Arial"/>
          <w:color w:val="000000"/>
        </w:rPr>
      </w:pPr>
      <w:r>
        <w:rPr>
          <w:rFonts w:ascii="Arial" w:hAnsi="Arial" w:cs="Arial" w:eastAsia="Arial"/>
          <w:color w:val="000000"/>
        </w:rPr>
      </w:r>
      <w:r/>
    </w:p>
    <w:p>
      <w:r/>
      <w:r/>
    </w:p>
    <w:p>
      <w:pPr>
        <w:rPr>
          <w:b/>
          <w:bCs/>
          <w:highlight w:val="yellow"/>
        </w:rPr>
      </w:pPr>
      <w:r>
        <w:rPr>
          <w:b/>
          <w:bCs/>
          <w:highlight w:val="yellow"/>
        </w:rPr>
      </w:r>
      <w:r/>
    </w:p>
    <w:p>
      <w:pPr>
        <w:pStyle w:val="609"/>
      </w:pPr>
      <w:r/>
      <w:bookmarkStart w:id="7" w:name="_Toc96631387"/>
      <w:r>
        <w:t xml:space="preserve">Our choices </w:t>
      </w:r>
      <w:r>
        <w:t xml:space="preserve">–</w:t>
      </w:r>
      <w:r>
        <w:t xml:space="preserve"> </w:t>
      </w:r>
      <w:r>
        <w:t xml:space="preserve">Kavell</w:t>
      </w:r>
      <w:bookmarkEnd w:id="7"/>
      <w:r/>
      <w:r/>
    </w:p>
    <w:p>
      <w:r>
        <w:t xml:space="preserve">After considering our research we have decided to implement broken access control and identification and authentication </w:t>
      </w:r>
      <w:r>
        <w:t xml:space="preserve">failures</w:t>
      </w:r>
      <w:r>
        <w:t xml:space="preserve">,</w:t>
      </w:r>
      <w:r>
        <w:t xml:space="preserve"> </w:t>
      </w:r>
      <w:r>
        <w:t xml:space="preserve">this is because they are the most effective to </w:t>
      </w:r>
      <w:r>
        <w:t xml:space="preserve">put </w:t>
      </w:r>
      <w:r>
        <w:t xml:space="preserve">within our code. </w:t>
      </w:r>
      <w:r>
        <w:t xml:space="preserve">These will be fully implemented within phase 3.</w:t>
      </w:r>
      <w:r/>
    </w:p>
    <w:p>
      <w:r>
        <w:t xml:space="preserve">Broken access control will be implemented by </w:t>
      </w:r>
      <w:r>
        <w:t xml:space="preserve">having different levels of access, one being an admin and another </w:t>
      </w:r>
      <w:r>
        <w:t xml:space="preserve">being an associate. The admin will have full access and</w:t>
      </w:r>
      <w:r>
        <w:t xml:space="preserve"> editing</w:t>
      </w:r>
      <w:r>
        <w:t xml:space="preserve"> control of the whole application and the ass</w:t>
      </w:r>
      <w:r>
        <w:t xml:space="preserve">ociate will only have viewing</w:t>
      </w:r>
      <w:r>
        <w:t xml:space="preserve"> </w:t>
      </w:r>
      <w:r>
        <w:t xml:space="preserve">privileges</w:t>
      </w:r>
      <w:r>
        <w:t xml:space="preserve">. </w:t>
      </w:r>
      <w:r>
        <w:t xml:space="preserve">Both</w:t>
      </w:r>
      <w:r>
        <w:t xml:space="preserve"> accounts will be </w:t>
      </w:r>
      <w:r>
        <w:t xml:space="preserve">password protected.</w:t>
      </w:r>
      <w:r/>
    </w:p>
    <w:p>
      <w:r>
        <w:t xml:space="preserve">Identification and </w:t>
      </w:r>
      <w:r>
        <w:t xml:space="preserve">authentication failures will be implemented by </w:t>
      </w:r>
      <w:r>
        <w:t xml:space="preserve">using harder to guess and unique passwords</w:t>
      </w:r>
      <w:r>
        <w:t xml:space="preserve">. According to </w:t>
      </w:r>
      <w:r>
        <w:t xml:space="preserve">Security.org (2022), passwords should be more than 16 characters long, a combination of </w:t>
      </w:r>
      <w:r>
        <w:t xml:space="preserve">numbers, characters and letters, no personal information, </w:t>
      </w:r>
      <w:r>
        <w:t xml:space="preserve">and not “password”. </w:t>
      </w:r>
      <w:r/>
    </w:p>
    <w:p>
      <w:pPr>
        <w:pStyle w:val="609"/>
      </w:pPr>
      <w:r/>
      <w:bookmarkStart w:id="8" w:name="_Toc96631388"/>
      <w:r>
        <w:t xml:space="preserve">References</w:t>
      </w:r>
      <w:bookmarkEnd w:id="8"/>
      <w:r>
        <w:t xml:space="preserve"> </w:t>
      </w:r>
      <w:r/>
    </w:p>
    <w:p>
      <w:r>
        <w:rPr>
          <w:rFonts w:ascii="Calibri" w:hAnsi="Calibri" w:cs="Calibri" w:eastAsia="Calibri"/>
        </w:rPr>
        <w:t xml:space="preserve">Akritidis, P.</w:t>
      </w:r>
      <w:r>
        <w:t xml:space="preserve"> (2010) </w:t>
      </w:r>
      <w:r>
        <w:rPr>
          <w:rFonts w:ascii="Calibri" w:hAnsi="Calibri" w:cs="Calibri" w:eastAsia="Calibri"/>
        </w:rPr>
        <w:t xml:space="preserve">Cling: A Memory Allocator to Mitigate Dangling Pointers. Pp. 1-16. Available at: </w:t>
      </w:r>
      <w:r>
        <w:t xml:space="preserve">usenix.org/legacy/event/sec10/tech/full_papers/Akritidis.pdf</w:t>
      </w:r>
      <w:r>
        <w:t xml:space="preserve"> </w:t>
      </w:r>
      <w:r>
        <w:t xml:space="preserve">(Accessed: 11/02/2022).</w:t>
      </w:r>
      <w:r/>
    </w:p>
    <w:p>
      <w:r>
        <w:t xml:space="preserve">Fernandez, E.B., Mujica, S. and Valenzuela, F., </w:t>
      </w:r>
      <w:r>
        <w:t xml:space="preserve">(</w:t>
      </w:r>
      <w:r>
        <w:t xml:space="preserve">2011</w:t>
      </w:r>
      <w:r>
        <w:t xml:space="preserve">)</w:t>
      </w:r>
      <w:r>
        <w:t xml:space="preserve">. </w:t>
      </w:r>
      <w:r>
        <w:t xml:space="preserve">‘</w:t>
      </w:r>
      <w:r>
        <w:rPr>
          <w:i/>
          <w:iCs/>
        </w:rPr>
        <w:t xml:space="preserve">Two security patterns: least privilege and security logger and auditor</w:t>
      </w:r>
      <w:r>
        <w:rPr>
          <w:i/>
          <w:iCs/>
        </w:rPr>
        <w:t xml:space="preserve">.’</w:t>
      </w:r>
      <w:r>
        <w:t xml:space="preserve"> pp. 1-6.</w:t>
      </w:r>
      <w:r/>
    </w:p>
    <w:p>
      <w:r>
        <w:t xml:space="preserve">Hassan</w:t>
      </w:r>
      <w:r>
        <w:t xml:space="preserve">,</w:t>
      </w:r>
      <w:r>
        <w:t xml:space="preserve"> M</w:t>
      </w:r>
      <w:r>
        <w:t xml:space="preserve">.</w:t>
      </w:r>
      <w:r>
        <w:t xml:space="preserve">, </w:t>
      </w:r>
      <w:r>
        <w:t xml:space="preserve">Ali</w:t>
      </w:r>
      <w:r>
        <w:t xml:space="preserve">, M.,</w:t>
      </w:r>
      <w:r>
        <w:t xml:space="preserve"> Bhuiyan</w:t>
      </w:r>
      <w:r>
        <w:t xml:space="preserve">, T., </w:t>
      </w:r>
      <w:r>
        <w:t xml:space="preserve">Sharif</w:t>
      </w:r>
      <w:r>
        <w:t xml:space="preserve">, M. and </w:t>
      </w:r>
      <w:r>
        <w:t xml:space="preserve">Biswas</w:t>
      </w:r>
      <w:r>
        <w:t xml:space="preserve">, S. (2018)</w:t>
      </w:r>
      <w:r>
        <w:t xml:space="preserve"> </w:t>
      </w:r>
      <w:r>
        <w:rPr>
          <w:i/>
          <w:iCs/>
        </w:rPr>
        <w:t xml:space="preserve">Quantitative Assessment on Broken Access Control Vulnerability in Web Applications</w:t>
      </w:r>
      <w:r>
        <w:rPr>
          <w:i/>
          <w:iCs/>
        </w:rPr>
        <w:t xml:space="preserve">.</w:t>
      </w:r>
      <w:r>
        <w:t xml:space="preserve"> </w:t>
      </w:r>
      <w:r>
        <w:t xml:space="preserve">Available at: </w:t>
      </w:r>
      <w:hyperlink r:id="rId12" w:tooltip="https://www.researchgate.net/profile/Saikat-Biswas-10/publication/328956656_Quantitative_Assessment_on_Broken_Access_Control_Vulnerability_in_Web_Applications/links/5bed323d299bf1124fd38e46/Quantitative-Assessment-on-Broken-Access-Control-Vulnerability-in-Web-Applications.pdf" w:history="1">
        <w:r>
          <w:rPr>
            <w:rStyle w:val="614"/>
          </w:rPr>
          <w:t xml:space="preserve">https://www.research</w:t>
        </w:r>
        <w:r>
          <w:rPr>
            <w:rStyle w:val="614"/>
          </w:rPr>
          <w:t xml:space="preserve">gate.net/profile/Saikat-Biswas-10/publication/328956656_Quantitative_Assessment_on_Broken_Access_Control_Vulnerability_in_Web_Applications/links/5bed323d299bf1124fd38e46/Quantitative-Assessment-on-Broken-Access-Control-Vulnerability-in-Web-Applications.pdf</w:t>
        </w:r>
      </w:hyperlink>
      <w:r>
        <w:t xml:space="preserve"> </w:t>
      </w:r>
      <w:r>
        <w:t xml:space="preserve"> </w:t>
      </w:r>
      <w:r>
        <w:t xml:space="preserve">(Accessed: 11/02/2022).</w:t>
      </w:r>
      <w:r/>
    </w:p>
    <w:p>
      <w:pPr>
        <w:rPr>
          <w:rFonts w:ascii="Calibri" w:hAnsi="Calibri" w:cs="Calibri" w:eastAsia="Calibri"/>
        </w:rPr>
      </w:pPr>
      <w:r>
        <w:t xml:space="preserve">Halfond, G. J. W., Viegas, J. and Orso, A. (2006) </w:t>
      </w:r>
      <w:r>
        <w:rPr>
          <w:rFonts w:ascii="Calibri" w:hAnsi="Calibri" w:cs="Calibri" w:eastAsia="Calibri"/>
        </w:rPr>
        <w:t xml:space="preserve">A Classification of SQL Injection Attacks and Countermeasures. Pp. 1-11. Available at: </w:t>
      </w:r>
      <w:hyperlink r:id="rId13" w:tooltip="https://www.cc.gatech.edu/fac/Alex.Orso/papers/halfond.viegas.orso.ISSSE06.pdf" w:history="1">
        <w:r>
          <w:rPr>
            <w:rStyle w:val="614"/>
            <w:rFonts w:ascii="Calibri" w:hAnsi="Calibri" w:cs="Calibri" w:eastAsia="Calibri"/>
          </w:rPr>
          <w:t xml:space="preserve">https://www.cc.gatech.edu/fac/Alex.Orso/papers/halfond.viegas.orso.ISSSE06.pdf</w:t>
        </w:r>
      </w:hyperlink>
      <w:r>
        <w:rPr>
          <w:rFonts w:ascii="Calibri" w:hAnsi="Calibri" w:cs="Calibri" w:eastAsia="Calibri"/>
        </w:rPr>
        <w:t xml:space="preserve"> (Accessed: 10</w:t>
      </w:r>
      <w:r>
        <w:rPr>
          <w:rFonts w:ascii="Calibri" w:hAnsi="Calibri" w:cs="Calibri" w:eastAsia="Calibri"/>
          <w:vertAlign w:val="superscript"/>
        </w:rPr>
        <w:t xml:space="preserve">th</w:t>
      </w:r>
      <w:r>
        <w:rPr>
          <w:rFonts w:ascii="Calibri" w:hAnsi="Calibri" w:cs="Calibri" w:eastAsia="Calibri"/>
        </w:rPr>
        <w:t xml:space="preserve"> </w:t>
      </w:r>
      <w:r>
        <w:t xml:space="preserve">February </w:t>
      </w:r>
      <w:r>
        <w:rPr>
          <w:rFonts w:ascii="Calibri" w:hAnsi="Calibri" w:cs="Calibri" w:eastAsia="Calibri"/>
        </w:rPr>
        <w:t xml:space="preserve">2022).</w:t>
      </w:r>
      <w:r/>
    </w:p>
    <w:p>
      <w:r>
        <w:t xml:space="preserve">Kulon, J.</w:t>
      </w:r>
      <w:r>
        <w:t xml:space="preserve"> </w:t>
      </w:r>
      <w:r>
        <w:t xml:space="preserve">(2022) Lecture quote, 17/02/2022.</w:t>
      </w:r>
      <w:r/>
    </w:p>
    <w:p>
      <w:r>
        <w:t xml:space="preserve">Larochelle D. and Evans, D. </w:t>
      </w:r>
      <w:r>
        <w:t xml:space="preserve">(2001) </w:t>
      </w:r>
      <w:r>
        <w:t xml:space="preserve">Statically Detecting Likely Buffer Overflow Vulnerabilities. Pp. 1. Available at: </w:t>
      </w:r>
      <w:hyperlink r:id="rId14" w:tooltip="https://www.usenix.org/legacy/events/sec01/full_papers/larochelle/larochelle_html/" w:history="1">
        <w:r>
          <w:rPr>
            <w:rStyle w:val="614"/>
          </w:rPr>
          <w:t xml:space="preserve">https://www.usenix.org/legacy/events/sec01/full_papers/larochelle/larochelle_html/</w:t>
        </w:r>
      </w:hyperlink>
      <w:r>
        <w:t xml:space="preserve"> </w:t>
      </w:r>
      <w:r>
        <w:t xml:space="preserve">(Accessed: 11/02/2022)</w:t>
      </w:r>
      <w:r>
        <w:t xml:space="preserve">.</w:t>
      </w:r>
      <w:r/>
    </w:p>
    <w:p>
      <w:pPr>
        <w:rPr>
          <w:rFonts w:ascii="Calibri" w:hAnsi="Calibri" w:cs="Calibri" w:eastAsia="Calibri"/>
        </w:rPr>
      </w:pPr>
      <w:r>
        <w:t xml:space="preserve">Security</w:t>
      </w:r>
      <w:r>
        <w:t xml:space="preserve"> (2022) </w:t>
      </w:r>
      <w:r>
        <w:rPr>
          <w:i/>
          <w:iCs/>
        </w:rPr>
        <w:t xml:space="preserve">How Secure Is My Password?</w:t>
      </w:r>
      <w:r>
        <w:rPr>
          <w:i/>
          <w:iCs/>
        </w:rPr>
        <w:t xml:space="preserve">. </w:t>
      </w:r>
      <w:r>
        <w:t xml:space="preserve">Available at: </w:t>
      </w:r>
      <w:hyperlink r:id="rId15" w:tooltip="https://www.security.org/how-secure-is-my-password/" w:history="1">
        <w:r>
          <w:rPr>
            <w:rStyle w:val="614"/>
          </w:rPr>
          <w:t xml:space="preserve">https://www.security.org/how-secure-is-my-password/</w:t>
        </w:r>
      </w:hyperlink>
      <w:r>
        <w:t xml:space="preserve"> (Accessed</w:t>
      </w:r>
      <w:r>
        <w:t xml:space="preserve">: 11/02/2022)</w:t>
      </w:r>
      <w:r>
        <w:t xml:space="preserve">.</w:t>
      </w:r>
      <w:r/>
    </w:p>
    <w:p>
      <w:r>
        <w:t xml:space="preserve">OWASP (2021) </w:t>
      </w:r>
      <w:r>
        <w:rPr>
          <w:i/>
          <w:iCs/>
        </w:rPr>
        <w:t xml:space="preserve">A04:2021 – Insecure Design.</w:t>
      </w:r>
      <w:r>
        <w:t xml:space="preserve"> Available at: </w:t>
      </w:r>
      <w:hyperlink r:id="rId16" w:tooltip="https://owasp.org/Top10/A04_2021-Insecure_Design/" w:history="1">
        <w:r>
          <w:rPr>
            <w:rStyle w:val="614"/>
          </w:rPr>
          <w:t xml:space="preserve">https://owasp.org/Top10/A04_2021-Insecure_Design/</w:t>
        </w:r>
      </w:hyperlink>
      <w:r>
        <w:t xml:space="preserve"> (Accessed 17/02/2022).</w:t>
      </w:r>
      <w:r/>
    </w:p>
    <w:p>
      <w:r>
        <w:t xml:space="preserve">OWASP </w:t>
      </w:r>
      <w:r>
        <w:t xml:space="preserve">(2021)</w:t>
      </w:r>
      <w:r>
        <w:t xml:space="preserve"> </w:t>
      </w:r>
      <w:r>
        <w:rPr>
          <w:i/>
          <w:iCs/>
        </w:rPr>
        <w:t xml:space="preserve">OWASP Top Ten</w:t>
      </w:r>
      <w:r>
        <w:rPr>
          <w:i/>
          <w:iCs/>
        </w:rPr>
        <w:t xml:space="preserve">. </w:t>
      </w:r>
      <w:r>
        <w:t xml:space="preserve">Available at: </w:t>
      </w:r>
      <w:hyperlink r:id="rId17" w:tooltip="https://owasp.org/www-project-top-ten/" w:history="1">
        <w:r>
          <w:rPr>
            <w:rStyle w:val="614"/>
          </w:rPr>
          <w:t xml:space="preserve">https://owasp.org/www-project-top-ten/</w:t>
        </w:r>
      </w:hyperlink>
      <w:r>
        <w:t xml:space="preserve"> </w:t>
      </w:r>
      <w:r>
        <w:t xml:space="preserve">(Accessed: 1</w:t>
      </w:r>
      <w:r>
        <w:t xml:space="preserve">1/02/</w:t>
      </w:r>
      <w:r>
        <w:t xml:space="preserve">2022).</w:t>
      </w:r>
      <w:r/>
    </w:p>
    <w:p>
      <w:pPr>
        <w:rPr>
          <w:rFonts w:eastAsiaTheme="minorEastAsia"/>
          <w:color w:val="000000"/>
        </w:rPr>
      </w:pPr>
      <w:r>
        <w:rPr>
          <w:rFonts w:eastAsiaTheme="minorEastAsia"/>
        </w:rPr>
      </w:r>
      <w:r>
        <w:rPr>
          <w:rFonts w:ascii="Calibri" w:hAnsi="Calibri" w:cs="Calibri" w:eastAsia="Calibri" w:eastAsiaTheme="minorEastAsia"/>
          <w:color w:val="000000"/>
          <w:sz w:val="22"/>
          <w:highlight w:val="white"/>
        </w:rPr>
        <w:t xml:space="preserve">Towards Taming Privilege-Escalation Attacks on Android (2012), Available at: &lt;https://pdfs.semanticscholar.org/350d/9814ed771b1dd418190b7cd612c487730a91.pdf&gt; [Accessed 17 February 2022]. </w:t>
      </w:r>
      <w:r>
        <w:rPr>
          <w:rFonts w:eastAsiaTheme="minorEastAsia"/>
        </w:rPr>
      </w:r>
      <w:r>
        <w:rPr>
          <w:rFonts w:eastAsiaTheme="minorEastAsia"/>
        </w:rP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asciiTheme="majorHAnsi" w:hAnsiTheme="majorHAnsi" w:eastAsiaTheme="majorEastAsia" w:cstheme="majorBidi"/>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GB"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2"/>
    <w:basedOn w:val="608"/>
    <w:next w:val="60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10"/>
    <w:link w:val="13"/>
    <w:uiPriority w:val="9"/>
    <w:rPr>
      <w:rFonts w:ascii="Arial" w:hAnsi="Arial" w:cs="Arial" w:eastAsia="Arial"/>
      <w:sz w:val="34"/>
    </w:rPr>
  </w:style>
  <w:style w:type="paragraph" w:styleId="15">
    <w:name w:val="Heading 3"/>
    <w:basedOn w:val="608"/>
    <w:next w:val="60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10"/>
    <w:link w:val="15"/>
    <w:uiPriority w:val="9"/>
    <w:rPr>
      <w:rFonts w:ascii="Arial" w:hAnsi="Arial" w:cs="Arial" w:eastAsia="Arial"/>
      <w:sz w:val="30"/>
      <w:szCs w:val="30"/>
    </w:rPr>
  </w:style>
  <w:style w:type="paragraph" w:styleId="17">
    <w:name w:val="Heading 4"/>
    <w:basedOn w:val="608"/>
    <w:next w:val="60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10"/>
    <w:link w:val="17"/>
    <w:uiPriority w:val="9"/>
    <w:rPr>
      <w:rFonts w:ascii="Arial" w:hAnsi="Arial" w:cs="Arial" w:eastAsia="Arial"/>
      <w:b/>
      <w:bCs/>
      <w:sz w:val="26"/>
      <w:szCs w:val="26"/>
    </w:rPr>
  </w:style>
  <w:style w:type="paragraph" w:styleId="19">
    <w:name w:val="Heading 5"/>
    <w:basedOn w:val="608"/>
    <w:next w:val="60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10"/>
    <w:link w:val="19"/>
    <w:uiPriority w:val="9"/>
    <w:rPr>
      <w:rFonts w:ascii="Arial" w:hAnsi="Arial" w:cs="Arial" w:eastAsia="Arial"/>
      <w:b/>
      <w:bCs/>
      <w:sz w:val="24"/>
      <w:szCs w:val="24"/>
    </w:rPr>
  </w:style>
  <w:style w:type="paragraph" w:styleId="21">
    <w:name w:val="Heading 6"/>
    <w:basedOn w:val="608"/>
    <w:next w:val="60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10"/>
    <w:link w:val="21"/>
    <w:uiPriority w:val="9"/>
    <w:rPr>
      <w:rFonts w:ascii="Arial" w:hAnsi="Arial" w:cs="Arial" w:eastAsia="Arial"/>
      <w:b/>
      <w:bCs/>
      <w:sz w:val="22"/>
      <w:szCs w:val="22"/>
    </w:rPr>
  </w:style>
  <w:style w:type="paragraph" w:styleId="23">
    <w:name w:val="Heading 7"/>
    <w:basedOn w:val="608"/>
    <w:next w:val="60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10"/>
    <w:link w:val="23"/>
    <w:uiPriority w:val="9"/>
    <w:rPr>
      <w:rFonts w:ascii="Arial" w:hAnsi="Arial" w:cs="Arial" w:eastAsia="Arial"/>
      <w:b/>
      <w:bCs/>
      <w:i/>
      <w:iCs/>
      <w:sz w:val="22"/>
      <w:szCs w:val="22"/>
    </w:rPr>
  </w:style>
  <w:style w:type="paragraph" w:styleId="25">
    <w:name w:val="Heading 8"/>
    <w:basedOn w:val="608"/>
    <w:next w:val="60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10"/>
    <w:link w:val="25"/>
    <w:uiPriority w:val="9"/>
    <w:rPr>
      <w:rFonts w:ascii="Arial" w:hAnsi="Arial" w:cs="Arial" w:eastAsia="Arial"/>
      <w:i/>
      <w:iCs/>
      <w:sz w:val="22"/>
      <w:szCs w:val="22"/>
    </w:rPr>
  </w:style>
  <w:style w:type="paragraph" w:styleId="27">
    <w:name w:val="Heading 9"/>
    <w:basedOn w:val="608"/>
    <w:next w:val="60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10"/>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608"/>
    <w:next w:val="608"/>
    <w:link w:val="33"/>
    <w:qFormat/>
    <w:uiPriority w:val="10"/>
    <w:rPr>
      <w:sz w:val="48"/>
      <w:szCs w:val="48"/>
    </w:rPr>
    <w:pPr>
      <w:contextualSpacing w:val="true"/>
      <w:spacing w:after="200" w:before="300"/>
    </w:pPr>
  </w:style>
  <w:style w:type="character" w:styleId="33">
    <w:name w:val="Title Char"/>
    <w:basedOn w:val="610"/>
    <w:link w:val="32"/>
    <w:uiPriority w:val="10"/>
    <w:rPr>
      <w:sz w:val="48"/>
      <w:szCs w:val="48"/>
    </w:rPr>
  </w:style>
  <w:style w:type="paragraph" w:styleId="34">
    <w:name w:val="Subtitle"/>
    <w:basedOn w:val="608"/>
    <w:next w:val="608"/>
    <w:link w:val="35"/>
    <w:qFormat/>
    <w:uiPriority w:val="11"/>
    <w:rPr>
      <w:sz w:val="24"/>
      <w:szCs w:val="24"/>
    </w:rPr>
    <w:pPr>
      <w:spacing w:after="200" w:before="200"/>
    </w:pPr>
  </w:style>
  <w:style w:type="character" w:styleId="35">
    <w:name w:val="Subtitle Char"/>
    <w:basedOn w:val="610"/>
    <w:link w:val="34"/>
    <w:uiPriority w:val="11"/>
    <w:rPr>
      <w:sz w:val="24"/>
      <w:szCs w:val="24"/>
    </w:rPr>
  </w:style>
  <w:style w:type="paragraph" w:styleId="36">
    <w:name w:val="Quote"/>
    <w:basedOn w:val="608"/>
    <w:next w:val="608"/>
    <w:link w:val="37"/>
    <w:qFormat/>
    <w:uiPriority w:val="29"/>
    <w:rPr>
      <w:i/>
    </w:rPr>
    <w:pPr>
      <w:ind w:left="720" w:right="720"/>
    </w:pPr>
  </w:style>
  <w:style w:type="character" w:styleId="37">
    <w:name w:val="Quote Char"/>
    <w:link w:val="36"/>
    <w:uiPriority w:val="29"/>
    <w:rPr>
      <w:i/>
    </w:rPr>
  </w:style>
  <w:style w:type="paragraph" w:styleId="38">
    <w:name w:val="Intense Quote"/>
    <w:basedOn w:val="608"/>
    <w:next w:val="60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08"/>
    <w:link w:val="41"/>
    <w:uiPriority w:val="99"/>
    <w:unhideWhenUsed/>
    <w:pPr>
      <w:spacing w:lineRule="auto" w:line="240" w:after="0"/>
      <w:tabs>
        <w:tab w:val="center" w:pos="7143" w:leader="none"/>
        <w:tab w:val="right" w:pos="14287" w:leader="none"/>
      </w:tabs>
    </w:pPr>
  </w:style>
  <w:style w:type="character" w:styleId="41">
    <w:name w:val="Header Char"/>
    <w:basedOn w:val="610"/>
    <w:link w:val="40"/>
    <w:uiPriority w:val="99"/>
  </w:style>
  <w:style w:type="paragraph" w:styleId="42">
    <w:name w:val="Footer"/>
    <w:basedOn w:val="608"/>
    <w:link w:val="45"/>
    <w:uiPriority w:val="99"/>
    <w:unhideWhenUsed/>
    <w:pPr>
      <w:spacing w:lineRule="auto" w:line="240" w:after="0"/>
      <w:tabs>
        <w:tab w:val="center" w:pos="7143" w:leader="none"/>
        <w:tab w:val="right" w:pos="14287" w:leader="none"/>
      </w:tabs>
    </w:pPr>
  </w:style>
  <w:style w:type="character" w:styleId="43">
    <w:name w:val="Footer Char"/>
    <w:basedOn w:val="610"/>
    <w:link w:val="42"/>
    <w:uiPriority w:val="99"/>
  </w:style>
  <w:style w:type="paragraph" w:styleId="44">
    <w:name w:val="Caption"/>
    <w:basedOn w:val="608"/>
    <w:next w:val="60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61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1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1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1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1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1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1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1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1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1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1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1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1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1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1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1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1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1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1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1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6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6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6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6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6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6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61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1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1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1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1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1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61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61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61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61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61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61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611"/>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1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11"/>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11"/>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11"/>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11"/>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11"/>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1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1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1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1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1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1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1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1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61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6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61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6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61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61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61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61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61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61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61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61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61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61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1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1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1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1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1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1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1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1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1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1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1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1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1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1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1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1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1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1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1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1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6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6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6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6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6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6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61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61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61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61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61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61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61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61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1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1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1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1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1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1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60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10"/>
    <w:uiPriority w:val="99"/>
    <w:unhideWhenUsed/>
    <w:rPr>
      <w:vertAlign w:val="superscript"/>
    </w:rPr>
  </w:style>
  <w:style w:type="paragraph" w:styleId="176">
    <w:name w:val="endnote text"/>
    <w:basedOn w:val="60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10"/>
    <w:uiPriority w:val="99"/>
    <w:semiHidden/>
    <w:unhideWhenUsed/>
    <w:rPr>
      <w:vertAlign w:val="superscript"/>
    </w:rPr>
  </w:style>
  <w:style w:type="paragraph" w:styleId="180">
    <w:name w:val="toc 2"/>
    <w:basedOn w:val="608"/>
    <w:next w:val="608"/>
    <w:uiPriority w:val="39"/>
    <w:unhideWhenUsed/>
    <w:pPr>
      <w:ind w:left="283" w:right="0" w:firstLine="0"/>
      <w:spacing w:after="57"/>
    </w:pPr>
  </w:style>
  <w:style w:type="paragraph" w:styleId="181">
    <w:name w:val="toc 3"/>
    <w:basedOn w:val="608"/>
    <w:next w:val="608"/>
    <w:uiPriority w:val="39"/>
    <w:unhideWhenUsed/>
    <w:pPr>
      <w:ind w:left="567" w:right="0" w:firstLine="0"/>
      <w:spacing w:after="57"/>
    </w:pPr>
  </w:style>
  <w:style w:type="paragraph" w:styleId="182">
    <w:name w:val="toc 4"/>
    <w:basedOn w:val="608"/>
    <w:next w:val="608"/>
    <w:uiPriority w:val="39"/>
    <w:unhideWhenUsed/>
    <w:pPr>
      <w:ind w:left="850" w:right="0" w:firstLine="0"/>
      <w:spacing w:after="57"/>
    </w:pPr>
  </w:style>
  <w:style w:type="paragraph" w:styleId="183">
    <w:name w:val="toc 5"/>
    <w:basedOn w:val="608"/>
    <w:next w:val="608"/>
    <w:uiPriority w:val="39"/>
    <w:unhideWhenUsed/>
    <w:pPr>
      <w:ind w:left="1134" w:right="0" w:firstLine="0"/>
      <w:spacing w:after="57"/>
    </w:pPr>
  </w:style>
  <w:style w:type="paragraph" w:styleId="184">
    <w:name w:val="toc 6"/>
    <w:basedOn w:val="608"/>
    <w:next w:val="608"/>
    <w:uiPriority w:val="39"/>
    <w:unhideWhenUsed/>
    <w:pPr>
      <w:ind w:left="1417" w:right="0" w:firstLine="0"/>
      <w:spacing w:after="57"/>
    </w:pPr>
  </w:style>
  <w:style w:type="paragraph" w:styleId="185">
    <w:name w:val="toc 7"/>
    <w:basedOn w:val="608"/>
    <w:next w:val="608"/>
    <w:uiPriority w:val="39"/>
    <w:unhideWhenUsed/>
    <w:pPr>
      <w:ind w:left="1701" w:right="0" w:firstLine="0"/>
      <w:spacing w:after="57"/>
    </w:pPr>
  </w:style>
  <w:style w:type="paragraph" w:styleId="186">
    <w:name w:val="toc 8"/>
    <w:basedOn w:val="608"/>
    <w:next w:val="608"/>
    <w:uiPriority w:val="39"/>
    <w:unhideWhenUsed/>
    <w:pPr>
      <w:ind w:left="1984" w:right="0" w:firstLine="0"/>
      <w:spacing w:after="57"/>
    </w:pPr>
  </w:style>
  <w:style w:type="paragraph" w:styleId="187">
    <w:name w:val="toc 9"/>
    <w:basedOn w:val="608"/>
    <w:next w:val="608"/>
    <w:uiPriority w:val="39"/>
    <w:unhideWhenUsed/>
    <w:pPr>
      <w:ind w:left="2268" w:right="0" w:firstLine="0"/>
      <w:spacing w:after="57"/>
    </w:pPr>
  </w:style>
  <w:style w:type="paragraph" w:styleId="189">
    <w:name w:val="table of figures"/>
    <w:basedOn w:val="608"/>
    <w:next w:val="608"/>
    <w:uiPriority w:val="99"/>
    <w:unhideWhenUsed/>
    <w:pPr>
      <w:spacing w:after="0" w:afterAutospacing="0"/>
    </w:pPr>
  </w:style>
  <w:style w:type="paragraph" w:styleId="608" w:default="1">
    <w:name w:val="Normal"/>
    <w:qFormat/>
  </w:style>
  <w:style w:type="paragraph" w:styleId="609">
    <w:name w:val="Heading 1"/>
    <w:basedOn w:val="608"/>
    <w:next w:val="608"/>
    <w:link w:val="615"/>
    <w:qFormat/>
    <w:uiPriority w:val="9"/>
    <w:rPr>
      <w:rFonts w:asciiTheme="majorHAnsi" w:hAnsiTheme="majorHAnsi" w:eastAsiaTheme="majorEastAsia" w:cstheme="majorBidi"/>
      <w:color w:val="2F5496" w:themeColor="accent1" w:themeShade="BF"/>
      <w:sz w:val="32"/>
      <w:szCs w:val="32"/>
    </w:rPr>
    <w:pPr>
      <w:keepLines/>
      <w:keepNext/>
      <w:spacing w:after="0" w:before="240"/>
      <w:outlineLvl w:val="0"/>
    </w:pPr>
  </w:style>
  <w:style w:type="character" w:styleId="610" w:default="1">
    <w:name w:val="Default Paragraph Font"/>
    <w:uiPriority w:val="1"/>
    <w:semiHidden/>
    <w:unhideWhenUsed/>
  </w:style>
  <w:style w:type="table" w:styleId="611" w:default="1">
    <w:name w:val="Normal Table"/>
    <w:uiPriority w:val="99"/>
    <w:semiHidden/>
    <w:unhideWhenUsed/>
    <w:tblPr>
      <w:tblInd w:w="0" w:type="dxa"/>
      <w:tblCellMar>
        <w:left w:w="108" w:type="dxa"/>
        <w:top w:w="0" w:type="dxa"/>
        <w:right w:w="108" w:type="dxa"/>
        <w:bottom w:w="0" w:type="dxa"/>
      </w:tblCellMar>
    </w:tblPr>
  </w:style>
  <w:style w:type="numbering" w:styleId="612" w:default="1">
    <w:name w:val="No List"/>
    <w:uiPriority w:val="99"/>
    <w:semiHidden/>
    <w:unhideWhenUsed/>
  </w:style>
  <w:style w:type="paragraph" w:styleId="613">
    <w:name w:val="List Paragraph"/>
    <w:basedOn w:val="608"/>
    <w:qFormat/>
    <w:uiPriority w:val="34"/>
    <w:pPr>
      <w:contextualSpacing w:val="true"/>
      <w:ind w:left="720"/>
    </w:pPr>
  </w:style>
  <w:style w:type="character" w:styleId="614">
    <w:name w:val="Hyperlink"/>
    <w:basedOn w:val="610"/>
    <w:uiPriority w:val="99"/>
    <w:unhideWhenUsed/>
    <w:rPr>
      <w:color w:val="0563C1" w:themeColor="hyperlink"/>
      <w:u w:val="single"/>
    </w:rPr>
  </w:style>
  <w:style w:type="character" w:styleId="615" w:customStyle="1">
    <w:name w:val="Heading 1 Char"/>
    <w:basedOn w:val="610"/>
    <w:link w:val="609"/>
    <w:uiPriority w:val="9"/>
    <w:rPr>
      <w:rFonts w:asciiTheme="majorHAnsi" w:hAnsiTheme="majorHAnsi" w:eastAsiaTheme="majorEastAsia" w:cstheme="majorBidi"/>
      <w:color w:val="2F5496" w:themeColor="accent1" w:themeShade="BF"/>
      <w:sz w:val="32"/>
      <w:szCs w:val="32"/>
    </w:rPr>
  </w:style>
  <w:style w:type="paragraph" w:styleId="616">
    <w:name w:val="TOC Heading"/>
    <w:basedOn w:val="609"/>
    <w:next w:val="608"/>
    <w:qFormat/>
    <w:uiPriority w:val="39"/>
    <w:unhideWhenUsed/>
    <w:rPr>
      <w:lang w:val="en-US"/>
    </w:rPr>
    <w:pPr>
      <w:outlineLvl w:val="9"/>
    </w:pPr>
  </w:style>
  <w:style w:type="paragraph" w:styleId="617">
    <w:name w:val="toc 1"/>
    <w:basedOn w:val="608"/>
    <w:next w:val="608"/>
    <w:uiPriority w:val="39"/>
    <w:unhideWhenUsed/>
    <w:pPr>
      <w:spacing w:after="100"/>
    </w:pPr>
  </w:style>
  <w:style w:type="character" w:styleId="618">
    <w:name w:val="Unresolved Mention"/>
    <w:basedOn w:val="610"/>
    <w:uiPriority w:val="99"/>
    <w:semiHidden/>
    <w:unhideWhenUsed/>
    <w:rPr>
      <w:color w:val="605E5C"/>
      <w:shd w:val="clear" w:fill="E1DFDD" w:color="auto"/>
    </w:rPr>
  </w:style>
  <w:style w:type="paragraph" w:styleId="619" w:customStyle="1">
    <w:name w:val="paragraph"/>
    <w:basedOn w:val="608"/>
    <w:rPr>
      <w:rFonts w:ascii="Times New Roman" w:hAnsi="Times New Roman" w:cs="Times New Roman" w:eastAsia="Times New Roman"/>
      <w:sz w:val="24"/>
      <w:szCs w:val="24"/>
      <w:lang w:eastAsia="en-GB"/>
    </w:rPr>
    <w:pPr>
      <w:spacing w:lineRule="auto" w:line="240" w:after="100" w:afterAutospacing="1" w:before="100" w:beforeAutospacing="1"/>
    </w:pPr>
  </w:style>
  <w:style w:type="character" w:styleId="620" w:customStyle="1">
    <w:name w:val="normaltextrun"/>
    <w:basedOn w:val="610"/>
  </w:style>
  <w:style w:type="character" w:styleId="621" w:customStyle="1">
    <w:name w:val="eop"/>
    <w:basedOn w:val="610"/>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image" Target="media/image1.png"/><Relationship Id="rId12" Type="http://schemas.openxmlformats.org/officeDocument/2006/relationships/hyperlink" Target="https://www.researchgate.net/profile/Saikat-Biswas-10/publication/328956656_Quantitative_Assessment_on_Broken_Access_Control_Vulnerability_in_Web_Applications/links/5bed323d299bf1124fd38e46/Quantitative-Assessment-on-Broken-Access-Control-Vulnerability-in-Web-Applications.pdf" TargetMode="External"/><Relationship Id="rId13" Type="http://schemas.openxmlformats.org/officeDocument/2006/relationships/hyperlink" Target="https://www.cc.gatech.edu/fac/Alex.Orso/papers/halfond.viegas.orso.ISSSE06.pdf" TargetMode="External"/><Relationship Id="rId14" Type="http://schemas.openxmlformats.org/officeDocument/2006/relationships/hyperlink" Target="https://www.usenix.org/legacy/events/sec01/full_papers/larochelle/larochelle_html/" TargetMode="External"/><Relationship Id="rId15" Type="http://schemas.openxmlformats.org/officeDocument/2006/relationships/hyperlink" Target="https://www.security.org/how-secure-is-my-password/" TargetMode="External"/><Relationship Id="rId16" Type="http://schemas.openxmlformats.org/officeDocument/2006/relationships/hyperlink" Target="https://owasp.org/Top10/A04_2021-Insecure_Design/" TargetMode="External"/><Relationship Id="rId17" Type="http://schemas.openxmlformats.org/officeDocument/2006/relationships/hyperlink" Target="https://owasp.org/www-project-top-te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0ACD745F-CE6B-479E-A922-986AB33C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 (FCES)</dc:creator>
  <cp:keywords/>
  <dc:description/>
  <cp:revision>305</cp:revision>
  <dcterms:created xsi:type="dcterms:W3CDTF">2022-02-08T20:41:00Z</dcterms:created>
  <dcterms:modified xsi:type="dcterms:W3CDTF">2022-02-25T22:03:42Z</dcterms:modified>
</cp:coreProperties>
</file>