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7D1D" w14:textId="213FD1CE" w:rsidR="00E317CB" w:rsidRDefault="00E317CB" w:rsidP="00542AE7"/>
    <w:p w14:paraId="4B173F6F" w14:textId="77777777" w:rsidR="00E72D4C" w:rsidRDefault="00E317CB" w:rsidP="00E72D4C">
      <w:r>
        <w:t>In the below “The State of Projects by total and Category,</w:t>
      </w:r>
      <w:r w:rsidRPr="00E317CB">
        <w:t xml:space="preserve"> </w:t>
      </w:r>
      <w:r w:rsidRPr="00E317CB">
        <w:t>Theater</w:t>
      </w:r>
      <w:r w:rsidRPr="00E317CB">
        <w:t xml:space="preserve">, Music, Film &amp; Video </w:t>
      </w:r>
      <w:r w:rsidRPr="00E317CB">
        <w:t>projects</w:t>
      </w:r>
      <w:r w:rsidRPr="00E317CB">
        <w:t xml:space="preserve"> are 3 of the 4 top in total project numbers</w:t>
      </w:r>
      <w:r>
        <w:t xml:space="preserve"> and e</w:t>
      </w:r>
      <w:r w:rsidRPr="00E317CB">
        <w:t xml:space="preserve">ach </w:t>
      </w:r>
      <w:r>
        <w:t xml:space="preserve">of these three categories </w:t>
      </w:r>
      <w:r w:rsidRPr="00E317CB">
        <w:t xml:space="preserve">are over 50% successful in meeting goal funding.  </w:t>
      </w:r>
    </w:p>
    <w:p w14:paraId="71404F74" w14:textId="1AD7C21D" w:rsidR="00E72D4C" w:rsidRDefault="00E72D4C" w:rsidP="00E72D4C">
      <w:r>
        <w:t>O</w:t>
      </w:r>
      <w:r w:rsidRPr="00E317CB">
        <w:t xml:space="preserve">f the </w:t>
      </w:r>
      <w:r>
        <w:t>4</w:t>
      </w:r>
      <w:r w:rsidRPr="00E317CB">
        <w:t xml:space="preserve"> </w:t>
      </w:r>
      <w:r>
        <w:t xml:space="preserve">top </w:t>
      </w:r>
      <w:r w:rsidRPr="00E317CB">
        <w:t>categories</w:t>
      </w:r>
      <w:r>
        <w:t>,</w:t>
      </w:r>
      <w:r w:rsidRPr="00E317CB">
        <w:t xml:space="preserve"> </w:t>
      </w:r>
      <w:r w:rsidRPr="00E317CB">
        <w:t xml:space="preserve">Music </w:t>
      </w:r>
      <w:r>
        <w:t xml:space="preserve">category </w:t>
      </w:r>
      <w:r w:rsidRPr="00E317CB">
        <w:t xml:space="preserve">has the highest successful rate.  </w:t>
      </w:r>
    </w:p>
    <w:p w14:paraId="669CEEA1" w14:textId="30E672A2" w:rsidR="00E72D4C" w:rsidRDefault="00E72D4C" w:rsidP="00E72D4C">
      <w:r>
        <w:rPr>
          <w:noProof/>
        </w:rPr>
        <w:drawing>
          <wp:anchor distT="0" distB="0" distL="114300" distR="114300" simplePos="0" relativeHeight="251658240" behindDoc="1" locked="0" layoutInCell="1" allowOverlap="1" wp14:anchorId="3E91618B" wp14:editId="0D80B0DE">
            <wp:simplePos x="0" y="0"/>
            <wp:positionH relativeFrom="margin">
              <wp:posOffset>-60960</wp:posOffset>
            </wp:positionH>
            <wp:positionV relativeFrom="paragraph">
              <wp:posOffset>394335</wp:posOffset>
            </wp:positionV>
            <wp:extent cx="6774180" cy="4236720"/>
            <wp:effectExtent l="0" t="0" r="7620" b="11430"/>
            <wp:wrapTight wrapText="bothSides">
              <wp:wrapPolygon edited="0">
                <wp:start x="0" y="0"/>
                <wp:lineTo x="0" y="21561"/>
                <wp:lineTo x="21564" y="21561"/>
                <wp:lineTo x="2156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484478-C295-4841-B8FF-E6EF0CDA13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All </w:t>
      </w:r>
      <w:r w:rsidR="00E317CB">
        <w:t xml:space="preserve">of the other </w:t>
      </w:r>
      <w:r>
        <w:t xml:space="preserve">6 </w:t>
      </w:r>
      <w:r w:rsidR="00E317CB">
        <w:t xml:space="preserve">categories </w:t>
      </w:r>
      <w:r>
        <w:t xml:space="preserve">were below a </w:t>
      </w:r>
      <w:r w:rsidR="00E317CB">
        <w:t xml:space="preserve">50% success rate.  </w:t>
      </w:r>
    </w:p>
    <w:p w14:paraId="503EB1EC" w14:textId="77777777" w:rsidR="00E72D4C" w:rsidRDefault="00E72D4C"/>
    <w:p w14:paraId="00404457" w14:textId="77777777" w:rsidR="00E72D4C" w:rsidRDefault="00E72D4C"/>
    <w:p w14:paraId="1934F629" w14:textId="77777777" w:rsidR="002C4FC6" w:rsidRDefault="002C4FC6" w:rsidP="00E72D4C"/>
    <w:p w14:paraId="62B61E8F" w14:textId="26189C68" w:rsidR="00E72D4C" w:rsidRDefault="00E72D4C" w:rsidP="00E72D4C">
      <w:r>
        <w:t>In the graph, “</w:t>
      </w:r>
      <w:r w:rsidRPr="00E72D4C">
        <w:t>The State of Projects by Total Number &amp; Sub-Category</w:t>
      </w:r>
      <w:r>
        <w:t xml:space="preserve">”. </w:t>
      </w:r>
      <w:r w:rsidRPr="00E317CB">
        <w:t>Plays project are almost 5x the number of next leading individual sub-category project</w:t>
      </w:r>
      <w:r>
        <w:t xml:space="preserve"> and exceeds</w:t>
      </w:r>
      <w:r w:rsidRPr="00E317CB">
        <w:t xml:space="preserve"> 50% successful rate at meeting goal funding.</w:t>
      </w:r>
    </w:p>
    <w:p w14:paraId="5DA4DFCB" w14:textId="77777777" w:rsidR="00E72D4C" w:rsidRDefault="00E72D4C"/>
    <w:p w14:paraId="089A64C5" w14:textId="77777777" w:rsidR="002C4FC6" w:rsidRDefault="002C4FC6">
      <w:pPr>
        <w:sectPr w:rsidR="002C4FC6" w:rsidSect="00F239CC"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4CA29E03" w14:textId="1C2312F1" w:rsidR="00E72D4C" w:rsidRDefault="00E72D4C"/>
    <w:p w14:paraId="35499E11" w14:textId="4CBA5E9E" w:rsidR="00002318" w:rsidRDefault="00A942E1"/>
    <w:p w14:paraId="18CB5853" w14:textId="77777777" w:rsidR="002C4FC6" w:rsidRDefault="00E72D4C">
      <w:pPr>
        <w:sectPr w:rsidR="002C4FC6" w:rsidSect="00E72D4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CB049" wp14:editId="14AA3DD0">
            <wp:simplePos x="0" y="0"/>
            <wp:positionH relativeFrom="margin">
              <wp:posOffset>-50800</wp:posOffset>
            </wp:positionH>
            <wp:positionV relativeFrom="paragraph">
              <wp:posOffset>547370</wp:posOffset>
            </wp:positionV>
            <wp:extent cx="9235440" cy="5161280"/>
            <wp:effectExtent l="0" t="0" r="3810" b="1270"/>
            <wp:wrapThrough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144C7A-5E23-47DD-B6EC-1BB295EC0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19F1EDD" w14:textId="77777777" w:rsidR="00F239CC" w:rsidRDefault="00F239CC" w:rsidP="002C4FC6">
      <w:r>
        <w:lastRenderedPageBreak/>
        <w:t xml:space="preserve">Current data does not contain information on the individual </w:t>
      </w:r>
      <w:r w:rsidR="002C4FC6">
        <w:t>amount</w:t>
      </w:r>
      <w:r>
        <w:t>s</w:t>
      </w:r>
      <w:r w:rsidR="002C4FC6">
        <w:t xml:space="preserve"> pledge</w:t>
      </w:r>
      <w:r>
        <w:t>d per backer</w:t>
      </w:r>
      <w:r w:rsidR="002C4FC6">
        <w:t xml:space="preserve">.  It could be useful to study any correlation between individual amounts </w:t>
      </w:r>
      <w:r>
        <w:t xml:space="preserve">pledge </w:t>
      </w:r>
      <w:r w:rsidR="002C4FC6">
        <w:t xml:space="preserve">and the </w:t>
      </w:r>
      <w:r w:rsidR="00542AE7">
        <w:t>s</w:t>
      </w:r>
      <w:r w:rsidR="00542AE7">
        <w:t xml:space="preserve">uccessful </w:t>
      </w:r>
      <w:r>
        <w:t>or unsuccessful</w:t>
      </w:r>
      <w:r w:rsidR="00542AE7">
        <w:t xml:space="preserve"> </w:t>
      </w:r>
      <w:r w:rsidR="002C4FC6">
        <w:t>project.</w:t>
      </w:r>
    </w:p>
    <w:p w14:paraId="6EAAE776" w14:textId="545F15B7" w:rsidR="002C4FC6" w:rsidRDefault="00F239CC" w:rsidP="002C4FC6">
      <w:r>
        <w:t xml:space="preserve">There is no data or information given to </w:t>
      </w:r>
      <w:r w:rsidR="00A942E1">
        <w:t xml:space="preserve">understand how </w:t>
      </w:r>
      <w:r>
        <w:t xml:space="preserve">Goal amounts </w:t>
      </w:r>
      <w:r w:rsidR="00A942E1">
        <w:t>were assigned to projects.  Since successful and unsuccessful projects are determined by goal and pledge amounts, it would be useful to know criterial for goal setting.</w:t>
      </w:r>
    </w:p>
    <w:p w14:paraId="2FD25411" w14:textId="77777777" w:rsidR="00F239CC" w:rsidRDefault="00F239CC" w:rsidP="002C4FC6"/>
    <w:p w14:paraId="690AF210" w14:textId="1BBB23F7" w:rsidR="002C4FC6" w:rsidRDefault="002C4FC6" w:rsidP="002C4FC6">
      <w:r>
        <w:t>Table and graph with percentage to successful &amp; unsuccessful per category and sub-category.</w:t>
      </w:r>
    </w:p>
    <w:p w14:paraId="679CB215" w14:textId="4D66F879" w:rsidR="002C4FC6" w:rsidRDefault="002C4FC6" w:rsidP="002C4FC6">
      <w:r>
        <w:t xml:space="preserve">Table and graph </w:t>
      </w:r>
      <w:r w:rsidR="00542AE7">
        <w:t xml:space="preserve">with </w:t>
      </w:r>
      <w:r>
        <w:t xml:space="preserve">the speed </w:t>
      </w:r>
      <w:r w:rsidR="00542AE7">
        <w:t xml:space="preserve">at which project are </w:t>
      </w:r>
      <w:r>
        <w:t xml:space="preserve">successful </w:t>
      </w:r>
      <w:r w:rsidR="00F239CC">
        <w:t>or unsuccessful</w:t>
      </w:r>
      <w:r w:rsidR="00542AE7">
        <w:t>.</w:t>
      </w:r>
    </w:p>
    <w:p w14:paraId="79FE273F" w14:textId="5ED10151" w:rsidR="00F239CC" w:rsidRDefault="00F239CC" w:rsidP="002C4FC6">
      <w:r>
        <w:t xml:space="preserve">Table and graph with goal amounts </w:t>
      </w:r>
      <w:r w:rsidR="00A942E1">
        <w:t>for the state of the category and sub-category category.</w:t>
      </w:r>
    </w:p>
    <w:p w14:paraId="132C7996" w14:textId="6AB852DF" w:rsidR="00A942E1" w:rsidRDefault="00A942E1" w:rsidP="002C4FC6">
      <w:r>
        <w:t>Table and graph with project state by category &amp; sub-category and omitting projects with goal amounts outside the standard deviation.</w:t>
      </w:r>
      <w:bookmarkStart w:id="0" w:name="_GoBack"/>
      <w:bookmarkEnd w:id="0"/>
    </w:p>
    <w:sectPr w:rsidR="00A942E1" w:rsidSect="0054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6230"/>
    <w:multiLevelType w:val="hybridMultilevel"/>
    <w:tmpl w:val="C94C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3AD"/>
    <w:multiLevelType w:val="hybridMultilevel"/>
    <w:tmpl w:val="3AC4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5D97"/>
    <w:multiLevelType w:val="hybridMultilevel"/>
    <w:tmpl w:val="C94C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4"/>
    <w:rsid w:val="001660A1"/>
    <w:rsid w:val="002C4FC6"/>
    <w:rsid w:val="003C5DFA"/>
    <w:rsid w:val="00402E49"/>
    <w:rsid w:val="00542AE7"/>
    <w:rsid w:val="00890279"/>
    <w:rsid w:val="00A942E1"/>
    <w:rsid w:val="00C60F14"/>
    <w:rsid w:val="00E317CB"/>
    <w:rsid w:val="00E72D4C"/>
    <w:rsid w:val="00F2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0DCB"/>
  <w15:chartTrackingRefBased/>
  <w15:docId w15:val="{FF7F6C4F-45B1-4550-BE94-3BF37045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vlahos\Desktop\Prework_AFH\Excel_Homework\KickStarter_Success_Tre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vlahos\Desktop\Prework_AFH\Excel_Homework\KickStarter_Success_Tre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[KickStarter_Success_Trend.xlsx]Category 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State of Projects by Total Number &amp; Catergory</a:t>
            </a:r>
          </a:p>
        </c:rich>
      </c:tx>
      <c:layout>
        <c:manualLayout>
          <c:xMode val="edge"/>
          <c:yMode val="edge"/>
          <c:x val="7.9940424113652472E-2"/>
          <c:y val="2.32828870779976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3">
                  <c:v>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34-4A1D-AB4B-AF115680EC20}"/>
            </c:ext>
          </c:extLst>
        </c:ser>
        <c:ser>
          <c:idx val="1"/>
          <c:order val="1"/>
          <c:tx>
            <c:strRef>
              <c:f>'Category 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3">
                  <c:v>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34-4A1D-AB4B-AF115680EC20}"/>
            </c:ext>
          </c:extLst>
        </c:ser>
        <c:ser>
          <c:idx val="2"/>
          <c:order val="2"/>
          <c:tx>
            <c:strRef>
              <c:f>'Category 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2">
                  <c:v>0</c:v>
                </c:pt>
                <c:pt idx="3">
                  <c:v>24</c:v>
                </c:pt>
                <c:pt idx="4">
                  <c:v>20</c:v>
                </c:pt>
                <c:pt idx="5">
                  <c:v>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34-4A1D-AB4B-AF115680EC20}"/>
            </c:ext>
          </c:extLst>
        </c:ser>
        <c:ser>
          <c:idx val="3"/>
          <c:order val="3"/>
          <c:tx>
            <c:strRef>
              <c:f>'Category 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'!$E$5:$E$14</c:f>
              <c:numCache>
                <c:formatCode>General</c:formatCode>
                <c:ptCount val="9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34-4A1D-AB4B-AF115680EC2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371311839"/>
        <c:axId val="1248747151"/>
      </c:barChart>
      <c:catAx>
        <c:axId val="1371311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747151"/>
        <c:crosses val="autoZero"/>
        <c:auto val="1"/>
        <c:lblAlgn val="ctr"/>
        <c:lblOffset val="100"/>
        <c:noMultiLvlLbl val="0"/>
      </c:catAx>
      <c:valAx>
        <c:axId val="1248747151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Projects in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31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[KickStarter_Success_Trend.xlsx]Subcategory!PivotTable1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 State of Projects by Total Number &amp; Sub-Category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Subcategory!$B$6:$B$47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40</c:v>
                </c:pt>
                <c:pt idx="5">
                  <c:v>180</c:v>
                </c:pt>
                <c:pt idx="6">
                  <c:v>0</c:v>
                </c:pt>
                <c:pt idx="7">
                  <c:v>40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140</c:v>
                </c:pt>
                <c:pt idx="13">
                  <c:v>140</c:v>
                </c:pt>
                <c:pt idx="14">
                  <c:v>0</c:v>
                </c:pt>
                <c:pt idx="15">
                  <c:v>9</c:v>
                </c:pt>
                <c:pt idx="16">
                  <c:v>20</c:v>
                </c:pt>
                <c:pt idx="17">
                  <c:v>0</c:v>
                </c:pt>
                <c:pt idx="18">
                  <c:v>60</c:v>
                </c:pt>
                <c:pt idx="19">
                  <c:v>0</c:v>
                </c:pt>
                <c:pt idx="20">
                  <c:v>60</c:v>
                </c:pt>
                <c:pt idx="21">
                  <c:v>0</c:v>
                </c:pt>
                <c:pt idx="22">
                  <c:v>103</c:v>
                </c:pt>
                <c:pt idx="23">
                  <c:v>0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7">
                  <c:v>0</c:v>
                </c:pt>
                <c:pt idx="28">
                  <c:v>260</c:v>
                </c:pt>
                <c:pt idx="29">
                  <c:v>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6">
                  <c:v>0</c:v>
                </c:pt>
                <c:pt idx="37">
                  <c:v>0</c:v>
                </c:pt>
                <c:pt idx="38">
                  <c:v>20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6-4971-9564-E0A3A666900C}"/>
            </c:ext>
          </c:extLst>
        </c:ser>
        <c:ser>
          <c:idx val="1"/>
          <c:order val="1"/>
          <c:tx>
            <c:strRef>
              <c:f>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Subcategory!$C$6:$C$47</c:f>
              <c:numCache>
                <c:formatCode>General</c:formatCode>
                <c:ptCount val="41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40</c:v>
                </c:pt>
                <c:pt idx="4">
                  <c:v>0</c:v>
                </c:pt>
                <c:pt idx="5">
                  <c:v>0</c:v>
                </c:pt>
                <c:pt idx="6">
                  <c:v>80</c:v>
                </c:pt>
                <c:pt idx="7">
                  <c:v>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2">
                  <c:v>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6">
                  <c:v>0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0">
                  <c:v>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5">
                  <c:v>0</c:v>
                </c:pt>
                <c:pt idx="26">
                  <c:v>0</c:v>
                </c:pt>
                <c:pt idx="27">
                  <c:v>20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80</c:v>
                </c:pt>
                <c:pt idx="34">
                  <c:v>0</c:v>
                </c:pt>
                <c:pt idx="35">
                  <c:v>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6-4971-9564-E0A3A666900C}"/>
            </c:ext>
          </c:extLst>
        </c:ser>
        <c:ser>
          <c:idx val="2"/>
          <c:order val="2"/>
          <c:tx>
            <c:strRef>
              <c:f>Subcategory!$D$4:$D$5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Subcategory!$D$6:$D$47</c:f>
              <c:numCache>
                <c:formatCode>General</c:formatCode>
                <c:ptCount val="41"/>
                <c:pt idx="0">
                  <c:v>0</c:v>
                </c:pt>
                <c:pt idx="1">
                  <c:v>20</c:v>
                </c:pt>
                <c:pt idx="2">
                  <c:v>24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40</c:v>
                </c:pt>
                <c:pt idx="30">
                  <c:v>0</c:v>
                </c:pt>
                <c:pt idx="31">
                  <c:v>0</c:v>
                </c:pt>
                <c:pt idx="32">
                  <c:v>18</c:v>
                </c:pt>
                <c:pt idx="33">
                  <c:v>17</c:v>
                </c:pt>
                <c:pt idx="34">
                  <c:v>0</c:v>
                </c:pt>
                <c:pt idx="35">
                  <c:v>0</c:v>
                </c:pt>
                <c:pt idx="36">
                  <c:v>10</c:v>
                </c:pt>
                <c:pt idx="37">
                  <c:v>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B6-4971-9564-E0A3A666900C}"/>
            </c:ext>
          </c:extLst>
        </c:ser>
        <c:ser>
          <c:idx val="3"/>
          <c:order val="3"/>
          <c:tx>
            <c:strRef>
              <c:f>Subcategory!$E$4:$E$5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Subcategory!$E$6:$E$47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19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</c:v>
                </c:pt>
                <c:pt idx="32">
                  <c:v>0</c:v>
                </c:pt>
                <c:pt idx="33">
                  <c:v>5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B6-4971-9564-E0A3A6669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65525295"/>
        <c:axId val="1249687295"/>
      </c:barChart>
      <c:catAx>
        <c:axId val="136552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Sub-Catergory</a:t>
                </a:r>
              </a:p>
            </c:rich>
          </c:tx>
          <c:layout>
            <c:manualLayout>
              <c:xMode val="edge"/>
              <c:yMode val="edge"/>
              <c:x val="0.46186088995594737"/>
              <c:y val="0.87611389244022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687295"/>
        <c:crosses val="autoZero"/>
        <c:auto val="1"/>
        <c:lblAlgn val="ctr"/>
        <c:lblOffset val="100"/>
        <c:noMultiLvlLbl val="0"/>
      </c:catAx>
      <c:valAx>
        <c:axId val="124968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52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9560-643E-4574-BEF3-6A44A5D0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Vlahos</dc:creator>
  <cp:keywords/>
  <dc:description/>
  <cp:lastModifiedBy>Peter Vlahos</cp:lastModifiedBy>
  <cp:revision>2</cp:revision>
  <dcterms:created xsi:type="dcterms:W3CDTF">2020-10-10T04:12:00Z</dcterms:created>
  <dcterms:modified xsi:type="dcterms:W3CDTF">2020-10-10T07:23:00Z</dcterms:modified>
</cp:coreProperties>
</file>