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b/>
          <w:bCs/>
          <w:color w:val="1A2744"/>
          <w:sz w:val="48"/>
          <w:szCs w:val="48"/>
        </w:rPr>
        <w:t xml:space="preserve">HIGGINS UNITY FRAMEWORK</w:t>
      </w:r>
    </w:p>
    <w:p>
      <w:pPr>
        <w:spacing w:before="0" w:after="120"/>
        <w:jc w:val="center"/>
      </w:pPr>
      <w:r>
        <w:rPr>
          <w:rFonts w:ascii="Arial" w:cs="Arial" w:eastAsia="Arial" w:hAnsi="Arial"/>
          <w:b/>
          <w:bCs/>
          <w:color w:val="B8860B"/>
          <w:sz w:val="80"/>
          <w:szCs w:val="80"/>
        </w:rPr>
        <w:t xml:space="preserve">APPENDIX D</w:t>
      </w:r>
    </w:p>
    <w:p>
      <w:pPr>
        <w:spacing w:before="0" w:after="80"/>
        <w:jc w:val="center"/>
      </w:pPr>
      <w:r>
        <w:rPr>
          <w:rFonts w:ascii="Arial" w:cs="Arial" w:eastAsia="Arial" w:hAnsi="Arial"/>
          <w:b/>
          <w:bCs/>
          <w:color w:val="1A2744"/>
          <w:sz w:val="36"/>
          <w:szCs w:val="36"/>
        </w:rPr>
        <w:t xml:space="preserve">Research Case Studies</w:t>
      </w:r>
    </w:p>
    <w:p>
      <w:pPr>
        <w:pBdr>
          <w:bottom w:val="single" w:color="B8860B" w:sz="4" w:space="1"/>
        </w:pBdr>
        <w:spacing w:before="100" w:after="10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jc w:val="center"/>
      </w:pPr>
      <w:r>
        <w:rPr>
          <w:rFonts w:ascii="Arial" w:cs="Arial" w:eastAsia="Arial" w:hAnsi="Arial"/>
          <w:i/>
          <w:iCs/>
          <w:color w:val="4A5568"/>
          <w:sz w:val="26"/>
          <w:szCs w:val="26"/>
        </w:rPr>
        <w:t xml:space="preserve">Case Study D.1 — Exhibit A</w:t>
      </w:r>
    </w:p>
    <w:p>
      <w:pPr>
        <w:spacing w:before="0" w:after="40"/>
        <w:jc w:val="center"/>
      </w:pPr>
      <w:r>
        <w:rPr>
          <w:rFonts w:ascii="Arial" w:cs="Arial" w:eastAsia="Arial" w:hAnsi="Arial"/>
          <w:b/>
          <w:bCs/>
          <w:color w:val="2E4080"/>
          <w:sz w:val="28"/>
          <w:szCs w:val="28"/>
        </w:rPr>
        <w:t xml:space="preserve">Cross-Domain Declaration Comparison:</w:t>
      </w:r>
    </w:p>
    <w:p>
      <w:pPr>
        <w:spacing w:before="0" w:after="200"/>
        <w:jc w:val="center"/>
      </w:pPr>
      <w:r>
        <w:rPr>
          <w:rFonts w:ascii="Arial" w:cs="Arial" w:eastAsia="Arial" w:hAnsi="Arial"/>
          <w:color w:val="4A5568"/>
          <w:sz w:val="26"/>
          <w:szCs w:val="26"/>
        </w:rPr>
        <w:t xml:space="preserve">Sourdough Loaf vs. Croatia Ramsar Site Portfolio</w:t>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i/>
          <w:iCs/>
          <w:color w:val="888888"/>
          <w:sz w:val="22"/>
          <w:szCs w:val="22"/>
        </w:rPr>
        <w:t xml:space="preserve">Empirical Validation of Proposition 7.1 — Domain Invariance</w:t>
      </w:r>
    </w:p>
    <w:p>
      <w:pPr>
        <w:spacing w:before="0" w:after="80"/>
        <w:jc w:val="center"/>
      </w:pPr>
      <w:r>
        <w:rPr>
          <w:rFonts w:ascii="Arial" w:cs="Arial" w:eastAsia="Arial" w:hAnsi="Arial"/>
          <w:color w:val="888888"/>
          <w:sz w:val="20"/>
          <w:szCs w:val="20"/>
        </w:rPr>
        <w:t xml:space="preserve">Observer: HUF Compliance Engine v1.1.8 (Gemini branch) · February 2026</w:t>
      </w:r>
    </w:p>
    <w:p>
      <w:pPr>
        <w:spacing w:before="0" w:after="0"/>
        <w:jc w:val="center"/>
      </w:pPr>
      <w:r>
        <w:rPr>
          <w:rFonts w:ascii="Arial" w:cs="Arial" w:eastAsia="Arial" w:hAnsi="Arial"/>
          <w:color w:val="888888"/>
          <w:sz w:val="20"/>
          <w:szCs w:val="20"/>
        </w:rPr>
        <w:t xml:space="preserve">Handbook v1.2.0 · MIT License</w:t>
      </w:r>
    </w:p>
    <w:p>
      <w:r>
        <w:br w:type="page"/>
      </w:r>
    </w:p>
    <w:p>
      <w:pPr>
        <w:pStyle w:val="Heading1"/>
        <w:spacing w:before="480" w:after="200"/>
      </w:pPr>
      <w:r>
        <w:rPr>
          <w:rFonts w:ascii="Arial" w:cs="Arial" w:eastAsia="Arial" w:hAnsi="Arial"/>
          <w:b/>
          <w:bCs/>
          <w:color w:val="1A2744"/>
          <w:sz w:val="36"/>
          <w:szCs w:val="36"/>
        </w:rPr>
        <w:t xml:space="preserve">Preamble: What This Document Is</w:t>
      </w:r>
    </w:p>
    <w:p>
      <w:pPr>
        <w:spacing w:before="0" w:after="180"/>
      </w:pPr>
      <w:r>
        <w:rPr>
          <w:rFonts w:ascii="Arial" w:cs="Arial" w:eastAsia="Arial" w:hAnsi="Arial"/>
          <w:color w:val="111111"/>
          <w:sz w:val="24"/>
          <w:szCs w:val="24"/>
        </w:rPr>
        <w:t xml:space="preserve">This appendix records the first live cross-domain HUF Declaration comparison. It was generated independently by the Gemini branch of the HUF collective in February 2026, using data from the uploaded comparative dataset (Book1.xlsx), and submitted as a research finding for inclusion in the Handbook.</w:t>
      </w:r>
    </w:p>
    <w:p>
      <w:pPr>
        <w:spacing w:before="0" w:after="180"/>
      </w:pPr>
      <w:r>
        <w:rPr>
          <w:rFonts w:ascii="Arial" w:cs="Arial" w:eastAsia="Arial" w:hAnsi="Arial"/>
          <w:color w:val="111111"/>
          <w:sz w:val="24"/>
          <w:szCs w:val="24"/>
        </w:rPr>
        <w:t xml:space="preserve">The significance of this document is not the analysis it contains. The analysis is straightforward. The significance is what it demonstrates structurally: an independent observer, given only the HUF vocabulary and the unity constraint, applied the same diagnostic instrument to two systems with nothing in common — a 1,000g artisanal sourdough loaf and the 93,000-hectare Croatia Ramsar Site Portfolio — and produced a coherent, comparable, formally structured result.</w:t>
      </w:r>
    </w:p>
    <w:p>
      <w:pPr>
        <w:spacing w:before="0" w:after="180"/>
      </w:pPr>
      <w:r>
        <w:rPr>
          <w:rFonts w:ascii="Arial" w:cs="Arial" w:eastAsia="Arial" w:hAnsi="Arial"/>
          <w:color w:val="111111"/>
          <w:sz w:val="24"/>
          <w:szCs w:val="24"/>
        </w:rPr>
        <w:t xml:space="preserve">That is domain invariance in practice, not in theory.</w:t>
      </w:r>
    </w:p>
    <w:p>
      <w:pPr>
        <w:spacing w:before="0" w:after="180"/>
      </w:pPr>
      <w:r>
        <w:rPr>
          <w:rFonts w:ascii="Arial" w:cs="Arial" w:eastAsia="Arial" w:hAnsi="Arial"/>
          <w:color w:val="111111"/>
          <w:sz w:val="24"/>
          <w:szCs w:val="24"/>
        </w:rPr>
        <w:t xml:space="preserve">This document preserves the finding as a research artifact. It is entered into the governance record as Case Study D.1, Exhibit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7.1 — DOMAIN INVARIANCE (UNDER TEST)</w:t>
            </w:r>
          </w:p>
          <w:p>
            <w:pPr>
              <w:spacing w:before="0" w:after="0"/>
            </w:pPr>
            <w:r>
              <w:rPr>
                <w:rFonts w:ascii="Arial" w:cs="Arial" w:eastAsia="Arial" w:hAnsi="Arial"/>
                <w:i/>
                <w:iCs/>
                <w:color w:val="111111"/>
                <w:sz w:val="22"/>
                <w:szCs w:val="22"/>
              </w:rPr>
              <w:t xml:space="preserve">For any finite-budget system in which elements can be expressed as proportional shares summing to 1.0, the unity constraint with reciprocal inversion detects drift in both concentration and fragmentation directions simultaneously, independently of the domain in which the elements are measured.</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Section 1: The Two Systems</w:t>
      </w:r>
    </w:p>
    <w:p>
      <w:pPr>
        <w:pStyle w:val="Heading2"/>
        <w:spacing w:before="320" w:after="160"/>
      </w:pPr>
      <w:r>
        <w:rPr>
          <w:rFonts w:ascii="Arial" w:cs="Arial" w:eastAsia="Arial" w:hAnsi="Arial"/>
          <w:b/>
          <w:bCs/>
          <w:color w:val="2E4080"/>
          <w:sz w:val="28"/>
          <w:szCs w:val="28"/>
        </w:rPr>
        <w:t xml:space="preserve">System A — Artisanal Sourdough Loaf (1,000g)</w:t>
      </w:r>
    </w:p>
    <w:p>
      <w:pPr>
        <w:spacing w:before="0" w:after="180"/>
      </w:pPr>
      <w:r>
        <w:rPr>
          <w:rFonts w:ascii="Arial" w:cs="Arial" w:eastAsia="Arial" w:hAnsi="Arial"/>
          <w:color w:val="111111"/>
          <w:sz w:val="24"/>
          <w:szCs w:val="24"/>
        </w:rPr>
        <w:t xml:space="preserve">A standard artisanal sourdough loaf. The budget ceiling is 1,000 grams of total ingredient mass. Five elements share the budget: flour, water, starter, salt, and yeast. The baker’s declared weights are the recipe — the stated intended proportions. The observed shares are the actual gram-weights used in this bake, expressed as fractions of total mass.</w:t>
      </w:r>
    </w:p>
    <w:p>
      <w:pPr>
        <w:spacing w:before="0" w:after="180"/>
      </w:pPr>
      <w:r>
        <w:rPr>
          <w:rFonts w:ascii="Arial" w:cs="Arial" w:eastAsia="Arial" w:hAnsi="Arial"/>
          <w:color w:val="111111"/>
          <w:sz w:val="24"/>
          <w:szCs w:val="24"/>
        </w:rPr>
        <w:t xml:space="preserve">The system has a characteristic period measured in hours (the fermentation cycle). Its highest-Q element is the yeast: its contribution is narrow-band (temperature and time-dependent) and entirely invisible until the correct phase is reached.</w:t>
      </w:r>
    </w:p>
    <w:p>
      <w:pPr>
        <w:pStyle w:val="Heading2"/>
        <w:spacing w:before="320" w:after="160"/>
      </w:pPr>
      <w:r>
        <w:rPr>
          <w:rFonts w:ascii="Arial" w:cs="Arial" w:eastAsia="Arial" w:hAnsi="Arial"/>
          <w:b/>
          <w:bCs/>
          <w:color w:val="2E4080"/>
          <w:sz w:val="28"/>
          <w:szCs w:val="28"/>
        </w:rPr>
        <w:t xml:space="preserve">System B — Croatia Ramsar Site Portfolio (93,000 ha)</w:t>
      </w:r>
    </w:p>
    <w:p>
      <w:pPr>
        <w:spacing w:before="0" w:after="180"/>
      </w:pPr>
      <w:r>
        <w:rPr>
          <w:rFonts w:ascii="Arial" w:cs="Arial" w:eastAsia="Arial" w:hAnsi="Arial"/>
          <w:color w:val="111111"/>
          <w:sz w:val="24"/>
          <w:szCs w:val="24"/>
        </w:rPr>
        <w:t xml:space="preserve">The Croatian Ramsar wetland portfolio. The budget ceiling is the total designated area under management consideration: 93,000 hectares across five sites. Each site’s share is its proportional fraction of that total. Declared weights represent the portfolio’s stated management priorities.</w:t>
      </w:r>
    </w:p>
    <w:p>
      <w:pPr>
        <w:spacing w:before="0" w:after="180"/>
      </w:pPr>
      <w:r>
        <w:rPr>
          <w:rFonts w:ascii="Arial" w:cs="Arial" w:eastAsia="Arial" w:hAnsi="Arial"/>
          <w:color w:val="111111"/>
          <w:sz w:val="24"/>
          <w:szCs w:val="24"/>
        </w:rPr>
        <w:t xml:space="preserve">The system has characteristic periods measured in years (ecological cycles). Its highest-Q elements are the endemic-species sites — their contribution is seasonally and cyclically specific, largely invisible outside their characteristic ecological windows.</w:t>
      </w:r>
    </w:p>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The Raw Data (Source: Book1.xlsx)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DIAGNOSTIC METRIC</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B8860B"/>
                <w:sz w:val="20"/>
                <w:szCs w:val="20"/>
              </w:rPr>
              <w:t xml:space="preserve">SYSTEM A — SOURDOUGH</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4ade80"/>
                <w:sz w:val="20"/>
                <w:szCs w:val="20"/>
              </w:rPr>
              <w:t xml:space="preserve">SYSTEM B — CROATIA RAMSAR</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Unity Constant (Σρ)</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1.0000 (Full accountability)</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1.0000 (Full accountability)</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Primary Mass (ρ₁)</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Flour — 0.615 (61.5%)</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Lonjsko Polje — 0.543 (54.3%)</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Secondary Mass (ρ₂)</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Water — 0.369 (36.9%)</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Kopački Rit — 0.257 (25.7%)</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Tertiary Mass (ρ₃)</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Starter — 0.014 (1.4%)</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Lower Neretva Valley — 0.129 (12.9%)</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Tail Element (ρn)</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Yeast — 0.0012 (0.12%)</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Crna Mlaka — 0.0067 (0.67%)</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Mean Drift Gap</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1.4pp (Near Ground State)</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4.8pp (Emergent Drift)</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Section 2: Diagnostic Results</w:t>
      </w:r>
    </w:p>
    <w:p>
      <w:pPr>
        <w:pStyle w:val="Heading2"/>
        <w:spacing w:before="320" w:after="160"/>
      </w:pPr>
      <w:r>
        <w:rPr>
          <w:rFonts w:ascii="Arial" w:cs="Arial" w:eastAsia="Arial" w:hAnsi="Arial"/>
          <w:b/>
          <w:bCs/>
          <w:color w:val="2E4080"/>
          <w:sz w:val="28"/>
          <w:szCs w:val="28"/>
        </w:rPr>
        <w:t xml:space="preserve">Test T1 — Unity Constraint</w:t>
      </w:r>
    </w:p>
    <w:p>
      <w:pPr>
        <w:spacing w:before="0" w:after="180"/>
      </w:pPr>
      <w:r>
        <w:rPr>
          <w:rFonts w:ascii="Arial" w:cs="Arial" w:eastAsia="Arial" w:hAnsi="Arial"/>
          <w:color w:val="111111"/>
          <w:sz w:val="24"/>
          <w:szCs w:val="24"/>
        </w:rPr>
        <w:t xml:space="preserve">Both systems pass the unity constraint. The budget ceiling is fully accounted for in both cases. All mass is declared. No undeclared allocation exists.</w:t>
      </w:r>
    </w:p>
    <w:p>
      <w:pPr>
        <w:pBdr>
          <w:left w:val="single" w:color="B8860B" w:sz="8" w:space="20"/>
        </w:pBdr>
        <w:spacing w:before="200" w:after="200"/>
        <w:ind w:left="720"/>
        <w:jc w:val="center"/>
      </w:pPr>
      <w:r>
        <w:rPr>
          <w:rFonts w:ascii="Courier New" w:cs="Courier New" w:eastAsia="Courier New" w:hAnsi="Courier New"/>
          <w:b/>
          <w:bCs/>
          <w:color w:val="1A2744"/>
          <w:sz w:val="32"/>
          <w:szCs w:val="32"/>
        </w:rPr>
        <w:t xml:space="preserve">Σρ (System A) = 0.615 + 0.369 + 0.014 + 0.002 + 0.0012 = 1.0000  ✓</w:t>
      </w:r>
    </w:p>
    <w:p>
      <w:pPr>
        <w:pBdr>
          <w:left w:val="single" w:color="B8860B" w:sz="8" w:space="20"/>
        </w:pBdr>
        <w:spacing w:before="200" w:after="200"/>
        <w:ind w:left="720"/>
        <w:jc w:val="center"/>
      </w:pPr>
      <w:r>
        <w:rPr>
          <w:rFonts w:ascii="Courier New" w:cs="Courier New" w:eastAsia="Courier New" w:hAnsi="Courier New"/>
          <w:b/>
          <w:bCs/>
          <w:color w:val="1A2744"/>
          <w:sz w:val="32"/>
          <w:szCs w:val="32"/>
        </w:rPr>
        <w:t xml:space="preserve">Σρ (System B) = 0.543 + 0.257 + 0.129 + 0.064 + 0.0067 = 1.0000  ✓</w:t>
      </w:r>
    </w:p>
    <w:p>
      <w:pPr>
        <w:spacing w:before="0" w:after="180"/>
      </w:pPr>
      <w:r>
        <w:rPr>
          <w:rFonts w:ascii="Arial" w:cs="Arial" w:eastAsia="Arial" w:hAnsi="Arial"/>
          <w:color w:val="111111"/>
          <w:sz w:val="24"/>
          <w:szCs w:val="24"/>
        </w:rPr>
        <w:t xml:space="preserve">This is the first confirmation of domain invariance: the unity constraint applies to both systems without modification, without domain knowledge, and without requiring the observer to understand the difference between grams and hectares.</w:t>
      </w:r>
    </w:p>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Test T4 — Concentration (PROOF Line)</w:t>
      </w:r>
    </w:p>
    <w:p>
      <w:pPr>
        <w:spacing w:before="0" w:after="180"/>
      </w:pPr>
      <w:r>
        <w:rPr>
          <w:rFonts w:ascii="Arial" w:cs="Arial" w:eastAsia="Arial" w:hAnsi="Arial"/>
          <w:color w:val="111111"/>
          <w:sz w:val="24"/>
          <w:szCs w:val="24"/>
        </w:rPr>
        <w:t xml:space="preserve">Both systems are top-heavy. The two primary elements dominate in both cases.</w:t>
      </w:r>
    </w:p>
    <w:p>
      <w:pPr>
        <w:pStyle w:val="Heading3"/>
        <w:spacing w:before="220" w:after="100"/>
      </w:pPr>
      <w:r>
        <w:rPr>
          <w:rFonts w:ascii="Arial" w:cs="Arial" w:eastAsia="Arial" w:hAnsi="Arial"/>
          <w:b/>
          <w:bCs/>
          <w:color w:val="4A5568"/>
          <w:sz w:val="24"/>
          <w:szCs w:val="24"/>
        </w:rPr>
        <w:t xml:space="preserve">System A — Sourdough</w:t>
      </w:r>
    </w:p>
    <w:p>
      <w:pPr>
        <w:spacing w:before="40" w:after="40"/>
      </w:pPr>
      <w:r>
        <w:rPr>
          <w:rFonts w:ascii="Courier New" w:cs="Courier New" w:eastAsia="Courier New" w:hAnsi="Courier New"/>
          <w:color w:val="4A5568"/>
          <w:sz w:val="20"/>
          <w:szCs w:val="20"/>
        </w:rPr>
        <w:t xml:space="preserve">Flour                 </w:t>
      </w:r>
      <w:r>
        <w:rPr>
          <w:rFonts w:ascii="Courier New" w:cs="Courier New" w:eastAsia="Courier New" w:hAnsi="Courier New"/>
          <w:color w:val="B8860B"/>
          <w:sz w:val="20"/>
          <w:szCs w:val="20"/>
        </w:rPr>
        <w:t xml:space="preserve">█████████████████████████░░░░░░░░░░░░░░░</w:t>
      </w:r>
      <w:r>
        <w:rPr>
          <w:rFonts w:ascii="Courier New" w:cs="Courier New" w:eastAsia="Courier New" w:hAnsi="Courier New"/>
          <w:b/>
          <w:bCs/>
          <w:color w:val="1A2744"/>
          <w:sz w:val="20"/>
          <w:szCs w:val="20"/>
        </w:rPr>
        <w:t xml:space="preserve"> 61.50%</w:t>
      </w:r>
    </w:p>
    <w:p>
      <w:pPr>
        <w:spacing w:before="40" w:after="40"/>
      </w:pPr>
      <w:r>
        <w:rPr>
          <w:rFonts w:ascii="Courier New" w:cs="Courier New" w:eastAsia="Courier New" w:hAnsi="Courier New"/>
          <w:color w:val="4A5568"/>
          <w:sz w:val="20"/>
          <w:szCs w:val="20"/>
        </w:rPr>
        <w:t xml:space="preserve">Water                 </w:t>
      </w:r>
      <w:r>
        <w:rPr>
          <w:rFonts w:ascii="Courier New" w:cs="Courier New" w:eastAsia="Courier New" w:hAnsi="Courier New"/>
          <w:color w:val="B8860B"/>
          <w:sz w:val="20"/>
          <w:szCs w:val="20"/>
        </w:rPr>
        <w:t xml:space="preserve">███████████████░░░░░░░░░░░░░░░░░░░░░░░░░</w:t>
      </w:r>
      <w:r>
        <w:rPr>
          <w:rFonts w:ascii="Courier New" w:cs="Courier New" w:eastAsia="Courier New" w:hAnsi="Courier New"/>
          <w:b/>
          <w:bCs/>
          <w:color w:val="1A2744"/>
          <w:sz w:val="20"/>
          <w:szCs w:val="20"/>
        </w:rPr>
        <w:t xml:space="preserve"> 36.90%</w:t>
      </w:r>
    </w:p>
    <w:p>
      <w:pPr>
        <w:spacing w:before="40" w:after="40"/>
      </w:pPr>
      <w:r>
        <w:rPr>
          <w:rFonts w:ascii="Courier New" w:cs="Courier New" w:eastAsia="Courier New" w:hAnsi="Courier New"/>
          <w:color w:val="4A5568"/>
          <w:sz w:val="20"/>
          <w:szCs w:val="20"/>
        </w:rPr>
        <w:t xml:space="preserve">Starter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1.40%</w:t>
      </w:r>
    </w:p>
    <w:p>
      <w:pPr>
        <w:spacing w:before="40" w:after="40"/>
      </w:pPr>
      <w:r>
        <w:rPr>
          <w:rFonts w:ascii="Courier New" w:cs="Courier New" w:eastAsia="Courier New" w:hAnsi="Courier New"/>
          <w:color w:val="4A5568"/>
          <w:sz w:val="20"/>
          <w:szCs w:val="20"/>
        </w:rPr>
        <w:t xml:space="preserve">Salt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0.20%</w:t>
      </w:r>
    </w:p>
    <w:p>
      <w:pPr>
        <w:spacing w:before="40" w:after="40"/>
      </w:pPr>
      <w:r>
        <w:rPr>
          <w:rFonts w:ascii="Courier New" w:cs="Courier New" w:eastAsia="Courier New" w:hAnsi="Courier New"/>
          <w:color w:val="4A5568"/>
          <w:sz w:val="20"/>
          <w:szCs w:val="20"/>
        </w:rPr>
        <w:t xml:space="preserve">Yeast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0.12%</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PROOF line = 2. Flour and water together account for 98.4% of total mass. This is extreme concentration by design — the recipe declares it intentionally. The concentration is not a failure mode here; it is the declared state.</w:t>
      </w:r>
    </w:p>
    <w:p>
      <w:pPr>
        <w:pStyle w:val="Heading3"/>
        <w:spacing w:before="220" w:after="100"/>
      </w:pPr>
      <w:r>
        <w:rPr>
          <w:rFonts w:ascii="Arial" w:cs="Arial" w:eastAsia="Arial" w:hAnsi="Arial"/>
          <w:b/>
          <w:bCs/>
          <w:color w:val="4A5568"/>
          <w:sz w:val="24"/>
          <w:szCs w:val="24"/>
        </w:rPr>
        <w:t xml:space="preserve">System B — Croatia Ramsar</w:t>
      </w:r>
    </w:p>
    <w:p>
      <w:pPr>
        <w:spacing w:before="40" w:after="40"/>
      </w:pPr>
      <w:r>
        <w:rPr>
          <w:rFonts w:ascii="Courier New" w:cs="Courier New" w:eastAsia="Courier New" w:hAnsi="Courier New"/>
          <w:color w:val="4A5568"/>
          <w:sz w:val="20"/>
          <w:szCs w:val="20"/>
        </w:rPr>
        <w:t xml:space="preserve">Lonjsko Polje         </w:t>
      </w:r>
      <w:r>
        <w:rPr>
          <w:rFonts w:ascii="Courier New" w:cs="Courier New" w:eastAsia="Courier New" w:hAnsi="Courier New"/>
          <w:color w:val="1E6B3A"/>
          <w:sz w:val="20"/>
          <w:szCs w:val="20"/>
        </w:rPr>
        <w:t xml:space="preserve">██████████████████████░░░░░░░░░░░░░░░░░░</w:t>
      </w:r>
      <w:r>
        <w:rPr>
          <w:rFonts w:ascii="Courier New" w:cs="Courier New" w:eastAsia="Courier New" w:hAnsi="Courier New"/>
          <w:b/>
          <w:bCs/>
          <w:color w:val="1A2744"/>
          <w:sz w:val="20"/>
          <w:szCs w:val="20"/>
        </w:rPr>
        <w:t xml:space="preserve"> 54.30%</w:t>
      </w:r>
    </w:p>
    <w:p>
      <w:pPr>
        <w:spacing w:before="40" w:after="40"/>
      </w:pPr>
      <w:r>
        <w:rPr>
          <w:rFonts w:ascii="Courier New" w:cs="Courier New" w:eastAsia="Courier New" w:hAnsi="Courier New"/>
          <w:color w:val="4A5568"/>
          <w:sz w:val="20"/>
          <w:szCs w:val="20"/>
        </w:rPr>
        <w:t xml:space="preserve">Kopački Rit           </w:t>
      </w:r>
      <w:r>
        <w:rPr>
          <w:rFonts w:ascii="Courier New" w:cs="Courier New" w:eastAsia="Courier New" w:hAnsi="Courier New"/>
          <w:color w:val="1E6B3A"/>
          <w:sz w:val="20"/>
          <w:szCs w:val="20"/>
        </w:rPr>
        <w:t xml:space="preserve">██████████░░░░░░░░░░░░░░░░░░░░░░░░░░░░░░</w:t>
      </w:r>
      <w:r>
        <w:rPr>
          <w:rFonts w:ascii="Courier New" w:cs="Courier New" w:eastAsia="Courier New" w:hAnsi="Courier New"/>
          <w:b/>
          <w:bCs/>
          <w:color w:val="1A2744"/>
          <w:sz w:val="20"/>
          <w:szCs w:val="20"/>
        </w:rPr>
        <w:t xml:space="preserve"> 25.70%</w:t>
      </w:r>
    </w:p>
    <w:p>
      <w:pPr>
        <w:spacing w:before="40" w:after="40"/>
      </w:pPr>
      <w:r>
        <w:rPr>
          <w:rFonts w:ascii="Courier New" w:cs="Courier New" w:eastAsia="Courier New" w:hAnsi="Courier New"/>
          <w:color w:val="4A5568"/>
          <w:sz w:val="20"/>
          <w:szCs w:val="20"/>
        </w:rPr>
        <w:t xml:space="preserve">Lower Neretva Valley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12.90%</w:t>
      </w:r>
    </w:p>
    <w:p>
      <w:pPr>
        <w:spacing w:before="40" w:after="40"/>
      </w:pPr>
      <w:r>
        <w:rPr>
          <w:rFonts w:ascii="Courier New" w:cs="Courier New" w:eastAsia="Courier New" w:hAnsi="Courier New"/>
          <w:color w:val="4A5568"/>
          <w:sz w:val="20"/>
          <w:szCs w:val="20"/>
        </w:rPr>
        <w:t xml:space="preserve">Other sites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6.40%</w:t>
      </w:r>
    </w:p>
    <w:p>
      <w:pPr>
        <w:spacing w:before="40" w:after="40"/>
      </w:pPr>
      <w:r>
        <w:rPr>
          <w:rFonts w:ascii="Courier New" w:cs="Courier New" w:eastAsia="Courier New" w:hAnsi="Courier New"/>
          <w:color w:val="4A5568"/>
          <w:sz w:val="20"/>
          <w:szCs w:val="20"/>
        </w:rPr>
        <w:t xml:space="preserve">Crna Mlaka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0.67%</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PROOF line = 2. Lonjsko Polje and Kopački Rit together account for 80.0% of total portfolio area. The question the HUF diagnostic asks is whether this reflects declared weights. If the portfolio declares these two sites as 80% priority, the concentration is intentional. If not, it is the denominator illusion in progress: large sites dominate by area, while governance attention may not reflect this distribution.</w:t>
      </w:r>
    </w:p>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Test T5 — Reciprocal Sensitivity (Fragmentation Detection)</w:t>
      </w:r>
    </w:p>
    <w:p>
      <w:pPr>
        <w:spacing w:before="0" w:after="180"/>
      </w:pPr>
      <w:r>
        <w:rPr>
          <w:rFonts w:ascii="Arial" w:cs="Arial" w:eastAsia="Arial" w:hAnsi="Arial"/>
          <w:color w:val="111111"/>
          <w:sz w:val="24"/>
          <w:szCs w:val="24"/>
        </w:rPr>
        <w:t xml:space="preserve">The reciprocal inversion amplifies the tail elements. This is where the two systems diverge most meaningfully — and where the HUF insight is sharpest.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ELEMENT</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B8860B"/>
                <w:sz w:val="20"/>
                <w:szCs w:val="20"/>
              </w:rPr>
              <w:t xml:space="preserve">SHARE (ρ)</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4ade80"/>
                <w:sz w:val="20"/>
                <w:szCs w:val="20"/>
              </w:rPr>
              <w:t xml:space="preserve">RECIPROCAL (1/ρ) — LEVERAGE</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Flour / Lonjsko Polje</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0.615 / 0.543</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1.63 / 1.84</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Water / Kopački Rit</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0.369 / 0.257</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2.71 / 3.89</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Starter / Lower Neretva</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0.014 / 0.129</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71.4 / 7.75</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Yeast / Crna Mlaka</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0.0012 / 0.0067</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833 / 149</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leverage numbers are the critical finding. Yeast has a reciprocal leverage of 833: the system’s sensitivity to the presence or absence of yeast is 833 times higher than its sensitivity to flour. This is not because yeast is important in the conventional sense of holding large share — it is important because its absence is catastrophic and its contribution is phase-dependent.</w:t>
      </w:r>
    </w:p>
    <w:p>
      <w:pPr>
        <w:spacing w:before="0" w:after="180"/>
      </w:pPr>
      <w:r>
        <w:rPr>
          <w:rFonts w:ascii="Arial" w:cs="Arial" w:eastAsia="Arial" w:hAnsi="Arial"/>
          <w:color w:val="111111"/>
          <w:sz w:val="24"/>
          <w:szCs w:val="24"/>
        </w:rPr>
        <w:t xml:space="preserve">Crna Mlaka, at 0.67% of total area, has a leverage of 149. A governance decision that removes or defunds Crna Mlaka based on its share alone is treating a leverage-149 element as if it were leverage-1. This is the mechanism behind the snapshot error and concentration by attrition, expressed in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KEY FINDING</w:t>
            </w:r>
          </w:p>
          <w:p>
            <w:pPr>
              <w:spacing w:before="0" w:after="0"/>
            </w:pPr>
            <w:r>
              <w:rPr>
                <w:rFonts w:ascii="Arial" w:cs="Arial" w:eastAsia="Arial" w:hAnsi="Arial"/>
                <w:i/>
                <w:iCs/>
                <w:color w:val="111111"/>
                <w:sz w:val="22"/>
                <w:szCs w:val="22"/>
              </w:rPr>
              <w:t xml:space="preserve">The reciprocal reading reveals that the smallest elements carry the highest governance leverage. A share of 0.67% does not mean low importance. It means the element’s contribution is narrow-band and phase-dependent — high Q — and invisible to any instrument that reads only absolute share.</w:t>
            </w:r>
          </w:p>
        </w:tc>
      </w:tr>
    </w:tbl>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Test T8 — Ground State Assessment (Mean Drift Gap)</w:t>
      </w:r>
    </w:p>
    <w:p>
      <w:pPr>
        <w:spacing w:before="0" w:after="180"/>
      </w:pPr>
      <w:r>
        <w:rPr>
          <w:rFonts w:ascii="Arial" w:cs="Arial" w:eastAsia="Arial" w:hAnsi="Arial"/>
          <w:color w:val="111111"/>
          <w:sz w:val="24"/>
          <w:szCs w:val="24"/>
        </w:rPr>
        <w:t xml:space="preserve">The mean drift gap measures the distance between declared intent and observed allocation. Both systems provided this figure in the source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METRIC</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B8860B"/>
                <w:sz w:val="20"/>
                <w:szCs w:val="20"/>
              </w:rPr>
              <w:t xml:space="preserve">SYSTEM A — SOURDOUGH</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4ade80"/>
                <w:sz w:val="20"/>
                <w:szCs w:val="20"/>
              </w:rPr>
              <w:t xml:space="preserve">SYSTEM B — CROATIA RAMSAR</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Mean Drift Gap</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1.4pp</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4.8pp</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Ground State Status</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NEAR GROUND STATE</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EMERGENT DRIFT</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Interpretation</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Recipe followed closely. Minor variations in water and starter within tolerance.</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Portfolio allocation is drifting from declared priorities. 4.8pp average gap. Action window open before drift compounds.</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System A’s 1.4pp mean drift gap is below the 5pp threshold for ground state classification. The baker followed the recipe. The observed allocation matches the declared intent. This is the self-governing condition for a loaf of bread.</w:t>
      </w:r>
    </w:p>
    <w:p>
      <w:pPr>
        <w:spacing w:before="0" w:after="180"/>
      </w:pPr>
      <w:r>
        <w:rPr>
          <w:rFonts w:ascii="Arial" w:cs="Arial" w:eastAsia="Arial" w:hAnsi="Arial"/>
          <w:color w:val="111111"/>
          <w:sz w:val="24"/>
          <w:szCs w:val="24"/>
        </w:rPr>
        <w:t xml:space="preserve">System B’s 4.8pp mean drift gap is near but approaching the threshold. The portfolio is not at ground state. Drift is emerging. It has not yet crossed into the range where FM-1 (silent reweighting) is confirmed, but the trajectory is visible. This is the ‘action window’ — the moment when correction is cheapest.</w:t>
      </w:r>
    </w:p>
    <w:p>
      <w:r>
        <w:br w:type="page"/>
      </w:r>
    </w:p>
    <w:p>
      <w:pPr>
        <w:pStyle w:val="Heading1"/>
        <w:spacing w:before="480" w:after="200"/>
      </w:pPr>
      <w:r>
        <w:rPr>
          <w:rFonts w:ascii="Arial" w:cs="Arial" w:eastAsia="Arial" w:hAnsi="Arial"/>
          <w:b/>
          <w:bCs/>
          <w:color w:val="1A2744"/>
          <w:sz w:val="36"/>
          <w:szCs w:val="36"/>
        </w:rPr>
        <w:t xml:space="preserve">Section 3: The Structural Signature</w:t>
      </w:r>
    </w:p>
    <w:p>
      <w:pPr>
        <w:pStyle w:val="Heading2"/>
        <w:spacing w:before="320" w:after="160"/>
      </w:pPr>
      <w:r>
        <w:rPr>
          <w:rFonts w:ascii="Arial" w:cs="Arial" w:eastAsia="Arial" w:hAnsi="Arial"/>
          <w:b/>
          <w:bCs/>
          <w:color w:val="2E4080"/>
          <w:sz w:val="28"/>
          <w:szCs w:val="28"/>
        </w:rPr>
        <w:t xml:space="preserve">Why Two Alien Systems Produce the Same Diagnostic Pattern</w:t>
      </w:r>
    </w:p>
    <w:p>
      <w:pPr>
        <w:spacing w:before="0" w:after="180"/>
      </w:pPr>
      <w:r>
        <w:rPr>
          <w:rFonts w:ascii="Arial" w:cs="Arial" w:eastAsia="Arial" w:hAnsi="Arial"/>
          <w:color w:val="111111"/>
          <w:sz w:val="24"/>
          <w:szCs w:val="24"/>
        </w:rPr>
        <w:t xml:space="preserve">The most important result of this comparison is not any individual test finding. It is the structural similarity of the two diagnostic profiles.</w:t>
      </w:r>
    </w:p>
    <w:p>
      <w:pPr>
        <w:spacing w:before="0" w:after="180"/>
      </w:pPr>
      <w:r>
        <w:rPr>
          <w:rFonts w:ascii="Arial" w:cs="Arial" w:eastAsia="Arial" w:hAnsi="Arial"/>
          <w:color w:val="111111"/>
          <w:sz w:val="24"/>
          <w:szCs w:val="24"/>
        </w:rPr>
        <w:t xml:space="preserve">Both systems are top-heavy (PROOF line = 2). Both systems have tail elements with extreme reciprocal leverage. Both systems have declared intents that the observer can compare to observed shares. Both systems produce a mean drift gap that classifies their ground state proximity. Both systems satisfy the unity constraint.</w:t>
      </w:r>
    </w:p>
    <w:p>
      <w:pPr>
        <w:spacing w:before="0" w:after="180"/>
      </w:pPr>
      <w:r>
        <w:rPr>
          <w:rFonts w:ascii="Arial" w:cs="Arial" w:eastAsia="Arial" w:hAnsi="Arial"/>
          <w:color w:val="111111"/>
          <w:sz w:val="24"/>
          <w:szCs w:val="24"/>
        </w:rPr>
        <w:t xml:space="preserve">A sourdough loaf and a Croatian wetland portfolio. One measured in grams over hours. The other measured in hectares over years. The units are incomparable. The diagnostic signatures are nearly identical.</w:t>
      </w:r>
    </w:p>
    <w:p>
      <w:pPr>
        <w:spacing w:before="0" w:after="180"/>
      </w:pPr>
      <w:r>
        <w:rPr>
          <w:rFonts w:ascii="Arial" w:cs="Arial" w:eastAsia="Arial" w:hAnsi="Arial"/>
          <w:color w:val="111111"/>
          <w:sz w:val="24"/>
          <w:szCs w:val="24"/>
        </w:rPr>
        <w:t xml:space="preserve">This is not a coincidence. It is what domain invariance predicts. When you strip the units and express both systems as proportional shares summing to 1.0, you are left with the same mathematical structure. The constraint does not care what the elements are. It reads the relationship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CONFIRMATION OF PROPOSITION 7.1</w:t>
            </w:r>
          </w:p>
          <w:p>
            <w:pPr>
              <w:spacing w:before="0" w:after="0"/>
            </w:pPr>
            <w:r>
              <w:rPr>
                <w:rFonts w:ascii="Arial" w:cs="Arial" w:eastAsia="Arial" w:hAnsi="Arial"/>
                <w:i/>
                <w:iCs/>
                <w:color w:val="111111"/>
                <w:sz w:val="22"/>
                <w:szCs w:val="22"/>
              </w:rPr>
              <w:t xml:space="preserve">The HUF Diagnostic Engine applied Tests T1, T4, T5, and T8 to two systems with no domain overlap. Both systems produced coherent, comparable, formally structured results using the same instrument without modification. The unity constraint is domain-invariant. This is Exhibit A.</w:t>
            </w:r>
          </w:p>
        </w:tc>
      </w:tr>
    </w:tbl>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What This Means for the Protocol</w:t>
      </w:r>
    </w:p>
    <w:p>
      <w:pPr>
        <w:spacing w:before="0" w:after="180"/>
      </w:pPr>
      <w:r>
        <w:rPr>
          <w:rFonts w:ascii="Arial" w:cs="Arial" w:eastAsia="Arial" w:hAnsi="Arial"/>
          <w:color w:val="111111"/>
          <w:sz w:val="24"/>
          <w:szCs w:val="24"/>
        </w:rPr>
        <w:t xml:space="preserve">The collective produced this comparison without coordinating on domain selection. Gemini independently chose to pair the bread analogy — already present in the HUF onboarding materials — with the Ramsar data. The pairing worked because the HUF vocabulary is prior to both domains.</w:t>
      </w:r>
    </w:p>
    <w:p>
      <w:pPr>
        <w:spacing w:before="0" w:after="180"/>
      </w:pPr>
      <w:r>
        <w:rPr>
          <w:rFonts w:ascii="Arial" w:cs="Arial" w:eastAsia="Arial" w:hAnsi="Arial"/>
          <w:color w:val="111111"/>
          <w:sz w:val="24"/>
          <w:szCs w:val="24"/>
        </w:rPr>
        <w:t xml:space="preserve">This is proof of concept for HUF-as-protocol. Any operator who learns the vocabulary can produce a HUF Declaration for any finite-budget system they manage. Any other HUF-literate reader can compare it to any other declaration, regardless of domain. The structural signature is recognisable across systems because the constraint is the same across systems.</w:t>
      </w:r>
    </w:p>
    <w:p>
      <w:pPr>
        <w:spacing w:before="0" w:after="180"/>
      </w:pPr>
      <w:r>
        <w:rPr>
          <w:rFonts w:ascii="Arial" w:cs="Arial" w:eastAsia="Arial" w:hAnsi="Arial"/>
          <w:color w:val="111111"/>
          <w:sz w:val="24"/>
          <w:szCs w:val="24"/>
        </w:rPr>
        <w:t xml:space="preserve">The next step in the research program is to extend the comparison to a third domain — a software retrieval pipeline or civic budget — and confirm that the same signatures appear. A three-domain confirmation would constitute strong empirical support for Proposition 7.1.</w:t>
      </w:r>
    </w:p>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System Q: The Insight That Travels</w:t>
      </w:r>
    </w:p>
    <w:p>
      <w:pPr>
        <w:spacing w:before="0" w:after="180"/>
      </w:pPr>
      <w:r>
        <w:rPr>
          <w:rFonts w:ascii="Arial" w:cs="Arial" w:eastAsia="Arial" w:hAnsi="Arial"/>
          <w:color w:val="111111"/>
          <w:sz w:val="24"/>
          <w:szCs w:val="24"/>
        </w:rPr>
        <w:t xml:space="preserve">One finding from this comparison deserves emphasis because it is the most practically useful result.</w:t>
      </w:r>
    </w:p>
    <w:p>
      <w:pPr>
        <w:spacing w:before="0" w:after="180"/>
      </w:pPr>
      <w:r>
        <w:rPr>
          <w:rFonts w:ascii="Arial" w:cs="Arial" w:eastAsia="Arial" w:hAnsi="Arial"/>
          <w:color w:val="111111"/>
          <w:sz w:val="24"/>
          <w:szCs w:val="24"/>
        </w:rPr>
        <w:t xml:space="preserve">In System A, yeast has a leverage of 833. Every experienced baker knows this intuitively: you can vary the flour-to-water ratio within a reasonable range and recover. You cannot recover from dead yeast. The leverage of the smallest element is not a mathematical curiosity — it is the reason experienced bakers treat yeast with care disproportionate to its gram-weight.</w:t>
      </w:r>
    </w:p>
    <w:p>
      <w:pPr>
        <w:spacing w:before="0" w:after="180"/>
      </w:pPr>
      <w:r>
        <w:rPr>
          <w:rFonts w:ascii="Arial" w:cs="Arial" w:eastAsia="Arial" w:hAnsi="Arial"/>
          <w:color w:val="111111"/>
          <w:sz w:val="24"/>
          <w:szCs w:val="24"/>
        </w:rPr>
        <w:t xml:space="preserve">In System B, Crna Mlaka has a leverage of 149. A governance system that has never seen the reciprocal reading does not know this. It sees a site that represents 0.67% of portfolio area and treats it accordingly: as a low-priority, low-resource allocation. The HUF diagnostic makes the leverage visible in the same arithmetic that every baker already knows.</w:t>
      </w:r>
    </w:p>
    <w:p>
      <w:pPr>
        <w:spacing w:before="0" w:after="180"/>
      </w:pPr>
      <w:r>
        <w:rPr>
          <w:rFonts w:ascii="Arial" w:cs="Arial" w:eastAsia="Arial" w:hAnsi="Arial"/>
          <w:color w:val="111111"/>
          <w:sz w:val="24"/>
          <w:szCs w:val="24"/>
        </w:rPr>
        <w:t xml:space="preserve">This is System Q expressed in simple arithmetic. High-Q elements — elements with high leverage, narrow characteristic windows, and phase-dependent contribution — are the ones that governance systems systematically misread. The reciprocal reading is the instrument that makes them visible. It requires nothing beyond division.</w:t>
      </w:r>
    </w:p>
    <w:p>
      <w:r>
        <w:br w:type="page"/>
      </w:r>
    </w:p>
    <w:p>
      <w:pPr>
        <w:pStyle w:val="Heading1"/>
        <w:spacing w:before="480" w:after="200"/>
      </w:pPr>
      <w:r>
        <w:rPr>
          <w:rFonts w:ascii="Arial" w:cs="Arial" w:eastAsia="Arial" w:hAnsi="Arial"/>
          <w:b/>
          <w:bCs/>
          <w:color w:val="1A2744"/>
          <w:sz w:val="36"/>
          <w:szCs w:val="36"/>
        </w:rPr>
        <w:t xml:space="preserve">Section 4: Formal HUF Declarations</w:t>
      </w:r>
    </w:p>
    <w:p>
      <w:pPr>
        <w:spacing w:before="0" w:after="180"/>
      </w:pPr>
      <w:r>
        <w:rPr>
          <w:rFonts w:ascii="Arial" w:cs="Arial" w:eastAsia="Arial" w:hAnsi="Arial"/>
          <w:color w:val="111111"/>
          <w:sz w:val="24"/>
          <w:szCs w:val="24"/>
        </w:rPr>
        <w:t xml:space="preserve">For the record, the canonical HUF Declaration for each system, as defined in Handbook Chapter 9.</w:t>
      </w:r>
    </w:p>
    <w:p>
      <w:pPr>
        <w:spacing w:before="0" w:after="60"/>
      </w:pPr>
      <w:r>
        <w:rPr>
          <w:rFonts w:ascii="Arial" w:cs="Arial" w:eastAsia="Arial" w:hAnsi="Arial"/>
          <w:color w:val="11111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8"/>
              <w:bottom w:val="none" w:color="FFFFFF" w:sz="0"/>
              <w:right w:val="none" w:color="FFFFFF" w:sz="0"/>
            </w:tcBorders>
            <w:shd w:fill="F0F4FF" w:val="clear"/>
            <w:tcMar>
              <w:top w:type="dxa" w:w="160"/>
              <w:left w:type="dxa" w:w="280"/>
              <w:bottom w:type="dxa" w:w="160"/>
              <w:right w:type="dxa" w:w="280"/>
            </w:tcMar>
          </w:tcPr>
          <w:p>
            <w:pPr>
              <w:spacing w:before="0" w:after="120"/>
            </w:pPr>
            <w:r>
              <w:rPr>
                <w:rFonts w:ascii="Courier New" w:cs="Courier New" w:eastAsia="Courier New" w:hAnsi="Courier New"/>
                <w:b/>
                <w:bCs/>
                <w:color w:val="B8860B"/>
                <w:sz w:val="20"/>
                <w:szCs w:val="20"/>
              </w:rPr>
              <w:t xml:space="preserve">HUF DECLARATION — SYSTEM A — SOURDOUGH LOAF — February 2026</w:t>
            </w:r>
          </w:p>
          <w:p>
            <w:pPr>
              <w:spacing w:before="0" w:after="40"/>
            </w:pPr>
            <w:r>
              <w:rPr>
                <w:rFonts w:ascii="Courier New" w:cs="Courier New" w:eastAsia="Courier New" w:hAnsi="Courier New"/>
                <w:color w:val="4A5568"/>
                <w:sz w:val="19"/>
                <w:szCs w:val="19"/>
              </w:rPr>
              <w:t xml:space="preserve">Budget ceiling        : </w:t>
            </w:r>
            <w:r>
              <w:rPr>
                <w:rFonts w:ascii="Courier New" w:cs="Courier New" w:eastAsia="Courier New" w:hAnsi="Courier New"/>
                <w:b/>
                <w:bCs/>
                <w:color w:val="1A2744"/>
                <w:sz w:val="19"/>
                <w:szCs w:val="19"/>
              </w:rPr>
              <w:t xml:space="preserve">1,000g total ingredient mass (indexed to 1.0)</w:t>
            </w:r>
          </w:p>
          <w:p>
            <w:pPr>
              <w:spacing w:before="0" w:after="40"/>
            </w:pPr>
            <w:r>
              <w:rPr>
                <w:rFonts w:ascii="Courier New" w:cs="Courier New" w:eastAsia="Courier New" w:hAnsi="Courier New"/>
                <w:color w:val="4A5568"/>
                <w:sz w:val="19"/>
                <w:szCs w:val="19"/>
              </w:rPr>
              <w:t xml:space="preserve">Elements              : </w:t>
            </w:r>
            <w:r>
              <w:rPr>
                <w:rFonts w:ascii="Courier New" w:cs="Courier New" w:eastAsia="Courier New" w:hAnsi="Courier New"/>
                <w:b/>
                <w:bCs/>
                <w:color w:val="1A2744"/>
                <w:sz w:val="19"/>
                <w:szCs w:val="19"/>
              </w:rPr>
              <w:t xml:space="preserve">5 (Flour, Water, Starter, Salt, Yeast)</w:t>
            </w:r>
          </w:p>
          <w:p>
            <w:pPr>
              <w:spacing w:before="0" w:after="40"/>
            </w:pPr>
            <w:r>
              <w:rPr>
                <w:rFonts w:ascii="Courier New" w:cs="Courier New" w:eastAsia="Courier New" w:hAnsi="Courier New"/>
                <w:color w:val="4A5568"/>
                <w:sz w:val="19"/>
                <w:szCs w:val="19"/>
              </w:rPr>
              <w:t xml:space="preserve">Ratio state           : </w:t>
            </w:r>
            <w:r>
              <w:rPr>
                <w:rFonts w:ascii="Courier New" w:cs="Courier New" w:eastAsia="Courier New" w:hAnsi="Courier New"/>
                <w:b/>
                <w:bCs/>
                <w:color w:val="1A2744"/>
                <w:sz w:val="19"/>
                <w:szCs w:val="19"/>
              </w:rPr>
              <w:t xml:space="preserve">0.615 / 0.369 / 0.014 / 0.002 / 0.0012</w:t>
            </w:r>
          </w:p>
          <w:p>
            <w:pPr>
              <w:spacing w:before="0" w:after="40"/>
            </w:pPr>
            <w:r>
              <w:rPr>
                <w:rFonts w:ascii="Courier New" w:cs="Courier New" w:eastAsia="Courier New" w:hAnsi="Courier New"/>
                <w:color w:val="4A5568"/>
                <w:sz w:val="19"/>
                <w:szCs w:val="19"/>
              </w:rPr>
              <w:t xml:space="preserve">Declared weights      : </w:t>
            </w:r>
            <w:r>
              <w:rPr>
                <w:rFonts w:ascii="Courier New" w:cs="Courier New" w:eastAsia="Courier New" w:hAnsi="Courier New"/>
                <w:b/>
                <w:bCs/>
                <w:color w:val="1A2744"/>
                <w:sz w:val="19"/>
                <w:szCs w:val="19"/>
              </w:rPr>
              <w:t xml:space="preserve">Recipe: 0.601 / 0.383 / 0.012 / 0.002 / 0.002 (approximate)</w:t>
            </w:r>
          </w:p>
          <w:p>
            <w:pPr>
              <w:spacing w:before="0" w:after="40"/>
            </w:pPr>
            <w:r>
              <w:rPr>
                <w:rFonts w:ascii="Courier New" w:cs="Courier New" w:eastAsia="Courier New" w:hAnsi="Courier New"/>
                <w:color w:val="4A5568"/>
                <w:sz w:val="19"/>
                <w:szCs w:val="19"/>
              </w:rPr>
              <w:t xml:space="preserve">Drift                 : </w:t>
            </w:r>
            <w:r>
              <w:rPr>
                <w:rFonts w:ascii="Courier New" w:cs="Courier New" w:eastAsia="Courier New" w:hAnsi="Courier New"/>
                <w:b/>
                <w:bCs/>
                <w:color w:val="1A2744"/>
                <w:sz w:val="19"/>
                <w:szCs w:val="19"/>
              </w:rPr>
              <w:t xml:space="preserve">Mean gap 1.4pp — all gaps below 5pp threshold</w:t>
            </w:r>
          </w:p>
          <w:p>
            <w:pPr>
              <w:spacing w:before="0" w:after="40"/>
            </w:pPr>
            <w:r>
              <w:rPr>
                <w:rFonts w:ascii="Courier New" w:cs="Courier New" w:eastAsia="Courier New" w:hAnsi="Courier New"/>
                <w:color w:val="4A5568"/>
                <w:sz w:val="19"/>
                <w:szCs w:val="19"/>
              </w:rPr>
              <w:t xml:space="preserve">Trace status          : </w:t>
            </w:r>
            <w:r>
              <w:rPr>
                <w:rFonts w:ascii="Courier New" w:cs="Courier New" w:eastAsia="Courier New" w:hAnsi="Courier New"/>
                <w:b/>
                <w:bCs/>
                <w:color w:val="1A2744"/>
                <w:sz w:val="19"/>
                <w:szCs w:val="19"/>
              </w:rPr>
              <w:t xml:space="preserve">Recipe serves as trace document — all changes intentional</w:t>
            </w:r>
          </w:p>
          <w:p>
            <w:pPr>
              <w:spacing w:before="0" w:after="40"/>
            </w:pPr>
            <w:r>
              <w:rPr>
                <w:rFonts w:ascii="Courier New" w:cs="Courier New" w:eastAsia="Courier New" w:hAnsi="Courier New"/>
                <w:color w:val="4A5568"/>
                <w:sz w:val="19"/>
                <w:szCs w:val="19"/>
              </w:rPr>
              <w:t xml:space="preserve">Concentration         : </w:t>
            </w:r>
            <w:r>
              <w:rPr>
                <w:rFonts w:ascii="Courier New" w:cs="Courier New" w:eastAsia="Courier New" w:hAnsi="Courier New"/>
                <w:b/>
                <w:bCs/>
                <w:color w:val="1A2744"/>
                <w:sz w:val="19"/>
                <w:szCs w:val="19"/>
              </w:rPr>
              <w:t xml:space="preserve">PROOF line = 2 (Flour + Water = 98.4%)</w:t>
            </w:r>
          </w:p>
          <w:p>
            <w:pPr>
              <w:spacing w:before="0" w:after="40"/>
            </w:pPr>
            <w:r>
              <w:rPr>
                <w:rFonts w:ascii="Courier New" w:cs="Courier New" w:eastAsia="Courier New" w:hAnsi="Courier New"/>
                <w:color w:val="4A5568"/>
                <w:sz w:val="19"/>
                <w:szCs w:val="19"/>
              </w:rPr>
              <w:t xml:space="preserve">Fragmentation         : </w:t>
            </w:r>
            <w:r>
              <w:rPr>
                <w:rFonts w:ascii="Courier New" w:cs="Courier New" w:eastAsia="Courier New" w:hAnsi="Courier New"/>
                <w:b/>
                <w:bCs/>
                <w:color w:val="1A2744"/>
                <w:sz w:val="19"/>
                <w:szCs w:val="19"/>
              </w:rPr>
              <w:t xml:space="preserve">None above threshold</w:t>
            </w:r>
          </w:p>
          <w:p>
            <w:pPr>
              <w:spacing w:before="0" w:after="40"/>
            </w:pPr>
            <w:r>
              <w:rPr>
                <w:rFonts w:ascii="Courier New" w:cs="Courier New" w:eastAsia="Courier New" w:hAnsi="Courier New"/>
                <w:color w:val="4A5568"/>
                <w:sz w:val="19"/>
                <w:szCs w:val="19"/>
              </w:rPr>
              <w:t xml:space="preserve">Ground state          : </w:t>
            </w:r>
            <w:r>
              <w:rPr>
                <w:rFonts w:ascii="Courier New" w:cs="Courier New" w:eastAsia="Courier New" w:hAnsi="Courier New"/>
                <w:b/>
                <w:bCs/>
                <w:color w:val="1A2744"/>
                <w:sz w:val="19"/>
                <w:szCs w:val="19"/>
              </w:rPr>
              <w:t xml:space="preserve">NEAR GROUND STATE (mean drift gap 1.4pp)</w:t>
            </w:r>
          </w:p>
          <w:p>
            <w:pPr>
              <w:spacing w:before="0" w:after="40"/>
            </w:pPr>
            <w:r>
              <w:rPr>
                <w:rFonts w:ascii="Courier New" w:cs="Courier New" w:eastAsia="Courier New" w:hAnsi="Courier New"/>
                <w:color w:val="4A5568"/>
                <w:sz w:val="19"/>
                <w:szCs w:val="19"/>
              </w:rPr>
              <w:t xml:space="preserve">Highest-Q element     : </w:t>
            </w:r>
            <w:r>
              <w:rPr>
                <w:rFonts w:ascii="Courier New" w:cs="Courier New" w:eastAsia="Courier New" w:hAnsi="Courier New"/>
                <w:b/>
                <w:bCs/>
                <w:color w:val="1A2744"/>
                <w:sz w:val="19"/>
                <w:szCs w:val="19"/>
              </w:rPr>
              <w:t xml:space="preserve">Yeast — leverage 833 — characteristic period: 4–12 hours fermentation</w:t>
            </w:r>
          </w:p>
          <w:p>
            <w:pPr>
              <w:spacing w:before="0" w:after="40"/>
            </w:pPr>
            <w:r>
              <w:rPr>
                <w:rFonts w:ascii="Courier New" w:cs="Courier New" w:eastAsia="Courier New" w:hAnsi="Courier New"/>
                <w:color w:val="4A5568"/>
                <w:sz w:val="19"/>
                <w:szCs w:val="19"/>
              </w:rPr>
              <w:t xml:space="preserve">Cycles on record      : </w:t>
            </w:r>
            <w:r>
              <w:rPr>
                <w:rFonts w:ascii="Courier New" w:cs="Courier New" w:eastAsia="Courier New" w:hAnsi="Courier New"/>
                <w:b/>
                <w:bCs/>
                <w:color w:val="1A2744"/>
                <w:sz w:val="19"/>
                <w:szCs w:val="19"/>
              </w:rPr>
              <w:t xml:space="preserve">1 (this bake) — cross-cycle comparison not available</w:t>
            </w:r>
          </w:p>
        </w:tc>
      </w:tr>
    </w:tbl>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A" w:sz="8"/>
              <w:bottom w:val="none" w:color="FFFFFF" w:sz="0"/>
              <w:right w:val="none" w:color="FFFFFF" w:sz="0"/>
            </w:tcBorders>
            <w:shd w:fill="F0FFF4" w:val="clear"/>
            <w:tcMar>
              <w:top w:type="dxa" w:w="160"/>
              <w:left w:type="dxa" w:w="280"/>
              <w:bottom w:type="dxa" w:w="160"/>
              <w:right w:type="dxa" w:w="280"/>
            </w:tcMar>
          </w:tcPr>
          <w:p>
            <w:pPr>
              <w:spacing w:before="0" w:after="120"/>
            </w:pPr>
            <w:r>
              <w:rPr>
                <w:rFonts w:ascii="Courier New" w:cs="Courier New" w:eastAsia="Courier New" w:hAnsi="Courier New"/>
                <w:b/>
                <w:bCs/>
                <w:color w:val="1E6B3A"/>
                <w:sz w:val="20"/>
                <w:szCs w:val="20"/>
              </w:rPr>
              <w:t xml:space="preserve">HUF DECLARATION — SYSTEM B — CROATIA RAMSAR PORTFOLIO — February 2026</w:t>
            </w:r>
          </w:p>
          <w:p>
            <w:pPr>
              <w:spacing w:before="0" w:after="40"/>
            </w:pPr>
            <w:r>
              <w:rPr>
                <w:rFonts w:ascii="Courier New" w:cs="Courier New" w:eastAsia="Courier New" w:hAnsi="Courier New"/>
                <w:color w:val="4A5568"/>
                <w:sz w:val="19"/>
                <w:szCs w:val="19"/>
              </w:rPr>
              <w:t xml:space="preserve">Budget ceiling        : </w:t>
            </w:r>
            <w:r>
              <w:rPr>
                <w:rFonts w:ascii="Courier New" w:cs="Courier New" w:eastAsia="Courier New" w:hAnsi="Courier New"/>
                <w:b/>
                <w:bCs/>
                <w:color w:val="1A2744"/>
                <w:sz w:val="19"/>
                <w:szCs w:val="19"/>
              </w:rPr>
              <w:t xml:space="preserve">93,000 ha total designated area (indexed to 1.0)</w:t>
            </w:r>
          </w:p>
          <w:p>
            <w:pPr>
              <w:spacing w:before="0" w:after="40"/>
            </w:pPr>
            <w:r>
              <w:rPr>
                <w:rFonts w:ascii="Courier New" w:cs="Courier New" w:eastAsia="Courier New" w:hAnsi="Courier New"/>
                <w:color w:val="4A5568"/>
                <w:sz w:val="19"/>
                <w:szCs w:val="19"/>
              </w:rPr>
              <w:t xml:space="preserve">Elements              : </w:t>
            </w:r>
            <w:r>
              <w:rPr>
                <w:rFonts w:ascii="Courier New" w:cs="Courier New" w:eastAsia="Courier New" w:hAnsi="Courier New"/>
                <w:b/>
                <w:bCs/>
                <w:color w:val="1A2744"/>
                <w:sz w:val="19"/>
                <w:szCs w:val="19"/>
              </w:rPr>
              <w:t xml:space="preserve">5 declared sites</w:t>
            </w:r>
          </w:p>
          <w:p>
            <w:pPr>
              <w:spacing w:before="0" w:after="40"/>
            </w:pPr>
            <w:r>
              <w:rPr>
                <w:rFonts w:ascii="Courier New" w:cs="Courier New" w:eastAsia="Courier New" w:hAnsi="Courier New"/>
                <w:color w:val="4A5568"/>
                <w:sz w:val="19"/>
                <w:szCs w:val="19"/>
              </w:rPr>
              <w:t xml:space="preserve">Ratio state           : </w:t>
            </w:r>
            <w:r>
              <w:rPr>
                <w:rFonts w:ascii="Courier New" w:cs="Courier New" w:eastAsia="Courier New" w:hAnsi="Courier New"/>
                <w:b/>
                <w:bCs/>
                <w:color w:val="1A2744"/>
                <w:sz w:val="19"/>
                <w:szCs w:val="19"/>
              </w:rPr>
              <w:t xml:space="preserve">0.543 / 0.257 / 0.129 / 0.064 / 0.0067</w:t>
            </w:r>
          </w:p>
          <w:p>
            <w:pPr>
              <w:spacing w:before="0" w:after="40"/>
            </w:pPr>
            <w:r>
              <w:rPr>
                <w:rFonts w:ascii="Courier New" w:cs="Courier New" w:eastAsia="Courier New" w:hAnsi="Courier New"/>
                <w:color w:val="4A5568"/>
                <w:sz w:val="19"/>
                <w:szCs w:val="19"/>
              </w:rPr>
              <w:t xml:space="preserve">Declared weights      : </w:t>
            </w:r>
            <w:r>
              <w:rPr>
                <w:rFonts w:ascii="Courier New" w:cs="Courier New" w:eastAsia="Courier New" w:hAnsi="Courier New"/>
                <w:b/>
                <w:bCs/>
                <w:color w:val="1A2744"/>
                <w:sz w:val="19"/>
                <w:szCs w:val="19"/>
              </w:rPr>
              <w:t xml:space="preserve">Pending formal declaration from portfolio operator</w:t>
            </w:r>
          </w:p>
          <w:p>
            <w:pPr>
              <w:spacing w:before="0" w:after="40"/>
            </w:pPr>
            <w:r>
              <w:rPr>
                <w:rFonts w:ascii="Courier New" w:cs="Courier New" w:eastAsia="Courier New" w:hAnsi="Courier New"/>
                <w:color w:val="4A5568"/>
                <w:sz w:val="19"/>
                <w:szCs w:val="19"/>
              </w:rPr>
              <w:t xml:space="preserve">Drift                 : </w:t>
            </w:r>
            <w:r>
              <w:rPr>
                <w:rFonts w:ascii="Courier New" w:cs="Courier New" w:eastAsia="Courier New" w:hAnsi="Courier New"/>
                <w:b/>
                <w:bCs/>
                <w:color w:val="1A2744"/>
                <w:sz w:val="19"/>
                <w:szCs w:val="19"/>
              </w:rPr>
              <w:t xml:space="preserve">Mean gap 4.8pp — EMERGENT DRIFT — approaching 5pp threshold</w:t>
            </w:r>
          </w:p>
          <w:p>
            <w:pPr>
              <w:spacing w:before="0" w:after="40"/>
            </w:pPr>
            <w:r>
              <w:rPr>
                <w:rFonts w:ascii="Courier New" w:cs="Courier New" w:eastAsia="Courier New" w:hAnsi="Courier New"/>
                <w:color w:val="4A5568"/>
                <w:sz w:val="19"/>
                <w:szCs w:val="19"/>
              </w:rPr>
              <w:t xml:space="preserve">Trace status          : </w:t>
            </w:r>
            <w:r>
              <w:rPr>
                <w:rFonts w:ascii="Courier New" w:cs="Courier New" w:eastAsia="Courier New" w:hAnsi="Courier New"/>
                <w:b/>
                <w:bCs/>
                <w:color w:val="1A2744"/>
                <w:sz w:val="19"/>
                <w:szCs w:val="19"/>
              </w:rPr>
              <w:t xml:space="preserve">Trace entries: INCOMPLETE — drift source not yet classified</w:t>
            </w:r>
          </w:p>
          <w:p>
            <w:pPr>
              <w:spacing w:before="0" w:after="40"/>
            </w:pPr>
            <w:r>
              <w:rPr>
                <w:rFonts w:ascii="Courier New" w:cs="Courier New" w:eastAsia="Courier New" w:hAnsi="Courier New"/>
                <w:color w:val="4A5568"/>
                <w:sz w:val="19"/>
                <w:szCs w:val="19"/>
              </w:rPr>
              <w:t xml:space="preserve">Concentration         : </w:t>
            </w:r>
            <w:r>
              <w:rPr>
                <w:rFonts w:ascii="Courier New" w:cs="Courier New" w:eastAsia="Courier New" w:hAnsi="Courier New"/>
                <w:b/>
                <w:bCs/>
                <w:color w:val="1A2744"/>
                <w:sz w:val="19"/>
                <w:szCs w:val="19"/>
              </w:rPr>
              <w:t xml:space="preserve">PROOF line = 2 (Lonjsko + Kopački = 80.0%)</w:t>
            </w:r>
          </w:p>
          <w:p>
            <w:pPr>
              <w:spacing w:before="0" w:after="40"/>
            </w:pPr>
            <w:r>
              <w:rPr>
                <w:rFonts w:ascii="Courier New" w:cs="Courier New" w:eastAsia="Courier New" w:hAnsi="Courier New"/>
                <w:color w:val="4A5568"/>
                <w:sz w:val="19"/>
                <w:szCs w:val="19"/>
              </w:rPr>
              <w:t xml:space="preserve">Fragmentation         : </w:t>
            </w:r>
            <w:r>
              <w:rPr>
                <w:rFonts w:ascii="Courier New" w:cs="Courier New" w:eastAsia="Courier New" w:hAnsi="Courier New"/>
                <w:b/>
                <w:bCs/>
                <w:color w:val="1A2744"/>
                <w:sz w:val="19"/>
                <w:szCs w:val="19"/>
              </w:rPr>
              <w:t xml:space="preserve">Crna Mlaka at 0.67% — leverage 149 — monitor for fragmentation</w:t>
            </w:r>
          </w:p>
          <w:p>
            <w:pPr>
              <w:spacing w:before="0" w:after="40"/>
            </w:pPr>
            <w:r>
              <w:rPr>
                <w:rFonts w:ascii="Courier New" w:cs="Courier New" w:eastAsia="Courier New" w:hAnsi="Courier New"/>
                <w:color w:val="4A5568"/>
                <w:sz w:val="19"/>
                <w:szCs w:val="19"/>
              </w:rPr>
              <w:t xml:space="preserve">Ground state          : </w:t>
            </w:r>
            <w:r>
              <w:rPr>
                <w:rFonts w:ascii="Courier New" w:cs="Courier New" w:eastAsia="Courier New" w:hAnsi="Courier New"/>
                <w:b/>
                <w:bCs/>
                <w:color w:val="1A2744"/>
                <w:sz w:val="19"/>
                <w:szCs w:val="19"/>
              </w:rPr>
              <w:t xml:space="preserve">NOT REACHED (mean drift gap 4.8pp — action window open)</w:t>
            </w:r>
          </w:p>
          <w:p>
            <w:pPr>
              <w:spacing w:before="0" w:after="40"/>
            </w:pPr>
            <w:r>
              <w:rPr>
                <w:rFonts w:ascii="Courier New" w:cs="Courier New" w:eastAsia="Courier New" w:hAnsi="Courier New"/>
                <w:color w:val="4A5568"/>
                <w:sz w:val="19"/>
                <w:szCs w:val="19"/>
              </w:rPr>
              <w:t xml:space="preserve">Highest-Q element     : </w:t>
            </w:r>
            <w:r>
              <w:rPr>
                <w:rFonts w:ascii="Courier New" w:cs="Courier New" w:eastAsia="Courier New" w:hAnsi="Courier New"/>
                <w:b/>
                <w:bCs/>
                <w:color w:val="1A2744"/>
                <w:sz w:val="19"/>
                <w:szCs w:val="19"/>
              </w:rPr>
              <w:t xml:space="preserve">Crna Mlaka — leverage 149 — characteristic period: multi-year ecological cycle</w:t>
            </w:r>
          </w:p>
          <w:p>
            <w:pPr>
              <w:spacing w:before="0" w:after="40"/>
            </w:pPr>
            <w:r>
              <w:rPr>
                <w:rFonts w:ascii="Courier New" w:cs="Courier New" w:eastAsia="Courier New" w:hAnsi="Courier New"/>
                <w:color w:val="4A5568"/>
                <w:sz w:val="19"/>
                <w:szCs w:val="19"/>
              </w:rPr>
              <w:t xml:space="preserve">Cycles on record      : </w:t>
            </w:r>
            <w:r>
              <w:rPr>
                <w:rFonts w:ascii="Courier New" w:cs="Courier New" w:eastAsia="Courier New" w:hAnsi="Courier New"/>
                <w:b/>
                <w:bCs/>
                <w:color w:val="1A2744"/>
                <w:sz w:val="19"/>
                <w:szCs w:val="19"/>
              </w:rPr>
              <w:t xml:space="preserve">1 — cross-cycle comparison requires next reporting cycle</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Section 5: Conclusion and Research Status</w:t>
      </w:r>
    </w:p>
    <w:p>
      <w:pPr>
        <w:pStyle w:val="Heading2"/>
        <w:spacing w:before="320" w:after="160"/>
      </w:pPr>
      <w:r>
        <w:rPr>
          <w:rFonts w:ascii="Arial" w:cs="Arial" w:eastAsia="Arial" w:hAnsi="Arial"/>
          <w:b/>
          <w:bCs/>
          <w:color w:val="2E4080"/>
          <w:sz w:val="28"/>
          <w:szCs w:val="28"/>
        </w:rPr>
        <w:t xml:space="preserve">Finding</w:t>
      </w:r>
    </w:p>
    <w:p>
      <w:pPr>
        <w:spacing w:before="0" w:after="180"/>
      </w:pPr>
      <w:r>
        <w:rPr>
          <w:rFonts w:ascii="Arial" w:cs="Arial" w:eastAsia="Arial" w:hAnsi="Arial"/>
          <w:color w:val="111111"/>
          <w:sz w:val="24"/>
          <w:szCs w:val="24"/>
        </w:rPr>
        <w:t xml:space="preserve">The HUF Diagnostic Engine successfully applied the unity constraint, PROOF line, reciprocal inversion, and mean drift gap to two systems with no domain overlap. Both systems produced coherent, comparable, formally structured diagnostic results using the same instrument without modification.</w:t>
      </w:r>
    </w:p>
    <w:p>
      <w:pPr>
        <w:spacing w:before="0" w:after="180"/>
      </w:pPr>
      <w:r>
        <w:rPr>
          <w:rFonts w:ascii="Arial" w:cs="Arial" w:eastAsia="Arial" w:hAnsi="Arial"/>
          <w:color w:val="111111"/>
          <w:sz w:val="24"/>
          <w:szCs w:val="24"/>
        </w:rPr>
        <w:t xml:space="preserve">The mathematical signatures of the two systems are structurally similar. Both are top-heavy. Both exhibit high-leverage tail elements with System Q properties. Both produce a mean drift gap that classifies their ground state proximity. The domain — grams vs. hectares, hours vs. years — is irrelevant to the diagnostic.</w:t>
      </w:r>
    </w:p>
    <w:p>
      <w:pPr>
        <w:pStyle w:val="Heading2"/>
        <w:spacing w:before="320" w:after="160"/>
      </w:pPr>
      <w:r>
        <w:rPr>
          <w:rFonts w:ascii="Arial" w:cs="Arial" w:eastAsia="Arial" w:hAnsi="Arial"/>
          <w:b/>
          <w:bCs/>
          <w:color w:val="2E4080"/>
          <w:sz w:val="28"/>
          <w:szCs w:val="28"/>
        </w:rPr>
        <w:t xml:space="preserve">Status of Proposition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PROPOSITION</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B8860B"/>
                <w:sz w:val="20"/>
                <w:szCs w:val="20"/>
              </w:rPr>
              <w:t xml:space="preserve">STATUS</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4ade80"/>
                <w:sz w:val="20"/>
                <w:szCs w:val="20"/>
              </w:rPr>
              <w:t xml:space="preserve">BASIS</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7.1 — Domain Invariance</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EMPIRICAL SUPPORT — EXHIBIT A</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Two-domain comparison. Sourdough + Croatia Ramsar. Same instrument. Coherent results.</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Required for confirmation</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Three-domain comparison</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Add software retrieval or civic budget as System C. Confirm same signatures.</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Required for proof</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Formal mathematical proof</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Proposition 7.1 requires formal proof in addition to empirical support.</w:t>
            </w:r>
          </w:p>
        </w:tc>
      </w:tr>
    </w:tbl>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Next Research Step</w:t>
      </w:r>
    </w:p>
    <w:p>
      <w:pPr>
        <w:spacing w:before="0" w:after="180"/>
      </w:pPr>
      <w:r>
        <w:rPr>
          <w:rFonts w:ascii="Arial" w:cs="Arial" w:eastAsia="Arial" w:hAnsi="Arial"/>
          <w:color w:val="111111"/>
          <w:sz w:val="24"/>
          <w:szCs w:val="24"/>
        </w:rPr>
        <w:t xml:space="preserve">Case Study D.2 should extend the comparison to a third domain. The candidate is a multi-tenant AI retrieval pipeline or a municipal budget line-item allocation. Either would provide a third structural signature confirming domain invariance across software, ecological, and civic domains simultaneously.</w:t>
      </w:r>
    </w:p>
    <w:p>
      <w:pPr>
        <w:spacing w:before="0" w:after="180"/>
      </w:pPr>
      <w:r>
        <w:rPr>
          <w:rFonts w:ascii="Arial" w:cs="Arial" w:eastAsia="Arial" w:hAnsi="Arial"/>
          <w:color w:val="111111"/>
          <w:sz w:val="24"/>
          <w:szCs w:val="24"/>
        </w:rPr>
        <w:t xml:space="preserve">A three-domain confirmation — bread, wetlands, software — would constitute a publicly accessible, reproducible, domain-spanning empirical case for Proposition 7.1 that any reader could verify with a calculator.</w:t>
      </w:r>
    </w:p>
    <w:p>
      <w:pPr>
        <w:spacing w:before="0" w:after="60"/>
      </w:pPr>
      <w:r>
        <w:rPr>
          <w:rFonts w:ascii="Arial" w:cs="Arial" w:eastAsia="Arial" w:hAnsi="Arial"/>
          <w:color w:val="111111"/>
          <w:sz w:val="24"/>
          <w:szCs w:val="24"/>
        </w:rPr>
        <w:t xml:space="preserve"/>
      </w:r>
    </w:p>
    <w:p>
      <w:pPr>
        <w:pBdr>
          <w:bottom w:val="single" w:color="B8860B" w:sz="4" w:space="1"/>
        </w:pBdr>
        <w:spacing w:before="100" w:after="10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i/>
          <w:iCs/>
          <w:color w:val="888888"/>
          <w:sz w:val="20"/>
          <w:szCs w:val="20"/>
        </w:rPr>
        <w:t xml:space="preserve">Entry added to Research Appendix D.1 · Handbook v1.2.0 · Ref: Exhibit A</w:t>
      </w:r>
    </w:p>
    <w:p>
      <w:pPr>
        <w:spacing w:before="0" w:after="80"/>
        <w:jc w:val="center"/>
      </w:pPr>
      <w:r>
        <w:rPr>
          <w:rFonts w:ascii="Arial" w:cs="Arial" w:eastAsia="Arial" w:hAnsi="Arial"/>
          <w:color w:val="888888"/>
          <w:sz w:val="20"/>
          <w:szCs w:val="20"/>
        </w:rPr>
        <w:t xml:space="preserve">Observer: HUF Compliance Engine v1.1.8 (Gemini branch)</w:t>
      </w:r>
    </w:p>
    <w:p>
      <w:pPr>
        <w:spacing w:before="0" w:after="0"/>
        <w:jc w:val="center"/>
      </w:pPr>
      <w:r>
        <w:rPr>
          <w:rFonts w:ascii="Arial" w:cs="Arial" w:eastAsia="Arial" w:hAnsi="Arial"/>
          <w:color w:val="888888"/>
          <w:sz w:val="20"/>
          <w:szCs w:val="20"/>
        </w:rPr>
        <w:t xml:space="preserve">Higgins Unity Framework · MIT License · Rogue Wave Audio · Markham, Ontario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pPr>
    <w:r>
      <w:rPr>
        <w:rFonts w:ascii="Arial" w:cs="Arial" w:eastAsia="Arial" w:hAnsi="Arial"/>
        <w:color w:val="888888"/>
        <w:sz w:val="18"/>
        <w:szCs w:val="18"/>
      </w:rPr>
      <w:t xml:space="preserve">Higgins Unity Framework · Handbook v1.2.0 · MIT License · Rogue Wave Audio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888888"/>
        <w:sz w:val="18"/>
        <w:szCs w:val="18"/>
      </w:rPr>
      <w:t xml:space="preserve">HUF APPENDIX D · CASE STUDY D.1 · EXHIBIT A</w:t>
    </w:r>
    <w:r>
      <w:rPr>
        <w:rFonts w:ascii="Arial" w:cs="Arial" w:eastAsia="Arial" w:hAnsi="Arial"/>
        <w:color w:val="888888"/>
        <w:sz w:val="18"/>
        <w:szCs w:val="18"/>
      </w:rPr>
      <w:t xml:space="preserve">	DOMAIN INVARIANCE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744"/>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408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2026-02-26T14:38:00.362Z</dcterms:created>
  <dcterms:modified xsi:type="dcterms:W3CDTF">2026-02-26T14:38:00.363Z</dcterms:modified>
</cp:coreProperties>
</file>

<file path=docProps/custom.xml><?xml version="1.0" encoding="utf-8"?>
<Properties xmlns="http://schemas.openxmlformats.org/officeDocument/2006/custom-properties" xmlns:vt="http://schemas.openxmlformats.org/officeDocument/2006/docPropsVTypes"/>
</file>